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76" w:lineRule="exact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ar"/>
        </w:rPr>
        <w:t>附件1</w:t>
      </w:r>
    </w:p>
    <w:p>
      <w:pPr>
        <w:snapToGrid w:val="0"/>
        <w:spacing w:line="576" w:lineRule="exact"/>
        <w:jc w:val="center"/>
        <w:rPr>
          <w:rFonts w:ascii="Times New Roman" w:hAnsi="Times New Roman" w:eastAsia="方正大标宋简体"/>
          <w:kern w:val="0"/>
          <w:sz w:val="48"/>
          <w:szCs w:val="48"/>
        </w:rPr>
      </w:pPr>
    </w:p>
    <w:p>
      <w:pPr>
        <w:spacing w:line="576" w:lineRule="exact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4" w:name="_GoBack"/>
      <w:r>
        <w:rPr>
          <w:rFonts w:ascii="Times New Roman" w:hAnsi="Times New Roman" w:eastAsia="方正小标宋简体"/>
          <w:bCs/>
          <w:sz w:val="44"/>
          <w:szCs w:val="44"/>
          <w:lang w:bidi="ar"/>
        </w:rPr>
        <w:t>九江市重点实验室申报书</w:t>
      </w:r>
      <w:bookmarkEnd w:id="4"/>
    </w:p>
    <w:p>
      <w:pPr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Times New Roman" w:hAnsi="Times New Roman" w:eastAsia="方正楷体简体"/>
          <w:sz w:val="32"/>
          <w:szCs w:val="32"/>
        </w:rPr>
      </w:pP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研究方向：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产业类别：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实验室名称：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申报</w:t>
      </w:r>
      <w:r>
        <w:rPr>
          <w:rFonts w:ascii="Times New Roman" w:hAnsi="Times New Roman" w:eastAsia="仿宋_GB2312"/>
          <w:sz w:val="32"/>
          <w:szCs w:val="32"/>
          <w:lang w:bidi="ar"/>
        </w:rPr>
        <w:t>(</w:t>
      </w:r>
      <w:r>
        <w:rPr>
          <w:rFonts w:ascii="Times New Roman" w:hAnsi="仿宋_GB2312" w:eastAsia="仿宋_GB2312"/>
          <w:sz w:val="32"/>
          <w:szCs w:val="32"/>
          <w:lang w:bidi="ar"/>
        </w:rPr>
        <w:t>依托</w:t>
      </w:r>
      <w:r>
        <w:rPr>
          <w:rFonts w:ascii="Times New Roman" w:hAnsi="Times New Roman" w:eastAsia="仿宋_GB2312"/>
          <w:sz w:val="32"/>
          <w:szCs w:val="32"/>
          <w:lang w:bidi="ar"/>
        </w:rPr>
        <w:t>)</w:t>
      </w:r>
      <w:r>
        <w:rPr>
          <w:rFonts w:ascii="Times New Roman" w:hAnsi="仿宋_GB2312" w:eastAsia="仿宋_GB2312"/>
          <w:sz w:val="32"/>
          <w:szCs w:val="32"/>
          <w:lang w:bidi="ar"/>
        </w:rPr>
        <w:t>单位（盖章）：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联系人：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联系电话：</w:t>
      </w:r>
    </w:p>
    <w:p>
      <w:pPr>
        <w:snapToGrid w:val="0"/>
        <w:spacing w:line="800" w:lineRule="exact"/>
        <w:ind w:firstLine="782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仿宋_GB2312" w:eastAsia="仿宋_GB2312"/>
          <w:sz w:val="32"/>
          <w:szCs w:val="32"/>
          <w:lang w:bidi="ar"/>
        </w:rPr>
        <w:t>填报时间：</w:t>
      </w:r>
    </w:p>
    <w:p>
      <w:pPr>
        <w:snapToGrid w:val="0"/>
        <w:spacing w:line="600" w:lineRule="exact"/>
        <w:ind w:firstLine="780"/>
        <w:rPr>
          <w:rFonts w:ascii="Times New Roman" w:hAnsi="Times New Roman" w:eastAsia="方正楷体简体"/>
          <w:b/>
          <w:sz w:val="32"/>
          <w:szCs w:val="32"/>
        </w:rPr>
      </w:pPr>
    </w:p>
    <w:p>
      <w:pPr>
        <w:pStyle w:val="3"/>
        <w:widowControl/>
        <w:ind w:firstLine="0" w:firstLineChars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  <w:lang w:bidi="ar"/>
        </w:rPr>
        <w:t>九江市科学技术局制</w:t>
      </w:r>
    </w:p>
    <w:p>
      <w:pPr>
        <w:spacing w:line="360" w:lineRule="auto"/>
        <w:rPr>
          <w:rFonts w:ascii="Times New Roman" w:hAnsi="Times New Roman"/>
          <w:b/>
        </w:rPr>
      </w:pPr>
    </w:p>
    <w:p>
      <w:pPr>
        <w:spacing w:line="360" w:lineRule="auto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宋体"/>
          <w:b/>
          <w:szCs w:val="24"/>
          <w:lang w:bidi="ar"/>
        </w:rPr>
        <w:br w:type="page"/>
      </w:r>
      <w:r>
        <w:rPr>
          <w:rFonts w:ascii="Times New Roman" w:hAnsi="黑体" w:eastAsia="黑体"/>
          <w:sz w:val="32"/>
          <w:szCs w:val="32"/>
          <w:lang w:bidi="ar"/>
        </w:rPr>
        <w:t>一、基本信息表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7"/>
        <w:gridCol w:w="549"/>
        <w:gridCol w:w="562"/>
        <w:gridCol w:w="926"/>
        <w:gridCol w:w="1274"/>
        <w:gridCol w:w="213"/>
        <w:gridCol w:w="210"/>
        <w:gridCol w:w="312"/>
        <w:gridCol w:w="665"/>
        <w:gridCol w:w="158"/>
        <w:gridCol w:w="992"/>
        <w:gridCol w:w="14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重点实验室名称</w:t>
            </w:r>
          </w:p>
        </w:tc>
        <w:tc>
          <w:tcPr>
            <w:tcW w:w="7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重点实验室主任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525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项目产业类别</w:t>
            </w:r>
          </w:p>
        </w:tc>
        <w:tc>
          <w:tcPr>
            <w:tcW w:w="7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pacing w:val="-6"/>
                <w:sz w:val="24"/>
                <w:szCs w:val="24"/>
                <w:lang w:bidi="ar"/>
              </w:rPr>
              <w:t>石油化工</w:t>
            </w:r>
            <w:r>
              <w:rPr>
                <w:rFonts w:hint="eastAsia" w:ascii="Times New Roman" w:hAnsi="宋体" w:eastAsia="宋体"/>
                <w:spacing w:val="-6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pacing w:val="-6"/>
                <w:sz w:val="24"/>
                <w:szCs w:val="24"/>
                <w:lang w:bidi="ar"/>
              </w:rPr>
              <w:t>现代轻纺</w:t>
            </w:r>
            <w:r>
              <w:rPr>
                <w:rFonts w:hint="eastAsia" w:ascii="Times New Roman" w:hAnsi="宋体" w:eastAsia="宋体"/>
                <w:spacing w:val="-6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pacing w:val="-6"/>
                <w:sz w:val="24"/>
                <w:szCs w:val="24"/>
                <w:lang w:bidi="ar"/>
              </w:rPr>
              <w:t>装备制造</w:t>
            </w:r>
            <w:r>
              <w:rPr>
                <w:rFonts w:hint="eastAsia" w:ascii="Times New Roman" w:hAnsi="宋体" w:eastAsia="宋体"/>
                <w:spacing w:val="-6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pacing w:val="-6"/>
                <w:sz w:val="24"/>
                <w:szCs w:val="24"/>
                <w:lang w:bidi="ar"/>
              </w:rPr>
              <w:t>新能源</w:t>
            </w:r>
            <w:r>
              <w:rPr>
                <w:rFonts w:hint="eastAsia" w:ascii="Times New Roman" w:hAnsi="宋体" w:eastAsia="宋体"/>
                <w:spacing w:val="-6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pacing w:val="-6"/>
                <w:sz w:val="24"/>
                <w:szCs w:val="24"/>
                <w:lang w:bidi="ar"/>
              </w:rPr>
              <w:t>钢铁有色金属</w:t>
            </w:r>
          </w:p>
          <w:p>
            <w:pPr>
              <w:spacing w:line="4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生物医药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新材料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电子信息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绿色食品</w:t>
            </w:r>
            <w:r>
              <w:rPr>
                <w:rFonts w:hint="eastAsia" w:ascii="Times New Roman" w:hAnsi="宋体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智能电器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9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重点实验室的主要研究开发方向及内容（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9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现有的基础设施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试验场地、基础设施和设备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)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及近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年科研投入情况：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9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依托单位的科研创新能力（近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年承担项目、培养人才、成果转化、合作交流、论文、专利、标准等）：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atLeast"/>
          <w:jc w:val="center"/>
        </w:trPr>
        <w:tc>
          <w:tcPr>
            <w:tcW w:w="9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spacing w:before="156" w:beforeLines="50"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组织管理能力情况（相关制度、运行管理、开放共享情况等）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  <w:lang w:bidi="ar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重点实验室团队建设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主要人员</w:t>
            </w:r>
          </w:p>
          <w:p>
            <w:pPr>
              <w:tabs>
                <w:tab w:val="left" w:pos="1080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(10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人以上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)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职称</w:t>
            </w: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8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承担单位</w:t>
            </w:r>
          </w:p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负责人：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（盖章）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日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主管部门意见</w:t>
            </w:r>
          </w:p>
        </w:tc>
        <w:tc>
          <w:tcPr>
            <w:tcW w:w="3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负责人：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（盖章）</w:t>
            </w:r>
          </w:p>
          <w:p>
            <w:pPr>
              <w:snapToGrid w:val="0"/>
              <w:spacing w:line="340" w:lineRule="exact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hAnsi="宋体" w:eastAsia="宋体"/>
                <w:bCs/>
                <w:sz w:val="24"/>
                <w:szCs w:val="24"/>
                <w:lang w:bidi="ar"/>
              </w:rPr>
              <w:t>日</w:t>
            </w:r>
          </w:p>
        </w:tc>
      </w:tr>
    </w:tbl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  <w:sz w:val="32"/>
          <w:szCs w:val="24"/>
          <w:lang w:bidi="ar"/>
        </w:rPr>
        <w:br w:type="page"/>
      </w:r>
      <w:r>
        <w:rPr>
          <w:rFonts w:ascii="Times New Roman" w:hAnsi="黑体" w:eastAsia="黑体"/>
          <w:sz w:val="32"/>
          <w:szCs w:val="32"/>
          <w:lang w:bidi="ar"/>
        </w:rPr>
        <w:t>二、市重点实验室建设工作报告</w:t>
      </w:r>
      <w:r>
        <w:rPr>
          <w:rFonts w:ascii="Times New Roman" w:hAnsi="Times New Roman" w:eastAsia="黑体"/>
          <w:sz w:val="32"/>
          <w:szCs w:val="32"/>
          <w:lang w:bidi="ar"/>
        </w:rPr>
        <w:t>(</w:t>
      </w:r>
      <w:r>
        <w:rPr>
          <w:rFonts w:ascii="Times New Roman" w:hAnsi="黑体" w:eastAsia="黑体"/>
          <w:sz w:val="32"/>
          <w:szCs w:val="32"/>
          <w:lang w:bidi="ar"/>
        </w:rPr>
        <w:t>编写提纲</w:t>
      </w:r>
      <w:r>
        <w:rPr>
          <w:rFonts w:ascii="Times New Roman" w:hAnsi="Times New Roman" w:eastAsia="黑体"/>
          <w:sz w:val="32"/>
          <w:szCs w:val="32"/>
          <w:lang w:bidi="ar"/>
        </w:rPr>
        <w:t>)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（一）研究方向与定位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市重点实验室建设的目的和意义；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国内外本领域发展现状；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主要研究方向及内容；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对行业支撑作用。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（二）基础建设与投入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科研用房面积（平方米）；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科研仪器设备原值（万元）、科研配套设施等；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年市重点实验室建设与运行经费投入；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企业申报的重点实验室，需填写依托单位上年度技术及产品销售收入（亿元），年研究开发经费投入（万元）。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（三）人才队伍建设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市重点实验室主任、副主任情况简介；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市重点实验室固定人员名单（列出姓名、性别、出生年月、职称、研究方向、专业等主要信息，按研究、技术和管理人员分别排列）；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人才培养与引进情况。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（四）科研能力与成果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依托重点学科情况，近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年承担各类科技计划项目及横向科研项目；在国内外出版的专著和在核心期刊发表的学术论文情况，高水平代表作情况；获省部级科学技术奖、主持或参与质量技术标准制定等情况；成果就地转化情况。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企业近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年开发新产品及转化销售收入情况；获得专利受理及软件著作权情况，其中授权发明专利情况；主持或参与制定各类标准情况。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．成果就地转化与经济效益情况（总体情况及本地转化成功案例）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（五）学术交流与开放共享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年承办学术会议情况；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年提供开放共享服务情况。</w:t>
      </w:r>
    </w:p>
    <w:p>
      <w:pPr>
        <w:pStyle w:val="5"/>
        <w:snapToGrid w:val="0"/>
        <w:spacing w:beforeAutospacing="0" w:afterAutospacing="0" w:line="540" w:lineRule="exact"/>
        <w:ind w:firstLine="642" w:firstLineChars="20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楷体_GB2312" w:eastAsia="楷体_GB2312"/>
          <w:b/>
          <w:bCs/>
          <w:sz w:val="32"/>
          <w:szCs w:val="32"/>
        </w:rPr>
        <w:t>（六）组织管理</w:t>
      </w:r>
      <w:bookmarkStart w:id="0" w:name="_Toc254612107"/>
      <w:bookmarkStart w:id="1" w:name="_Toc254612109"/>
      <w:bookmarkStart w:id="2" w:name="_Toc254612108"/>
      <w:bookmarkStart w:id="3" w:name="_Toc254612110"/>
      <w:r>
        <w:rPr>
          <w:rFonts w:ascii="Times New Roman" w:hAnsi="楷体_GB2312" w:eastAsia="楷体_GB2312"/>
          <w:b/>
          <w:bCs/>
          <w:sz w:val="32"/>
          <w:szCs w:val="32"/>
        </w:rPr>
        <w:t>与安全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组织机构建设情况；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各类规章制度完善情况；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pacing w:val="-6"/>
          <w:sz w:val="32"/>
          <w:szCs w:val="32"/>
        </w:rPr>
        <w:t>日常运行管理落实情况（包括科研仪器设备管理与使用）；</w:t>
      </w:r>
    </w:p>
    <w:p>
      <w:pPr>
        <w:pStyle w:val="5"/>
        <w:snapToGrid w:val="0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Times New Roman" w:hAnsi="仿宋_GB2312" w:eastAsia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hAnsi="仿宋_GB2312" w:eastAsia="仿宋_GB2312"/>
          <w:sz w:val="32"/>
          <w:szCs w:val="32"/>
        </w:rPr>
        <w:t>年环保、安全、知识产权以及学术不端等情况。</w:t>
      </w:r>
    </w:p>
    <w:bookmarkEnd w:id="0"/>
    <w:bookmarkEnd w:id="1"/>
    <w:bookmarkEnd w:id="2"/>
    <w:bookmarkEnd w:id="3"/>
    <w:p>
      <w:pPr>
        <w:overflowPunct w:val="0"/>
        <w:autoSpaceDE w:val="0"/>
        <w:autoSpaceDN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CADC"/>
    <w:rsid w:val="7EDFC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2024-03-13T16:09:00Z</dcterms:created>
  <dc:creator>曹圣彬</dc:creator>
  <cp:lastModifiedBy>曹圣彬</cp:lastModifiedBy>
  <dcterms:modified xsi:type="dcterms:W3CDTF">2024-03-13T16:09:52Z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