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overflowPunct w:val="0"/>
        <w:spacing w:before="0" w:beforeAutospacing="0" w:after="0" w:afterAutospacing="0"/>
        <w:jc w:val="both"/>
        <w:rPr>
          <w:rFonts w:eastAsia="黑体"/>
          <w:sz w:val="30"/>
        </w:rPr>
      </w:pPr>
      <w:r>
        <w:rPr>
          <w:rFonts w:eastAsia="黑体"/>
          <w:sz w:val="32"/>
          <w:szCs w:val="28"/>
          <w:shd w:val="clear" w:color="auto" w:fill="FFFFFF"/>
        </w:rPr>
        <w:t>附件1</w:t>
      </w:r>
    </w:p>
    <w:p>
      <w:pPr>
        <w:pStyle w:val="3"/>
        <w:overflowPunct w:val="0"/>
        <w:spacing w:before="0" w:beforeAutospacing="0" w:after="175" w:afterLines="30" w:afterAutospacing="0" w:line="600" w:lineRule="exact"/>
        <w:jc w:val="center"/>
        <w:rPr>
          <w:rFonts w:ascii="方正小标宋简体" w:hAnsi="方正小标宋_GBK" w:eastAsia="方正小标宋简体" w:cs="方正小标宋_GBK"/>
          <w:kern w:val="2"/>
          <w:sz w:val="44"/>
          <w:szCs w:val="44"/>
        </w:rPr>
      </w:pPr>
      <w:r>
        <w:rPr>
          <w:rFonts w:hint="eastAsia" w:ascii="方正小标宋简体" w:hAnsi="方正小标宋_GBK" w:eastAsia="方正小标宋简体" w:cs="方正小标宋_GBK"/>
          <w:kern w:val="2"/>
          <w:sz w:val="44"/>
          <w:szCs w:val="44"/>
        </w:rPr>
        <w:t>新时代职业技能等级（岗位）序列基本要求</w:t>
      </w:r>
    </w:p>
    <w:tbl>
      <w:tblPr>
        <w:tblStyle w:val="4"/>
        <w:tblW w:w="899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13" w:type="dxa"/>
          <w:bottom w:w="0" w:type="dxa"/>
          <w:right w:w="113" w:type="dxa"/>
        </w:tblCellMar>
      </w:tblPr>
      <w:tblGrid>
        <w:gridCol w:w="737"/>
        <w:gridCol w:w="1191"/>
        <w:gridCol w:w="5383"/>
        <w:gridCol w:w="168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3" w:type="dxa"/>
            <w:bottom w:w="0" w:type="dxa"/>
            <w:right w:w="113" w:type="dxa"/>
          </w:tblCellMar>
        </w:tblPrEx>
        <w:trPr>
          <w:trHeight w:val="510" w:hRule="atLeast"/>
          <w:jc w:val="center"/>
        </w:trPr>
        <w:tc>
          <w:tcPr>
            <w:tcW w:w="737" w:type="dxa"/>
            <w:noWrap w:val="0"/>
            <w:vAlign w:val="center"/>
          </w:tcPr>
          <w:p>
            <w:pPr>
              <w:pStyle w:val="3"/>
              <w:overflowPunct w:val="0"/>
              <w:spacing w:before="0" w:beforeAutospacing="0" w:after="0" w:afterAutospacing="0" w:line="280" w:lineRule="exact"/>
              <w:jc w:val="center"/>
              <w:rPr>
                <w:rFonts w:ascii="黑体" w:hAnsi="黑体" w:eastAsia="黑体" w:cs="黑体"/>
              </w:rPr>
            </w:pPr>
            <w:r>
              <w:rPr>
                <w:rFonts w:hint="eastAsia" w:ascii="黑体" w:hAnsi="黑体" w:eastAsia="黑体" w:cs="黑体"/>
                <w:szCs w:val="24"/>
              </w:rPr>
              <w:t>序号</w:t>
            </w:r>
          </w:p>
        </w:tc>
        <w:tc>
          <w:tcPr>
            <w:tcW w:w="1191" w:type="dxa"/>
            <w:noWrap w:val="0"/>
            <w:vAlign w:val="center"/>
          </w:tcPr>
          <w:p>
            <w:pPr>
              <w:pStyle w:val="3"/>
              <w:overflowPunct w:val="0"/>
              <w:spacing w:before="0" w:beforeAutospacing="0" w:after="0" w:afterAutospacing="0" w:line="280" w:lineRule="exact"/>
              <w:jc w:val="center"/>
              <w:rPr>
                <w:rFonts w:ascii="黑体" w:hAnsi="黑体" w:eastAsia="黑体" w:cs="黑体"/>
              </w:rPr>
            </w:pPr>
            <w:r>
              <w:rPr>
                <w:rFonts w:hint="eastAsia" w:ascii="黑体" w:hAnsi="黑体" w:eastAsia="黑体" w:cs="黑体"/>
                <w:szCs w:val="24"/>
              </w:rPr>
              <w:t>级别名称</w:t>
            </w:r>
          </w:p>
        </w:tc>
        <w:tc>
          <w:tcPr>
            <w:tcW w:w="5383" w:type="dxa"/>
            <w:noWrap w:val="0"/>
            <w:vAlign w:val="center"/>
          </w:tcPr>
          <w:p>
            <w:pPr>
              <w:pStyle w:val="3"/>
              <w:overflowPunct w:val="0"/>
              <w:spacing w:before="0" w:beforeAutospacing="0" w:after="0" w:afterAutospacing="0" w:line="280" w:lineRule="exact"/>
              <w:jc w:val="center"/>
              <w:rPr>
                <w:rFonts w:ascii="黑体" w:hAnsi="黑体" w:eastAsia="黑体" w:cs="黑体"/>
              </w:rPr>
            </w:pPr>
            <w:r>
              <w:rPr>
                <w:rFonts w:hint="eastAsia" w:ascii="黑体" w:hAnsi="黑体" w:eastAsia="黑体" w:cs="黑体"/>
                <w:szCs w:val="24"/>
              </w:rPr>
              <w:t>基本要求</w:t>
            </w:r>
          </w:p>
        </w:tc>
        <w:tc>
          <w:tcPr>
            <w:tcW w:w="1681" w:type="dxa"/>
            <w:noWrap w:val="0"/>
            <w:vAlign w:val="center"/>
          </w:tcPr>
          <w:p>
            <w:pPr>
              <w:pStyle w:val="3"/>
              <w:overflowPunct w:val="0"/>
              <w:spacing w:before="0" w:beforeAutospacing="0" w:after="0" w:afterAutospacing="0" w:line="280" w:lineRule="exact"/>
              <w:jc w:val="center"/>
              <w:rPr>
                <w:rFonts w:ascii="黑体" w:hAnsi="黑体" w:eastAsia="黑体" w:cs="黑体"/>
              </w:rPr>
            </w:pPr>
            <w:r>
              <w:rPr>
                <w:rFonts w:hint="eastAsia" w:ascii="黑体" w:hAnsi="黑体" w:eastAsia="黑体" w:cs="黑体"/>
                <w:szCs w:val="24"/>
              </w:rPr>
              <w:t>实施机构</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737" w:type="dxa"/>
            <w:noWrap w:val="0"/>
            <w:vAlign w:val="center"/>
          </w:tcPr>
          <w:p>
            <w:pPr>
              <w:pStyle w:val="3"/>
              <w:overflowPunct w:val="0"/>
              <w:spacing w:before="0" w:beforeAutospacing="0" w:after="0" w:afterAutospacing="0" w:line="280" w:lineRule="exact"/>
              <w:jc w:val="center"/>
            </w:pPr>
            <w:r>
              <w:rPr>
                <w:szCs w:val="24"/>
              </w:rPr>
              <w:t>1</w:t>
            </w:r>
          </w:p>
        </w:tc>
        <w:tc>
          <w:tcPr>
            <w:tcW w:w="1191" w:type="dxa"/>
            <w:noWrap w:val="0"/>
            <w:vAlign w:val="center"/>
          </w:tcPr>
          <w:p>
            <w:pPr>
              <w:pStyle w:val="3"/>
              <w:overflowPunct w:val="0"/>
              <w:spacing w:before="0" w:beforeAutospacing="0" w:after="0" w:afterAutospacing="0" w:line="280" w:lineRule="exact"/>
              <w:jc w:val="center"/>
            </w:pPr>
            <w:r>
              <w:rPr>
                <w:szCs w:val="24"/>
              </w:rPr>
              <w:t>学徒工</w:t>
            </w:r>
          </w:p>
        </w:tc>
        <w:tc>
          <w:tcPr>
            <w:tcW w:w="5383" w:type="dxa"/>
            <w:noWrap w:val="0"/>
            <w:vAlign w:val="center"/>
          </w:tcPr>
          <w:p>
            <w:pPr>
              <w:pStyle w:val="3"/>
              <w:overflowPunct w:val="0"/>
              <w:spacing w:before="0" w:beforeAutospacing="0" w:after="0" w:afterAutospacing="0" w:line="280" w:lineRule="exact"/>
              <w:ind w:firstLine="480" w:firstLineChars="200"/>
              <w:jc w:val="both"/>
            </w:pPr>
            <w:r>
              <w:rPr>
                <w:szCs w:val="24"/>
              </w:rPr>
              <w:t>能够基本完成本职业某一方面的主要工作。</w:t>
            </w:r>
          </w:p>
        </w:tc>
        <w:tc>
          <w:tcPr>
            <w:tcW w:w="1681" w:type="dxa"/>
            <w:noWrap w:val="0"/>
            <w:vAlign w:val="center"/>
          </w:tcPr>
          <w:p>
            <w:pPr>
              <w:pStyle w:val="3"/>
              <w:overflowPunct w:val="0"/>
              <w:spacing w:before="0" w:beforeAutospacing="0" w:after="0" w:afterAutospacing="0" w:line="280" w:lineRule="exact"/>
              <w:jc w:val="center"/>
            </w:pPr>
            <w:r>
              <w:rPr>
                <w:rFonts w:hint="eastAsia"/>
                <w:szCs w:val="24"/>
              </w:rPr>
              <w:t>企业</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3" w:type="dxa"/>
            <w:bottom w:w="0" w:type="dxa"/>
            <w:right w:w="113" w:type="dxa"/>
          </w:tblCellMar>
        </w:tblPrEx>
        <w:trPr>
          <w:trHeight w:val="454" w:hRule="atLeast"/>
          <w:jc w:val="center"/>
        </w:trPr>
        <w:tc>
          <w:tcPr>
            <w:tcW w:w="737" w:type="dxa"/>
            <w:noWrap w:val="0"/>
            <w:vAlign w:val="center"/>
          </w:tcPr>
          <w:p>
            <w:pPr>
              <w:pStyle w:val="3"/>
              <w:overflowPunct w:val="0"/>
              <w:spacing w:before="0" w:beforeAutospacing="0" w:after="0" w:afterAutospacing="0" w:line="280" w:lineRule="exact"/>
              <w:jc w:val="center"/>
            </w:pPr>
            <w:r>
              <w:rPr>
                <w:szCs w:val="24"/>
              </w:rPr>
              <w:t>2</w:t>
            </w:r>
          </w:p>
        </w:tc>
        <w:tc>
          <w:tcPr>
            <w:tcW w:w="1191" w:type="dxa"/>
            <w:noWrap w:val="0"/>
            <w:vAlign w:val="center"/>
          </w:tcPr>
          <w:p>
            <w:pPr>
              <w:pStyle w:val="3"/>
              <w:overflowPunct w:val="0"/>
              <w:spacing w:before="0" w:beforeAutospacing="0" w:after="0" w:afterAutospacing="0" w:line="280" w:lineRule="exact"/>
              <w:jc w:val="center"/>
            </w:pPr>
            <w:r>
              <w:rPr>
                <w:szCs w:val="24"/>
              </w:rPr>
              <w:t>初级工</w:t>
            </w:r>
          </w:p>
        </w:tc>
        <w:tc>
          <w:tcPr>
            <w:tcW w:w="5383" w:type="dxa"/>
            <w:noWrap w:val="0"/>
            <w:vAlign w:val="center"/>
          </w:tcPr>
          <w:p>
            <w:pPr>
              <w:pStyle w:val="3"/>
              <w:overflowPunct w:val="0"/>
              <w:spacing w:before="0" w:beforeAutospacing="0" w:after="0" w:afterAutospacing="0" w:line="280" w:lineRule="exact"/>
              <w:ind w:firstLine="456" w:firstLineChars="200"/>
              <w:jc w:val="both"/>
            </w:pPr>
            <w:r>
              <w:rPr>
                <w:spacing w:val="-6"/>
                <w:szCs w:val="24"/>
              </w:rPr>
              <w:t>能够运用基本技能独立完成本职业的常规工作。</w:t>
            </w:r>
          </w:p>
        </w:tc>
        <w:tc>
          <w:tcPr>
            <w:tcW w:w="1681" w:type="dxa"/>
            <w:vMerge w:val="restart"/>
            <w:noWrap w:val="0"/>
            <w:vAlign w:val="center"/>
          </w:tcPr>
          <w:p>
            <w:pPr>
              <w:pStyle w:val="3"/>
              <w:overflowPunct w:val="0"/>
              <w:spacing w:before="0" w:beforeAutospacing="0" w:after="0" w:afterAutospacing="0" w:line="280" w:lineRule="exact"/>
              <w:jc w:val="center"/>
            </w:pPr>
            <w:r>
              <w:rPr>
                <w:rFonts w:hint="eastAsia"/>
                <w:szCs w:val="24"/>
              </w:rPr>
              <w:t>企业</w:t>
            </w:r>
            <w:r>
              <w:rPr>
                <w:szCs w:val="24"/>
              </w:rPr>
              <w:t>和</w:t>
            </w:r>
          </w:p>
          <w:p>
            <w:pPr>
              <w:pStyle w:val="3"/>
              <w:overflowPunct w:val="0"/>
              <w:spacing w:before="0" w:beforeAutospacing="0" w:after="0" w:afterAutospacing="0" w:line="280" w:lineRule="exact"/>
              <w:jc w:val="center"/>
            </w:pPr>
            <w:r>
              <w:rPr>
                <w:szCs w:val="24"/>
              </w:rPr>
              <w:t>社评组织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3" w:type="dxa"/>
            <w:bottom w:w="0" w:type="dxa"/>
            <w:right w:w="113" w:type="dxa"/>
          </w:tblCellMar>
        </w:tblPrEx>
        <w:trPr>
          <w:trHeight w:val="905" w:hRule="atLeast"/>
          <w:jc w:val="center"/>
        </w:trPr>
        <w:tc>
          <w:tcPr>
            <w:tcW w:w="737" w:type="dxa"/>
            <w:noWrap w:val="0"/>
            <w:vAlign w:val="center"/>
          </w:tcPr>
          <w:p>
            <w:pPr>
              <w:pStyle w:val="3"/>
              <w:overflowPunct w:val="0"/>
              <w:spacing w:before="0" w:beforeAutospacing="0" w:after="0" w:afterAutospacing="0" w:line="280" w:lineRule="exact"/>
              <w:jc w:val="center"/>
            </w:pPr>
            <w:r>
              <w:rPr>
                <w:szCs w:val="24"/>
              </w:rPr>
              <w:t>3</w:t>
            </w:r>
          </w:p>
        </w:tc>
        <w:tc>
          <w:tcPr>
            <w:tcW w:w="1191" w:type="dxa"/>
            <w:noWrap w:val="0"/>
            <w:vAlign w:val="center"/>
          </w:tcPr>
          <w:p>
            <w:pPr>
              <w:pStyle w:val="3"/>
              <w:overflowPunct w:val="0"/>
              <w:spacing w:before="0" w:beforeAutospacing="0" w:after="0" w:afterAutospacing="0" w:line="280" w:lineRule="exact"/>
              <w:jc w:val="center"/>
            </w:pPr>
            <w:r>
              <w:rPr>
                <w:szCs w:val="24"/>
              </w:rPr>
              <w:t>中级工</w:t>
            </w:r>
          </w:p>
        </w:tc>
        <w:tc>
          <w:tcPr>
            <w:tcW w:w="5383" w:type="dxa"/>
            <w:noWrap w:val="0"/>
            <w:vAlign w:val="center"/>
          </w:tcPr>
          <w:p>
            <w:pPr>
              <w:pStyle w:val="3"/>
              <w:overflowPunct w:val="0"/>
              <w:spacing w:before="0" w:beforeAutospacing="0" w:after="0" w:afterAutospacing="0" w:line="280" w:lineRule="exact"/>
              <w:ind w:firstLine="480" w:firstLineChars="200"/>
              <w:jc w:val="both"/>
            </w:pPr>
            <w:r>
              <w:rPr>
                <w:szCs w:val="24"/>
              </w:rPr>
              <w:t>能够熟练运用基本技能独立完成本职业的常规工作；在特定情况下，能够运用专门技能完成技术较为复杂的工作；能够与他人合作。</w:t>
            </w:r>
          </w:p>
        </w:tc>
        <w:tc>
          <w:tcPr>
            <w:tcW w:w="1681" w:type="dxa"/>
            <w:vMerge w:val="continue"/>
            <w:noWrap w:val="0"/>
            <w:vAlign w:val="center"/>
          </w:tcPr>
          <w:p>
            <w:pPr>
              <w:overflowPunct w:val="0"/>
              <w:spacing w:line="280" w:lineRule="exact"/>
              <w:jc w:val="center"/>
              <w:rPr>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3" w:type="dxa"/>
            <w:bottom w:w="0" w:type="dxa"/>
            <w:right w:w="113" w:type="dxa"/>
          </w:tblCellMar>
        </w:tblPrEx>
        <w:trPr>
          <w:trHeight w:val="57" w:hRule="atLeast"/>
          <w:jc w:val="center"/>
        </w:trPr>
        <w:tc>
          <w:tcPr>
            <w:tcW w:w="737" w:type="dxa"/>
            <w:noWrap w:val="0"/>
            <w:vAlign w:val="center"/>
          </w:tcPr>
          <w:p>
            <w:pPr>
              <w:pStyle w:val="3"/>
              <w:overflowPunct w:val="0"/>
              <w:spacing w:before="0" w:beforeAutospacing="0" w:after="0" w:afterAutospacing="0" w:line="280" w:lineRule="exact"/>
              <w:jc w:val="center"/>
            </w:pPr>
            <w:r>
              <w:rPr>
                <w:szCs w:val="24"/>
              </w:rPr>
              <w:t>4</w:t>
            </w:r>
          </w:p>
        </w:tc>
        <w:tc>
          <w:tcPr>
            <w:tcW w:w="1191" w:type="dxa"/>
            <w:noWrap w:val="0"/>
            <w:vAlign w:val="center"/>
          </w:tcPr>
          <w:p>
            <w:pPr>
              <w:pStyle w:val="3"/>
              <w:overflowPunct w:val="0"/>
              <w:spacing w:before="0" w:beforeAutospacing="0" w:after="0" w:afterAutospacing="0" w:line="280" w:lineRule="exact"/>
              <w:jc w:val="center"/>
            </w:pPr>
            <w:r>
              <w:rPr>
                <w:szCs w:val="24"/>
              </w:rPr>
              <w:t>高级工</w:t>
            </w:r>
          </w:p>
        </w:tc>
        <w:tc>
          <w:tcPr>
            <w:tcW w:w="5383" w:type="dxa"/>
            <w:noWrap w:val="0"/>
            <w:vAlign w:val="center"/>
          </w:tcPr>
          <w:p>
            <w:pPr>
              <w:pStyle w:val="3"/>
              <w:overflowPunct w:val="0"/>
              <w:spacing w:before="0" w:beforeAutospacing="0" w:after="0" w:afterAutospacing="0" w:line="280" w:lineRule="exact"/>
              <w:ind w:firstLine="480" w:firstLineChars="200"/>
              <w:jc w:val="both"/>
            </w:pPr>
            <w:r>
              <w:rPr>
                <w:szCs w:val="24"/>
              </w:rPr>
              <w:t>能够熟练运用基本技能和专门技能完成本职业较为复杂的工作，包括完成部分非常规性的工作；能够独立处理工作中出现的问题；能够指导和培训初、中级工。</w:t>
            </w:r>
          </w:p>
        </w:tc>
        <w:tc>
          <w:tcPr>
            <w:tcW w:w="1681" w:type="dxa"/>
            <w:vMerge w:val="continue"/>
            <w:noWrap w:val="0"/>
            <w:vAlign w:val="center"/>
          </w:tcPr>
          <w:p>
            <w:pPr>
              <w:overflowPunct w:val="0"/>
              <w:spacing w:line="280" w:lineRule="exact"/>
              <w:jc w:val="center"/>
              <w:rPr>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3" w:type="dxa"/>
            <w:bottom w:w="0" w:type="dxa"/>
            <w:right w:w="113" w:type="dxa"/>
          </w:tblCellMar>
        </w:tblPrEx>
        <w:trPr>
          <w:trHeight w:val="57" w:hRule="atLeast"/>
          <w:jc w:val="center"/>
        </w:trPr>
        <w:tc>
          <w:tcPr>
            <w:tcW w:w="737" w:type="dxa"/>
            <w:noWrap w:val="0"/>
            <w:vAlign w:val="center"/>
          </w:tcPr>
          <w:p>
            <w:pPr>
              <w:pStyle w:val="3"/>
              <w:overflowPunct w:val="0"/>
              <w:spacing w:before="0" w:beforeAutospacing="0" w:after="0" w:afterAutospacing="0" w:line="280" w:lineRule="exact"/>
              <w:jc w:val="center"/>
            </w:pPr>
            <w:r>
              <w:rPr>
                <w:szCs w:val="24"/>
              </w:rPr>
              <w:t>5</w:t>
            </w:r>
          </w:p>
        </w:tc>
        <w:tc>
          <w:tcPr>
            <w:tcW w:w="1191" w:type="dxa"/>
            <w:noWrap w:val="0"/>
            <w:vAlign w:val="center"/>
          </w:tcPr>
          <w:p>
            <w:pPr>
              <w:pStyle w:val="3"/>
              <w:overflowPunct w:val="0"/>
              <w:spacing w:before="0" w:beforeAutospacing="0" w:after="0" w:afterAutospacing="0" w:line="280" w:lineRule="exact"/>
              <w:jc w:val="center"/>
            </w:pPr>
            <w:r>
              <w:rPr>
                <w:szCs w:val="24"/>
              </w:rPr>
              <w:t>技师</w:t>
            </w:r>
          </w:p>
        </w:tc>
        <w:tc>
          <w:tcPr>
            <w:tcW w:w="5383" w:type="dxa"/>
            <w:noWrap w:val="0"/>
            <w:vAlign w:val="center"/>
          </w:tcPr>
          <w:p>
            <w:pPr>
              <w:pStyle w:val="3"/>
              <w:overflowPunct w:val="0"/>
              <w:spacing w:before="0" w:beforeAutospacing="0" w:after="0" w:afterAutospacing="0" w:line="280" w:lineRule="exact"/>
              <w:ind w:firstLine="480" w:firstLineChars="200"/>
              <w:jc w:val="both"/>
            </w:pPr>
            <w:r>
              <w:rPr>
                <w:szCs w:val="24"/>
              </w:rPr>
              <w:t>能够熟练运用专门技能和特殊技能完成本职业复杂的、非常规性的工作；掌握本职业的关键技术技能，能够独立处理和解决技术或工艺难题；在技术技能方面有创新；能够指导和培训初、中、高级工；具有一定的技术管理能力。</w:t>
            </w:r>
          </w:p>
        </w:tc>
        <w:tc>
          <w:tcPr>
            <w:tcW w:w="1681" w:type="dxa"/>
            <w:vMerge w:val="continue"/>
            <w:noWrap w:val="0"/>
            <w:vAlign w:val="center"/>
          </w:tcPr>
          <w:p>
            <w:pPr>
              <w:overflowPunct w:val="0"/>
              <w:spacing w:line="280" w:lineRule="exact"/>
              <w:jc w:val="center"/>
              <w:rPr>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3" w:type="dxa"/>
            <w:bottom w:w="0" w:type="dxa"/>
            <w:right w:w="113" w:type="dxa"/>
          </w:tblCellMar>
        </w:tblPrEx>
        <w:trPr>
          <w:trHeight w:val="57" w:hRule="atLeast"/>
          <w:jc w:val="center"/>
        </w:trPr>
        <w:tc>
          <w:tcPr>
            <w:tcW w:w="737" w:type="dxa"/>
            <w:noWrap w:val="0"/>
            <w:vAlign w:val="center"/>
          </w:tcPr>
          <w:p>
            <w:pPr>
              <w:pStyle w:val="3"/>
              <w:overflowPunct w:val="0"/>
              <w:spacing w:before="0" w:beforeAutospacing="0" w:after="0" w:afterAutospacing="0" w:line="280" w:lineRule="exact"/>
              <w:jc w:val="center"/>
            </w:pPr>
            <w:r>
              <w:rPr>
                <w:szCs w:val="24"/>
              </w:rPr>
              <w:t>6</w:t>
            </w:r>
          </w:p>
        </w:tc>
        <w:tc>
          <w:tcPr>
            <w:tcW w:w="1191" w:type="dxa"/>
            <w:noWrap w:val="0"/>
            <w:vAlign w:val="center"/>
          </w:tcPr>
          <w:p>
            <w:pPr>
              <w:pStyle w:val="3"/>
              <w:overflowPunct w:val="0"/>
              <w:spacing w:before="0" w:beforeAutospacing="0" w:after="0" w:afterAutospacing="0" w:line="280" w:lineRule="exact"/>
              <w:jc w:val="center"/>
            </w:pPr>
            <w:r>
              <w:rPr>
                <w:szCs w:val="24"/>
              </w:rPr>
              <w:t>高级技师</w:t>
            </w:r>
          </w:p>
        </w:tc>
        <w:tc>
          <w:tcPr>
            <w:tcW w:w="5383" w:type="dxa"/>
            <w:noWrap w:val="0"/>
            <w:vAlign w:val="center"/>
          </w:tcPr>
          <w:p>
            <w:pPr>
              <w:pStyle w:val="3"/>
              <w:overflowPunct w:val="0"/>
              <w:spacing w:before="0" w:beforeAutospacing="0" w:after="0" w:afterAutospacing="0" w:line="280" w:lineRule="exact"/>
              <w:ind w:firstLine="480" w:firstLineChars="200"/>
              <w:jc w:val="both"/>
            </w:pPr>
            <w:r>
              <w:rPr>
                <w:szCs w:val="24"/>
              </w:rPr>
              <w:t>能够熟练运用专门技能和特殊技能在本职业的各个领域完成复杂的、非常规性工作；熟练掌握本职业的关键技术技能，能够独立处理和解决高难度的技术问题或工艺难题；在技术攻关和工艺革新方面有创新；能够组织开展技术改造、技术革新活动；能够组织开展系统的专业技术培训；具有技术管理能力。</w:t>
            </w:r>
          </w:p>
        </w:tc>
        <w:tc>
          <w:tcPr>
            <w:tcW w:w="1681" w:type="dxa"/>
            <w:vMerge w:val="continue"/>
            <w:noWrap w:val="0"/>
            <w:vAlign w:val="center"/>
          </w:tcPr>
          <w:p>
            <w:pPr>
              <w:overflowPunct w:val="0"/>
              <w:spacing w:line="280" w:lineRule="exact"/>
              <w:jc w:val="center"/>
              <w:rPr>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3" w:type="dxa"/>
            <w:bottom w:w="0" w:type="dxa"/>
            <w:right w:w="113" w:type="dxa"/>
          </w:tblCellMar>
        </w:tblPrEx>
        <w:trPr>
          <w:trHeight w:val="57" w:hRule="atLeast"/>
          <w:jc w:val="center"/>
        </w:trPr>
        <w:tc>
          <w:tcPr>
            <w:tcW w:w="737" w:type="dxa"/>
            <w:noWrap w:val="0"/>
            <w:vAlign w:val="center"/>
          </w:tcPr>
          <w:p>
            <w:pPr>
              <w:pStyle w:val="3"/>
              <w:overflowPunct w:val="0"/>
              <w:spacing w:before="0" w:beforeAutospacing="0" w:after="0" w:afterAutospacing="0" w:line="280" w:lineRule="exact"/>
              <w:jc w:val="center"/>
            </w:pPr>
            <w:r>
              <w:rPr>
                <w:szCs w:val="24"/>
              </w:rPr>
              <w:t>7</w:t>
            </w:r>
          </w:p>
        </w:tc>
        <w:tc>
          <w:tcPr>
            <w:tcW w:w="1191" w:type="dxa"/>
            <w:noWrap w:val="0"/>
            <w:vAlign w:val="center"/>
          </w:tcPr>
          <w:p>
            <w:pPr>
              <w:pStyle w:val="3"/>
              <w:overflowPunct w:val="0"/>
              <w:spacing w:before="0" w:beforeAutospacing="0" w:after="0" w:afterAutospacing="0" w:line="280" w:lineRule="exact"/>
              <w:jc w:val="center"/>
            </w:pPr>
            <w:r>
              <w:rPr>
                <w:szCs w:val="24"/>
              </w:rPr>
              <w:t>特级技师</w:t>
            </w:r>
          </w:p>
        </w:tc>
        <w:tc>
          <w:tcPr>
            <w:tcW w:w="5383" w:type="dxa"/>
            <w:noWrap w:val="0"/>
            <w:vAlign w:val="center"/>
          </w:tcPr>
          <w:p>
            <w:pPr>
              <w:pStyle w:val="3"/>
              <w:overflowPunct w:val="0"/>
              <w:spacing w:before="0" w:beforeAutospacing="0" w:after="0" w:afterAutospacing="0" w:line="280" w:lineRule="exact"/>
              <w:ind w:firstLine="480" w:firstLineChars="200"/>
              <w:jc w:val="both"/>
            </w:pPr>
            <w:r>
              <w:rPr>
                <w:szCs w:val="24"/>
              </w:rPr>
              <w:t>在生产科研一线从事技术技能工作、业绩贡献突出的</w:t>
            </w:r>
            <w:r>
              <w:rPr>
                <w:rFonts w:hint="eastAsia" w:ascii="仿宋_GB2312" w:hAnsi="仿宋_GB2312" w:cs="仿宋_GB2312"/>
                <w:szCs w:val="24"/>
              </w:rPr>
              <w:t>“</w:t>
            </w:r>
            <w:r>
              <w:rPr>
                <w:szCs w:val="24"/>
              </w:rPr>
              <w:t>企业高技能领军人才</w:t>
            </w:r>
            <w:r>
              <w:rPr>
                <w:rFonts w:hint="eastAsia" w:ascii="仿宋_GB2312" w:hAnsi="仿宋_GB2312" w:cs="仿宋_GB2312"/>
                <w:szCs w:val="24"/>
              </w:rPr>
              <w:t>”</w:t>
            </w:r>
            <w:r>
              <w:rPr>
                <w:szCs w:val="24"/>
              </w:rPr>
              <w:t>。能够熟练运用专门技能和特殊技能在本职业的各个领域完成复杂的、非常规性工作；精通本职业及相关职业的重要理论原理及关键技术技能，能够独立处理和解决高难度的技术问题或工艺难题；承担传授技艺的任务，在技能人才梯队培养上作出突出贡献。</w:t>
            </w:r>
          </w:p>
        </w:tc>
        <w:tc>
          <w:tcPr>
            <w:tcW w:w="1681" w:type="dxa"/>
            <w:noWrap w:val="0"/>
            <w:vAlign w:val="center"/>
          </w:tcPr>
          <w:p>
            <w:pPr>
              <w:pStyle w:val="3"/>
              <w:overflowPunct w:val="0"/>
              <w:spacing w:before="0" w:beforeAutospacing="0" w:after="0" w:afterAutospacing="0" w:line="280" w:lineRule="exact"/>
              <w:jc w:val="center"/>
            </w:pPr>
            <w:r>
              <w:rPr>
                <w:szCs w:val="24"/>
              </w:rPr>
              <w:t>省级及以上人力资源社会保障部门指导</w:t>
            </w:r>
            <w:r>
              <w:rPr>
                <w:rFonts w:hint="eastAsia"/>
                <w:szCs w:val="24"/>
              </w:rPr>
              <w:t>企业</w:t>
            </w:r>
            <w:r>
              <w:rPr>
                <w:szCs w:val="24"/>
              </w:rPr>
              <w:t>实施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13" w:type="dxa"/>
            <w:bottom w:w="0" w:type="dxa"/>
            <w:right w:w="113" w:type="dxa"/>
          </w:tblCellMar>
        </w:tblPrEx>
        <w:trPr>
          <w:trHeight w:val="57" w:hRule="atLeast"/>
          <w:jc w:val="center"/>
        </w:trPr>
        <w:tc>
          <w:tcPr>
            <w:tcW w:w="737" w:type="dxa"/>
            <w:noWrap w:val="0"/>
            <w:vAlign w:val="center"/>
          </w:tcPr>
          <w:p>
            <w:pPr>
              <w:pStyle w:val="3"/>
              <w:overflowPunct w:val="0"/>
              <w:spacing w:before="0" w:beforeAutospacing="0" w:after="0" w:afterAutospacing="0" w:line="280" w:lineRule="exact"/>
              <w:jc w:val="center"/>
              <w:rPr>
                <w:lang w:bidi="ar"/>
              </w:rPr>
            </w:pPr>
            <w:r>
              <w:rPr>
                <w:szCs w:val="24"/>
              </w:rPr>
              <w:t>8</w:t>
            </w:r>
          </w:p>
        </w:tc>
        <w:tc>
          <w:tcPr>
            <w:tcW w:w="1191" w:type="dxa"/>
            <w:noWrap w:val="0"/>
            <w:vAlign w:val="center"/>
          </w:tcPr>
          <w:p>
            <w:pPr>
              <w:pStyle w:val="3"/>
              <w:overflowPunct w:val="0"/>
              <w:spacing w:before="0" w:beforeAutospacing="0" w:after="0" w:afterAutospacing="0" w:line="280" w:lineRule="exact"/>
              <w:jc w:val="center"/>
              <w:rPr>
                <w:lang w:bidi="ar"/>
              </w:rPr>
            </w:pPr>
            <w:r>
              <w:rPr>
                <w:szCs w:val="24"/>
              </w:rPr>
              <w:t>首席技师</w:t>
            </w:r>
          </w:p>
        </w:tc>
        <w:tc>
          <w:tcPr>
            <w:tcW w:w="5383" w:type="dxa"/>
            <w:noWrap w:val="0"/>
            <w:vAlign w:val="center"/>
          </w:tcPr>
          <w:p>
            <w:pPr>
              <w:pStyle w:val="3"/>
              <w:overflowPunct w:val="0"/>
              <w:spacing w:before="0" w:beforeAutospacing="0" w:after="0" w:afterAutospacing="0" w:line="280" w:lineRule="exact"/>
              <w:ind w:firstLine="480" w:firstLineChars="200"/>
              <w:jc w:val="both"/>
              <w:rPr>
                <w:lang w:bidi="ar"/>
              </w:rPr>
            </w:pPr>
            <w:r>
              <w:rPr>
                <w:szCs w:val="24"/>
              </w:rPr>
              <w:t>在技术技能领域作出重大贡献，或在本地区、本行业企业具有公认的高超技能、精湛技艺的</w:t>
            </w:r>
            <w:r>
              <w:rPr>
                <w:rFonts w:hint="eastAsia" w:ascii="仿宋_GB2312" w:hAnsi="仿宋_GB2312" w:cs="仿宋_GB2312"/>
                <w:szCs w:val="24"/>
              </w:rPr>
              <w:t>“</w:t>
            </w:r>
            <w:r>
              <w:rPr>
                <w:szCs w:val="24"/>
              </w:rPr>
              <w:t>地方或行业企业高技能领军人才</w:t>
            </w:r>
            <w:r>
              <w:rPr>
                <w:rFonts w:hint="eastAsia" w:ascii="仿宋_GB2312" w:hAnsi="仿宋_GB2312" w:cs="仿宋_GB2312"/>
                <w:szCs w:val="24"/>
              </w:rPr>
              <w:t>”</w:t>
            </w:r>
            <w:r>
              <w:rPr>
                <w:szCs w:val="24"/>
              </w:rPr>
              <w:t>。为地方、行业企业高技能人才队伍建设作出突出贡献；为国家重大技术攻关、成果转化、技术创新、发明等作出突出贡献，在地方、行业企业的技术进步与发展中发挥关键作用，专业水平在地方、行业企业具有很高认可度和影响力。</w:t>
            </w:r>
          </w:p>
        </w:tc>
        <w:tc>
          <w:tcPr>
            <w:tcW w:w="1681" w:type="dxa"/>
            <w:noWrap w:val="0"/>
            <w:vAlign w:val="center"/>
          </w:tcPr>
          <w:p>
            <w:pPr>
              <w:pStyle w:val="3"/>
              <w:overflowPunct w:val="0"/>
              <w:spacing w:before="0" w:beforeAutospacing="0" w:after="0" w:afterAutospacing="0" w:line="280" w:lineRule="exact"/>
              <w:jc w:val="center"/>
              <w:rPr>
                <w:lang w:bidi="ar"/>
              </w:rPr>
            </w:pPr>
            <w:r>
              <w:rPr>
                <w:szCs w:val="24"/>
              </w:rPr>
              <w:t>省级及以上人力资源社会保障部门指导</w:t>
            </w:r>
            <w:r>
              <w:rPr>
                <w:rFonts w:hint="eastAsia"/>
                <w:szCs w:val="24"/>
              </w:rPr>
              <w:t>企业</w:t>
            </w:r>
            <w:r>
              <w:rPr>
                <w:szCs w:val="24"/>
              </w:rPr>
              <w:t>实施</w:t>
            </w:r>
          </w:p>
        </w:tc>
      </w:tr>
    </w:tbl>
    <w:p>
      <w:pPr>
        <w:pStyle w:val="3"/>
        <w:overflowPunct w:val="0"/>
        <w:spacing w:before="0" w:beforeAutospacing="0" w:after="0" w:afterAutospacing="0"/>
        <w:jc w:val="both"/>
        <w:rPr>
          <w:rFonts w:eastAsia="黑体"/>
          <w:sz w:val="32"/>
          <w:szCs w:val="28"/>
          <w:shd w:val="clear" w:color="auto" w:fill="FFFFFF"/>
        </w:rPr>
      </w:pPr>
      <w:r>
        <w:rPr>
          <w:rFonts w:hint="eastAsia" w:eastAsia="黑体"/>
          <w:sz w:val="32"/>
          <w:szCs w:val="28"/>
          <w:shd w:val="clear" w:color="auto" w:fill="FFFFFF"/>
        </w:rPr>
        <w:t>附件2</w:t>
      </w:r>
    </w:p>
    <w:p>
      <w:pPr>
        <w:pStyle w:val="3"/>
        <w:overflowPunct w:val="0"/>
        <w:spacing w:before="0" w:beforeAutospacing="0" w:after="0" w:afterAutospacing="0" w:line="600" w:lineRule="exact"/>
        <w:jc w:val="center"/>
        <w:rPr>
          <w:rFonts w:ascii="方正小标宋简体" w:hAnsi="方正小标宋_GBK" w:eastAsia="方正小标宋简体" w:cs="方正小标宋_GBK"/>
          <w:kern w:val="2"/>
          <w:sz w:val="40"/>
          <w:szCs w:val="40"/>
        </w:rPr>
      </w:pPr>
      <w:r>
        <w:rPr>
          <w:rFonts w:hint="eastAsia" w:ascii="方正小标宋简体" w:hAnsi="方正小标宋_GBK" w:eastAsia="方正小标宋简体" w:cs="方正小标宋_GBK"/>
          <w:kern w:val="2"/>
          <w:sz w:val="44"/>
          <w:szCs w:val="44"/>
        </w:rPr>
        <w:t>特级技师、首席技师基本条件及评聘程序</w:t>
      </w:r>
    </w:p>
    <w:p/>
    <w:p>
      <w:pPr>
        <w:ind w:firstLine="640" w:firstLineChars="200"/>
        <w:rPr>
          <w:snapToGrid w:val="0"/>
          <w:kern w:val="0"/>
          <w:sz w:val="32"/>
          <w:szCs w:val="28"/>
        </w:rPr>
      </w:pPr>
      <w:r>
        <w:rPr>
          <w:snapToGrid w:val="0"/>
          <w:kern w:val="0"/>
          <w:sz w:val="32"/>
          <w:szCs w:val="28"/>
        </w:rPr>
        <w:t>特级技师</w:t>
      </w:r>
      <w:r>
        <w:rPr>
          <w:rFonts w:hint="eastAsia"/>
          <w:snapToGrid w:val="0"/>
          <w:kern w:val="0"/>
          <w:sz w:val="32"/>
          <w:szCs w:val="28"/>
        </w:rPr>
        <w:t>、</w:t>
      </w:r>
      <w:r>
        <w:rPr>
          <w:snapToGrid w:val="0"/>
          <w:kern w:val="0"/>
          <w:sz w:val="32"/>
          <w:szCs w:val="28"/>
        </w:rPr>
        <w:t>首席技师</w:t>
      </w:r>
      <w:r>
        <w:rPr>
          <w:rFonts w:hint="eastAsia"/>
          <w:snapToGrid w:val="0"/>
          <w:kern w:val="0"/>
          <w:sz w:val="32"/>
          <w:szCs w:val="28"/>
        </w:rPr>
        <w:t>的评聘工作由</w:t>
      </w:r>
      <w:r>
        <w:rPr>
          <w:snapToGrid w:val="0"/>
          <w:kern w:val="0"/>
          <w:sz w:val="32"/>
          <w:szCs w:val="28"/>
        </w:rPr>
        <w:t>企业</w:t>
      </w:r>
      <w:r>
        <w:rPr>
          <w:rFonts w:hint="eastAsia"/>
          <w:snapToGrid w:val="0"/>
          <w:kern w:val="0"/>
          <w:sz w:val="32"/>
          <w:szCs w:val="28"/>
        </w:rPr>
        <w:t>在各</w:t>
      </w:r>
      <w:r>
        <w:rPr>
          <w:snapToGrid w:val="0"/>
          <w:kern w:val="0"/>
          <w:sz w:val="32"/>
          <w:szCs w:val="28"/>
        </w:rPr>
        <w:t>级人力资源社会保障部门</w:t>
      </w:r>
      <w:r>
        <w:rPr>
          <w:rFonts w:hint="eastAsia"/>
          <w:snapToGrid w:val="0"/>
          <w:kern w:val="0"/>
          <w:sz w:val="32"/>
          <w:szCs w:val="28"/>
        </w:rPr>
        <w:t>（以下简称人社部门）</w:t>
      </w:r>
      <w:r>
        <w:rPr>
          <w:snapToGrid w:val="0"/>
          <w:kern w:val="0"/>
          <w:sz w:val="32"/>
          <w:szCs w:val="28"/>
        </w:rPr>
        <w:t>指导</w:t>
      </w:r>
      <w:r>
        <w:rPr>
          <w:rFonts w:hint="eastAsia"/>
          <w:snapToGrid w:val="0"/>
          <w:kern w:val="0"/>
          <w:sz w:val="32"/>
          <w:szCs w:val="28"/>
        </w:rPr>
        <w:t>下组织</w:t>
      </w:r>
      <w:r>
        <w:rPr>
          <w:snapToGrid w:val="0"/>
          <w:kern w:val="0"/>
          <w:sz w:val="32"/>
          <w:szCs w:val="28"/>
        </w:rPr>
        <w:t>实施</w:t>
      </w:r>
      <w:r>
        <w:rPr>
          <w:rFonts w:hint="eastAsia"/>
          <w:snapToGrid w:val="0"/>
          <w:kern w:val="0"/>
          <w:sz w:val="32"/>
          <w:szCs w:val="28"/>
        </w:rPr>
        <w:t>。企业</w:t>
      </w:r>
      <w:r>
        <w:rPr>
          <w:snapToGrid w:val="0"/>
          <w:kern w:val="0"/>
          <w:sz w:val="32"/>
          <w:szCs w:val="28"/>
        </w:rPr>
        <w:t>应</w:t>
      </w:r>
      <w:r>
        <w:rPr>
          <w:rFonts w:hint="eastAsia"/>
          <w:snapToGrid w:val="0"/>
          <w:kern w:val="0"/>
          <w:sz w:val="32"/>
          <w:szCs w:val="28"/>
        </w:rPr>
        <w:t>参考以下</w:t>
      </w:r>
      <w:r>
        <w:rPr>
          <w:snapToGrid w:val="0"/>
          <w:kern w:val="0"/>
          <w:sz w:val="32"/>
          <w:szCs w:val="28"/>
        </w:rPr>
        <w:t>基本条件，结合本</w:t>
      </w:r>
      <w:r>
        <w:rPr>
          <w:rFonts w:hint="eastAsia"/>
          <w:snapToGrid w:val="0"/>
          <w:kern w:val="0"/>
          <w:sz w:val="32"/>
          <w:szCs w:val="28"/>
        </w:rPr>
        <w:t>行业</w:t>
      </w:r>
      <w:r>
        <w:rPr>
          <w:snapToGrid w:val="0"/>
          <w:kern w:val="0"/>
          <w:sz w:val="32"/>
          <w:szCs w:val="28"/>
        </w:rPr>
        <w:t>、本企业实际情况，</w:t>
      </w:r>
      <w:r>
        <w:rPr>
          <w:rFonts w:hint="eastAsia"/>
          <w:snapToGrid w:val="0"/>
          <w:kern w:val="0"/>
          <w:sz w:val="32"/>
          <w:szCs w:val="28"/>
        </w:rPr>
        <w:t>制定</w:t>
      </w:r>
      <w:r>
        <w:rPr>
          <w:snapToGrid w:val="0"/>
          <w:kern w:val="0"/>
          <w:sz w:val="32"/>
          <w:szCs w:val="28"/>
        </w:rPr>
        <w:t>评聘方案并</w:t>
      </w:r>
      <w:r>
        <w:rPr>
          <w:rFonts w:hint="eastAsia"/>
          <w:snapToGrid w:val="0"/>
          <w:kern w:val="0"/>
          <w:sz w:val="32"/>
          <w:szCs w:val="28"/>
        </w:rPr>
        <w:t>按</w:t>
      </w:r>
      <w:r>
        <w:rPr>
          <w:snapToGrid w:val="0"/>
          <w:kern w:val="0"/>
          <w:sz w:val="32"/>
          <w:szCs w:val="28"/>
        </w:rPr>
        <w:t>程序开展评聘工作。</w:t>
      </w:r>
    </w:p>
    <w:p>
      <w:pPr>
        <w:pStyle w:val="3"/>
        <w:overflowPunct w:val="0"/>
        <w:spacing w:before="0" w:beforeAutospacing="0" w:after="0" w:afterAutospacing="0"/>
        <w:ind w:firstLine="640" w:firstLineChars="200"/>
        <w:jc w:val="both"/>
        <w:rPr>
          <w:rFonts w:ascii="黑体" w:hAnsi="黑体" w:eastAsia="黑体" w:cs="黑体"/>
          <w:snapToGrid w:val="0"/>
          <w:sz w:val="32"/>
          <w:szCs w:val="28"/>
        </w:rPr>
      </w:pPr>
      <w:r>
        <w:rPr>
          <w:rFonts w:hint="eastAsia" w:ascii="黑体" w:hAnsi="黑体" w:eastAsia="黑体" w:cs="黑体"/>
          <w:snapToGrid w:val="0"/>
          <w:sz w:val="32"/>
          <w:szCs w:val="28"/>
        </w:rPr>
        <w:t>一、特级技师基本条件</w:t>
      </w:r>
    </w:p>
    <w:p>
      <w:pPr>
        <w:pStyle w:val="3"/>
        <w:overflowPunct w:val="0"/>
        <w:spacing w:before="0" w:beforeAutospacing="0" w:after="0" w:afterAutospacing="0"/>
        <w:ind w:firstLine="640" w:firstLineChars="200"/>
        <w:jc w:val="both"/>
        <w:rPr>
          <w:snapToGrid w:val="0"/>
          <w:sz w:val="32"/>
          <w:szCs w:val="28"/>
        </w:rPr>
      </w:pPr>
      <w:r>
        <w:rPr>
          <w:snapToGrid w:val="0"/>
          <w:sz w:val="32"/>
          <w:szCs w:val="28"/>
        </w:rPr>
        <w:t>特级技师</w:t>
      </w:r>
      <w:r>
        <w:rPr>
          <w:rFonts w:hint="eastAsia"/>
          <w:snapToGrid w:val="0"/>
          <w:sz w:val="32"/>
          <w:szCs w:val="28"/>
        </w:rPr>
        <w:t>应</w:t>
      </w:r>
      <w:r>
        <w:rPr>
          <w:snapToGrid w:val="0"/>
          <w:sz w:val="32"/>
          <w:szCs w:val="28"/>
        </w:rPr>
        <w:t>能够熟练运用专门技能和特殊技能在本职业的各个领域完成复杂的、非常规性工作；精通本职业及相关职业的重要理论原理及关键技术技能，能够独立处理和解决高难度的技术问题或工艺难题；承担传授技艺的任务，在技能人才梯队培养上作出突出贡献。原则上要求具有高级技师职业资格或职业技能等级，并在高级技师岗位工作满5年且仍从事本职业（工种）工作；或具有与申报职业（工种）贯通的正高级职称专业技术资格，且仍在与申报职业（工种）相关的技术技能领域工作</w:t>
      </w:r>
      <w:r>
        <w:rPr>
          <w:rFonts w:hint="eastAsia"/>
          <w:snapToGrid w:val="0"/>
          <w:sz w:val="32"/>
          <w:szCs w:val="28"/>
        </w:rPr>
        <w:t>。</w:t>
      </w:r>
    </w:p>
    <w:p>
      <w:pPr>
        <w:pStyle w:val="3"/>
        <w:overflowPunct w:val="0"/>
        <w:spacing w:before="0" w:beforeAutospacing="0" w:after="0" w:afterAutospacing="0"/>
        <w:ind w:firstLine="640" w:firstLineChars="200"/>
        <w:jc w:val="both"/>
        <w:rPr>
          <w:rFonts w:ascii="楷体_GB2312" w:hAnsi="楷体_GB2312" w:eastAsia="楷体_GB2312" w:cs="楷体_GB2312"/>
          <w:snapToGrid w:val="0"/>
          <w:sz w:val="32"/>
          <w:szCs w:val="28"/>
        </w:rPr>
      </w:pPr>
      <w:r>
        <w:rPr>
          <w:rFonts w:hint="eastAsia" w:ascii="楷体_GB2312" w:hAnsi="楷体_GB2312" w:eastAsia="楷体_GB2312" w:cs="楷体_GB2312"/>
          <w:snapToGrid w:val="0"/>
          <w:sz w:val="32"/>
          <w:szCs w:val="28"/>
        </w:rPr>
        <w:t>（一）符合以下条件之一可优先考虑：</w:t>
      </w:r>
    </w:p>
    <w:p>
      <w:pPr>
        <w:pStyle w:val="3"/>
        <w:overflowPunct w:val="0"/>
        <w:spacing w:before="0" w:beforeAutospacing="0" w:after="0" w:afterAutospacing="0"/>
        <w:ind w:firstLine="640" w:firstLineChars="200"/>
        <w:jc w:val="both"/>
        <w:rPr>
          <w:snapToGrid w:val="0"/>
          <w:sz w:val="32"/>
          <w:szCs w:val="28"/>
        </w:rPr>
      </w:pPr>
      <w:r>
        <w:rPr>
          <w:rFonts w:hint="eastAsia"/>
          <w:snapToGrid w:val="0"/>
          <w:sz w:val="32"/>
          <w:szCs w:val="28"/>
        </w:rPr>
        <w:t xml:space="preserve">1. </w:t>
      </w:r>
      <w:r>
        <w:rPr>
          <w:snapToGrid w:val="0"/>
          <w:sz w:val="32"/>
          <w:szCs w:val="28"/>
        </w:rPr>
        <w:t>享受政府特殊津贴</w:t>
      </w:r>
      <w:r>
        <w:rPr>
          <w:rFonts w:hint="eastAsia"/>
          <w:snapToGrid w:val="0"/>
          <w:sz w:val="32"/>
          <w:szCs w:val="28"/>
        </w:rPr>
        <w:t>的高技能人才、</w:t>
      </w:r>
      <w:r>
        <w:rPr>
          <w:snapToGrid w:val="0"/>
          <w:sz w:val="32"/>
          <w:szCs w:val="28"/>
        </w:rPr>
        <w:t>国家级技能大师工作室领办人</w:t>
      </w:r>
      <w:r>
        <w:rPr>
          <w:rFonts w:hint="eastAsia"/>
          <w:snapToGrid w:val="0"/>
          <w:sz w:val="32"/>
          <w:szCs w:val="28"/>
        </w:rPr>
        <w:t>、</w:t>
      </w:r>
      <w:r>
        <w:rPr>
          <w:snapToGrid w:val="0"/>
          <w:sz w:val="32"/>
          <w:szCs w:val="28"/>
        </w:rPr>
        <w:t>全国技术能手</w:t>
      </w:r>
      <w:r>
        <w:rPr>
          <w:rFonts w:hint="eastAsia"/>
          <w:snapToGrid w:val="0"/>
          <w:sz w:val="32"/>
          <w:szCs w:val="28"/>
        </w:rPr>
        <w:t>；</w:t>
      </w:r>
    </w:p>
    <w:p>
      <w:pPr>
        <w:pStyle w:val="3"/>
        <w:overflowPunct w:val="0"/>
        <w:spacing w:before="0" w:beforeAutospacing="0" w:after="0" w:afterAutospacing="0"/>
        <w:ind w:firstLine="640" w:firstLineChars="200"/>
        <w:jc w:val="both"/>
        <w:rPr>
          <w:snapToGrid w:val="0"/>
          <w:sz w:val="32"/>
          <w:szCs w:val="28"/>
        </w:rPr>
      </w:pPr>
      <w:r>
        <w:rPr>
          <w:rFonts w:hint="eastAsia"/>
          <w:snapToGrid w:val="0"/>
          <w:sz w:val="32"/>
          <w:szCs w:val="28"/>
        </w:rPr>
        <w:t>2. 享受省政府专项津贴的高技能人才、</w:t>
      </w:r>
      <w:r>
        <w:rPr>
          <w:snapToGrid w:val="0"/>
          <w:sz w:val="32"/>
          <w:szCs w:val="28"/>
        </w:rPr>
        <w:t>湖北省技能大师、湖北省技术能手、省级技能大师工作室领办人</w:t>
      </w:r>
      <w:r>
        <w:rPr>
          <w:rFonts w:hint="eastAsia"/>
          <w:snapToGrid w:val="0"/>
          <w:sz w:val="32"/>
          <w:szCs w:val="28"/>
        </w:rPr>
        <w:t>;</w:t>
      </w:r>
    </w:p>
    <w:p>
      <w:pPr>
        <w:pStyle w:val="3"/>
        <w:overflowPunct w:val="0"/>
        <w:spacing w:before="0" w:beforeAutospacing="0" w:after="0" w:afterAutospacing="0"/>
        <w:ind w:firstLine="640" w:firstLineChars="200"/>
        <w:jc w:val="both"/>
        <w:rPr>
          <w:snapToGrid w:val="0"/>
          <w:sz w:val="32"/>
          <w:szCs w:val="28"/>
        </w:rPr>
      </w:pPr>
      <w:r>
        <w:rPr>
          <w:snapToGrid w:val="0"/>
          <w:sz w:val="32"/>
          <w:szCs w:val="28"/>
        </w:rPr>
        <w:t>3.</w:t>
      </w:r>
      <w:r>
        <w:rPr>
          <w:rFonts w:hint="eastAsia"/>
          <w:snapToGrid w:val="0"/>
          <w:sz w:val="32"/>
          <w:szCs w:val="28"/>
        </w:rPr>
        <w:t>获得</w:t>
      </w:r>
      <w:r>
        <w:rPr>
          <w:snapToGrid w:val="0"/>
          <w:sz w:val="32"/>
          <w:szCs w:val="28"/>
        </w:rPr>
        <w:t>国家级、省部级科技进步奖二等奖及以上的主要完成者。</w:t>
      </w:r>
    </w:p>
    <w:p>
      <w:pPr>
        <w:pStyle w:val="3"/>
        <w:overflowPunct w:val="0"/>
        <w:spacing w:before="0" w:beforeAutospacing="0" w:after="0" w:afterAutospacing="0"/>
        <w:ind w:firstLine="640" w:firstLineChars="200"/>
        <w:jc w:val="both"/>
        <w:rPr>
          <w:rFonts w:ascii="楷体_GB2312" w:hAnsi="楷体_GB2312" w:eastAsia="楷体_GB2312" w:cs="楷体_GB2312"/>
          <w:snapToGrid w:val="0"/>
          <w:sz w:val="32"/>
          <w:szCs w:val="28"/>
        </w:rPr>
      </w:pPr>
      <w:r>
        <w:rPr>
          <w:rFonts w:hint="eastAsia" w:ascii="楷体_GB2312" w:hAnsi="楷体_GB2312" w:eastAsia="楷体_GB2312" w:cs="楷体_GB2312"/>
          <w:snapToGrid w:val="0"/>
          <w:sz w:val="32"/>
          <w:szCs w:val="28"/>
        </w:rPr>
        <w:t>（二）符合以下条件之一可以直接申报特级技师：</w:t>
      </w:r>
    </w:p>
    <w:p>
      <w:pPr>
        <w:pStyle w:val="3"/>
        <w:overflowPunct w:val="0"/>
        <w:spacing w:before="0" w:beforeAutospacing="0" w:after="0" w:afterAutospacing="0"/>
        <w:ind w:firstLine="640" w:firstLineChars="200"/>
        <w:jc w:val="both"/>
        <w:rPr>
          <w:snapToGrid w:val="0"/>
          <w:sz w:val="32"/>
          <w:szCs w:val="28"/>
        </w:rPr>
      </w:pPr>
      <w:r>
        <w:rPr>
          <w:rFonts w:hint="eastAsia"/>
          <w:snapToGrid w:val="0"/>
          <w:sz w:val="32"/>
          <w:szCs w:val="28"/>
        </w:rPr>
        <w:t xml:space="preserve">1. </w:t>
      </w:r>
      <w:r>
        <w:rPr>
          <w:snapToGrid w:val="0"/>
          <w:sz w:val="32"/>
          <w:szCs w:val="28"/>
        </w:rPr>
        <w:t>中华技能大奖获得者</w:t>
      </w:r>
      <w:r>
        <w:rPr>
          <w:rFonts w:hint="eastAsia"/>
          <w:snapToGrid w:val="0"/>
          <w:sz w:val="32"/>
          <w:szCs w:val="28"/>
        </w:rPr>
        <w:t>；</w:t>
      </w:r>
    </w:p>
    <w:p>
      <w:pPr>
        <w:pStyle w:val="3"/>
        <w:overflowPunct w:val="0"/>
        <w:spacing w:before="0" w:beforeAutospacing="0" w:after="0" w:afterAutospacing="0"/>
        <w:ind w:firstLine="640" w:firstLineChars="200"/>
        <w:jc w:val="both"/>
        <w:rPr>
          <w:snapToGrid w:val="0"/>
          <w:sz w:val="32"/>
          <w:szCs w:val="28"/>
        </w:rPr>
      </w:pPr>
      <w:r>
        <w:rPr>
          <w:rFonts w:hint="eastAsia"/>
          <w:snapToGrid w:val="0"/>
          <w:sz w:val="32"/>
          <w:szCs w:val="28"/>
        </w:rPr>
        <w:t xml:space="preserve">2. </w:t>
      </w:r>
      <w:r>
        <w:rPr>
          <w:snapToGrid w:val="0"/>
          <w:sz w:val="32"/>
          <w:szCs w:val="28"/>
        </w:rPr>
        <w:t>湖北省杰出人才奖获得者中的技能人才</w:t>
      </w:r>
      <w:r>
        <w:rPr>
          <w:rFonts w:hint="eastAsia"/>
          <w:snapToGrid w:val="0"/>
          <w:sz w:val="32"/>
          <w:szCs w:val="28"/>
        </w:rPr>
        <w:t>；</w:t>
      </w:r>
    </w:p>
    <w:p>
      <w:pPr>
        <w:pStyle w:val="3"/>
        <w:overflowPunct w:val="0"/>
        <w:spacing w:before="0" w:beforeAutospacing="0" w:after="0" w:afterAutospacing="0"/>
        <w:ind w:firstLine="640" w:firstLineChars="200"/>
        <w:jc w:val="both"/>
        <w:rPr>
          <w:snapToGrid w:val="0"/>
          <w:sz w:val="32"/>
          <w:szCs w:val="28"/>
        </w:rPr>
      </w:pPr>
      <w:r>
        <w:rPr>
          <w:rFonts w:hint="eastAsia"/>
          <w:snapToGrid w:val="0"/>
          <w:sz w:val="32"/>
          <w:szCs w:val="28"/>
        </w:rPr>
        <w:t xml:space="preserve">3. </w:t>
      </w:r>
      <w:r>
        <w:rPr>
          <w:snapToGrid w:val="0"/>
          <w:sz w:val="32"/>
          <w:szCs w:val="28"/>
        </w:rPr>
        <w:t>湖北工匠</w:t>
      </w:r>
      <w:r>
        <w:rPr>
          <w:rFonts w:hint="eastAsia"/>
          <w:snapToGrid w:val="0"/>
          <w:sz w:val="32"/>
          <w:szCs w:val="28"/>
        </w:rPr>
        <w:t>；</w:t>
      </w:r>
    </w:p>
    <w:p>
      <w:pPr>
        <w:pStyle w:val="3"/>
        <w:overflowPunct w:val="0"/>
        <w:spacing w:before="0" w:beforeAutospacing="0" w:after="0" w:afterAutospacing="0"/>
        <w:ind w:firstLine="640" w:firstLineChars="200"/>
        <w:jc w:val="both"/>
        <w:rPr>
          <w:snapToGrid w:val="0"/>
          <w:sz w:val="32"/>
          <w:szCs w:val="28"/>
        </w:rPr>
      </w:pPr>
      <w:r>
        <w:rPr>
          <w:rFonts w:hint="eastAsia"/>
          <w:snapToGrid w:val="0"/>
          <w:sz w:val="32"/>
          <w:szCs w:val="28"/>
        </w:rPr>
        <w:t xml:space="preserve">4. </w:t>
      </w:r>
      <w:r>
        <w:rPr>
          <w:snapToGrid w:val="0"/>
          <w:sz w:val="32"/>
          <w:szCs w:val="28"/>
        </w:rPr>
        <w:t>世界技能大赛铜牌以上获得者</w:t>
      </w:r>
      <w:r>
        <w:rPr>
          <w:rFonts w:hint="eastAsia"/>
          <w:snapToGrid w:val="0"/>
          <w:sz w:val="32"/>
          <w:szCs w:val="28"/>
        </w:rPr>
        <w:t>或中华人民共和国</w:t>
      </w:r>
      <w:r>
        <w:rPr>
          <w:snapToGrid w:val="0"/>
          <w:sz w:val="32"/>
          <w:szCs w:val="28"/>
        </w:rPr>
        <w:t>职业技能大赛金牌获得者及其教练等</w:t>
      </w:r>
      <w:r>
        <w:rPr>
          <w:rFonts w:hint="eastAsia"/>
          <w:snapToGrid w:val="0"/>
          <w:sz w:val="32"/>
          <w:szCs w:val="28"/>
        </w:rPr>
        <w:t>。</w:t>
      </w:r>
    </w:p>
    <w:p>
      <w:pPr>
        <w:pStyle w:val="3"/>
        <w:overflowPunct w:val="0"/>
        <w:spacing w:before="0" w:beforeAutospacing="0" w:after="0" w:afterAutospacing="0"/>
        <w:ind w:firstLine="640" w:firstLineChars="200"/>
        <w:jc w:val="both"/>
        <w:rPr>
          <w:snapToGrid w:val="0"/>
          <w:sz w:val="32"/>
          <w:szCs w:val="28"/>
        </w:rPr>
      </w:pPr>
      <w:r>
        <w:rPr>
          <w:rFonts w:hint="eastAsia" w:ascii="黑体" w:hAnsi="黑体" w:eastAsia="黑体" w:cs="黑体"/>
          <w:snapToGrid w:val="0"/>
          <w:sz w:val="32"/>
          <w:szCs w:val="28"/>
        </w:rPr>
        <w:t>二、首席技师基本条件</w:t>
      </w:r>
    </w:p>
    <w:p>
      <w:pPr>
        <w:pStyle w:val="3"/>
        <w:overflowPunct w:val="0"/>
        <w:spacing w:before="0" w:beforeAutospacing="0" w:after="0" w:afterAutospacing="0"/>
        <w:ind w:firstLine="640" w:firstLineChars="200"/>
        <w:jc w:val="both"/>
        <w:rPr>
          <w:snapToGrid w:val="0"/>
          <w:sz w:val="32"/>
          <w:szCs w:val="28"/>
        </w:rPr>
      </w:pPr>
      <w:r>
        <w:rPr>
          <w:rFonts w:hint="eastAsia"/>
          <w:snapToGrid w:val="0"/>
          <w:sz w:val="32"/>
          <w:szCs w:val="28"/>
        </w:rPr>
        <w:t>首席技师在具备特级技师相关条件基础上，还应具备以下条件：</w:t>
      </w:r>
    </w:p>
    <w:p>
      <w:pPr>
        <w:pStyle w:val="3"/>
        <w:numPr>
          <w:ilvl w:val="0"/>
          <w:numId w:val="1"/>
        </w:numPr>
        <w:overflowPunct w:val="0"/>
        <w:spacing w:before="0" w:beforeAutospacing="0" w:after="0" w:afterAutospacing="0"/>
        <w:ind w:firstLine="640" w:firstLineChars="200"/>
        <w:jc w:val="both"/>
        <w:rPr>
          <w:snapToGrid w:val="0"/>
          <w:sz w:val="32"/>
          <w:szCs w:val="28"/>
        </w:rPr>
      </w:pPr>
      <w:r>
        <w:rPr>
          <w:snapToGrid w:val="0"/>
          <w:sz w:val="32"/>
          <w:szCs w:val="28"/>
        </w:rPr>
        <w:t>刻苦钻研技术，具有本职业领域绝招绝技和突出的技术特长</w:t>
      </w:r>
      <w:r>
        <w:rPr>
          <w:rFonts w:hint="eastAsia"/>
          <w:snapToGrid w:val="0"/>
          <w:sz w:val="32"/>
          <w:szCs w:val="28"/>
        </w:rPr>
        <w:t>；</w:t>
      </w:r>
    </w:p>
    <w:p>
      <w:pPr>
        <w:pStyle w:val="3"/>
        <w:numPr>
          <w:ilvl w:val="0"/>
          <w:numId w:val="1"/>
        </w:numPr>
        <w:overflowPunct w:val="0"/>
        <w:spacing w:before="0" w:beforeAutospacing="0" w:after="0" w:afterAutospacing="0"/>
        <w:ind w:firstLine="640" w:firstLineChars="200"/>
        <w:jc w:val="both"/>
        <w:rPr>
          <w:snapToGrid w:val="0"/>
          <w:sz w:val="32"/>
          <w:szCs w:val="28"/>
        </w:rPr>
      </w:pPr>
      <w:r>
        <w:rPr>
          <w:snapToGrid w:val="0"/>
          <w:sz w:val="32"/>
          <w:szCs w:val="28"/>
        </w:rPr>
        <w:t>总结创造了在同行业中公认的先进操作法，提高了劳动生产率，创造了同行业较高生产、销售记录</w:t>
      </w:r>
      <w:r>
        <w:rPr>
          <w:rFonts w:hint="eastAsia"/>
          <w:snapToGrid w:val="0"/>
          <w:sz w:val="32"/>
          <w:szCs w:val="28"/>
        </w:rPr>
        <w:t>；</w:t>
      </w:r>
    </w:p>
    <w:p>
      <w:pPr>
        <w:pStyle w:val="3"/>
        <w:numPr>
          <w:ilvl w:val="0"/>
          <w:numId w:val="1"/>
        </w:numPr>
        <w:overflowPunct w:val="0"/>
        <w:spacing w:before="0" w:beforeAutospacing="0" w:after="0" w:afterAutospacing="0"/>
        <w:ind w:firstLine="640" w:firstLineChars="200"/>
        <w:jc w:val="both"/>
        <w:rPr>
          <w:snapToGrid w:val="0"/>
          <w:sz w:val="32"/>
          <w:szCs w:val="28"/>
        </w:rPr>
      </w:pPr>
      <w:r>
        <w:rPr>
          <w:snapToGrid w:val="0"/>
          <w:sz w:val="32"/>
          <w:szCs w:val="28"/>
        </w:rPr>
        <w:t>具有较为丰富的生产实践经验，在生产实践中创造性地解决了本行业、本工种关键性的操作技术和生产工艺难题，或在技术上有重大发明创造或重大技术革新，推动生产效率、产品质量和经济效益大幅度提高。</w:t>
      </w:r>
    </w:p>
    <w:p>
      <w:pPr>
        <w:pStyle w:val="3"/>
        <w:overflowPunct w:val="0"/>
        <w:spacing w:before="0" w:beforeAutospacing="0" w:after="0" w:afterAutospacing="0"/>
        <w:ind w:firstLine="640" w:firstLineChars="200"/>
        <w:jc w:val="both"/>
        <w:rPr>
          <w:snapToGrid w:val="0"/>
          <w:sz w:val="32"/>
          <w:szCs w:val="28"/>
        </w:rPr>
      </w:pPr>
      <w:r>
        <w:rPr>
          <w:snapToGrid w:val="0"/>
          <w:sz w:val="32"/>
          <w:szCs w:val="28"/>
        </w:rPr>
        <w:t>首席技师原则上从特级技师中产生，要求特级技师评聘满3年且仍从事本职业（工种）工作，中华技能大奖获得者不受上述条件限制，可直接</w:t>
      </w:r>
      <w:r>
        <w:rPr>
          <w:rFonts w:hint="eastAsia"/>
          <w:snapToGrid w:val="0"/>
          <w:sz w:val="32"/>
          <w:szCs w:val="28"/>
        </w:rPr>
        <w:t>申报</w:t>
      </w:r>
      <w:r>
        <w:rPr>
          <w:snapToGrid w:val="0"/>
          <w:sz w:val="32"/>
          <w:szCs w:val="28"/>
        </w:rPr>
        <w:t>。</w:t>
      </w:r>
    </w:p>
    <w:p>
      <w:pPr>
        <w:pStyle w:val="3"/>
        <w:overflowPunct w:val="0"/>
        <w:spacing w:before="0" w:beforeAutospacing="0" w:after="0" w:afterAutospacing="0"/>
        <w:ind w:firstLine="640" w:firstLineChars="200"/>
        <w:jc w:val="both"/>
        <w:rPr>
          <w:rFonts w:ascii="黑体" w:hAnsi="黑体" w:eastAsia="黑体" w:cs="黑体"/>
          <w:snapToGrid w:val="0"/>
          <w:sz w:val="32"/>
          <w:szCs w:val="28"/>
        </w:rPr>
      </w:pPr>
      <w:r>
        <w:rPr>
          <w:rFonts w:hint="eastAsia" w:ascii="黑体" w:hAnsi="黑体" w:eastAsia="黑体" w:cs="黑体"/>
          <w:snapToGrid w:val="0"/>
          <w:sz w:val="32"/>
          <w:szCs w:val="28"/>
        </w:rPr>
        <w:t>三、评聘程序</w:t>
      </w:r>
    </w:p>
    <w:p>
      <w:pPr>
        <w:pStyle w:val="3"/>
        <w:overflowPunct w:val="0"/>
        <w:spacing w:before="0" w:beforeAutospacing="0" w:after="0" w:afterAutospacing="0"/>
        <w:ind w:firstLine="640" w:firstLineChars="200"/>
        <w:jc w:val="both"/>
        <w:rPr>
          <w:snapToGrid w:val="0"/>
          <w:sz w:val="32"/>
          <w:szCs w:val="28"/>
        </w:rPr>
      </w:pPr>
      <w:r>
        <w:rPr>
          <w:snapToGrid w:val="0"/>
          <w:sz w:val="32"/>
          <w:szCs w:val="28"/>
        </w:rPr>
        <w:t>特级技师</w:t>
      </w:r>
      <w:r>
        <w:rPr>
          <w:rFonts w:hint="eastAsia"/>
          <w:snapToGrid w:val="0"/>
          <w:sz w:val="32"/>
          <w:szCs w:val="28"/>
        </w:rPr>
        <w:t>、</w:t>
      </w:r>
      <w:r>
        <w:rPr>
          <w:snapToGrid w:val="0"/>
          <w:sz w:val="32"/>
          <w:szCs w:val="28"/>
        </w:rPr>
        <w:t>首席技师</w:t>
      </w:r>
      <w:r>
        <w:rPr>
          <w:rFonts w:hint="eastAsia"/>
          <w:snapToGrid w:val="0"/>
          <w:sz w:val="32"/>
          <w:szCs w:val="28"/>
        </w:rPr>
        <w:t>的评聘工作原则上每</w:t>
      </w:r>
      <w:r>
        <w:rPr>
          <w:snapToGrid w:val="0"/>
          <w:sz w:val="32"/>
          <w:szCs w:val="28"/>
        </w:rPr>
        <w:t>年组织</w:t>
      </w:r>
      <w:r>
        <w:rPr>
          <w:rFonts w:hint="eastAsia"/>
          <w:snapToGrid w:val="0"/>
          <w:sz w:val="32"/>
          <w:szCs w:val="28"/>
        </w:rPr>
        <w:t>开展</w:t>
      </w:r>
      <w:r>
        <w:rPr>
          <w:snapToGrid w:val="0"/>
          <w:sz w:val="32"/>
          <w:szCs w:val="28"/>
        </w:rPr>
        <w:t>一次，</w:t>
      </w:r>
      <w:r>
        <w:rPr>
          <w:rFonts w:hint="eastAsia"/>
          <w:snapToGrid w:val="0"/>
          <w:sz w:val="32"/>
          <w:szCs w:val="28"/>
        </w:rPr>
        <w:t>具体</w:t>
      </w:r>
      <w:r>
        <w:rPr>
          <w:snapToGrid w:val="0"/>
          <w:sz w:val="32"/>
          <w:szCs w:val="28"/>
        </w:rPr>
        <w:t>程序如下：</w:t>
      </w:r>
    </w:p>
    <w:p>
      <w:pPr>
        <w:pStyle w:val="3"/>
        <w:overflowPunct w:val="0"/>
        <w:spacing w:before="0" w:beforeAutospacing="0" w:after="0" w:afterAutospacing="0"/>
        <w:ind w:firstLine="640" w:firstLineChars="200"/>
        <w:jc w:val="both"/>
        <w:rPr>
          <w:snapToGrid w:val="0"/>
          <w:sz w:val="32"/>
          <w:szCs w:val="28"/>
        </w:rPr>
      </w:pPr>
      <w:r>
        <w:rPr>
          <w:rFonts w:hint="eastAsia" w:ascii="楷体_GB2312" w:hAnsi="楷体_GB2312" w:eastAsia="楷体_GB2312" w:cs="楷体_GB2312"/>
          <w:snapToGrid w:val="0"/>
          <w:sz w:val="32"/>
          <w:szCs w:val="28"/>
        </w:rPr>
        <w:t>（一）制定方案。</w:t>
      </w:r>
      <w:r>
        <w:rPr>
          <w:rFonts w:hint="eastAsia"/>
          <w:snapToGrid w:val="0"/>
          <w:sz w:val="32"/>
          <w:szCs w:val="28"/>
        </w:rPr>
        <w:t>企业</w:t>
      </w:r>
      <w:r>
        <w:rPr>
          <w:snapToGrid w:val="0"/>
          <w:sz w:val="32"/>
          <w:szCs w:val="28"/>
        </w:rPr>
        <w:t>结合实际制定特级技师、首席技师评聘工作方案，明确职业（工种）范围、评审条件、评审方式、组织形式、时间安排、任职聘用等。工作方案面向全体职工进行不少于5个工作日的公示，并</w:t>
      </w:r>
      <w:r>
        <w:rPr>
          <w:rFonts w:hint="eastAsia"/>
          <w:snapToGrid w:val="0"/>
          <w:sz w:val="32"/>
          <w:szCs w:val="28"/>
        </w:rPr>
        <w:t>于每年6月底</w:t>
      </w:r>
      <w:r>
        <w:rPr>
          <w:snapToGrid w:val="0"/>
          <w:sz w:val="32"/>
          <w:szCs w:val="28"/>
        </w:rPr>
        <w:t>前按</w:t>
      </w:r>
      <w:r>
        <w:rPr>
          <w:rFonts w:hint="eastAsia"/>
          <w:snapToGrid w:val="0"/>
          <w:sz w:val="32"/>
          <w:szCs w:val="28"/>
        </w:rPr>
        <w:t>属地管理原则</w:t>
      </w:r>
      <w:r>
        <w:rPr>
          <w:snapToGrid w:val="0"/>
          <w:sz w:val="32"/>
          <w:szCs w:val="28"/>
        </w:rPr>
        <w:t>经</w:t>
      </w:r>
      <w:r>
        <w:rPr>
          <w:rFonts w:hint="eastAsia"/>
          <w:snapToGrid w:val="0"/>
          <w:sz w:val="32"/>
          <w:szCs w:val="28"/>
        </w:rPr>
        <w:t>市州人社部门</w:t>
      </w:r>
      <w:r>
        <w:rPr>
          <w:snapToGrid w:val="0"/>
          <w:sz w:val="32"/>
          <w:szCs w:val="28"/>
        </w:rPr>
        <w:t>审查确认后报省</w:t>
      </w:r>
      <w:r>
        <w:rPr>
          <w:rFonts w:hint="eastAsia"/>
          <w:snapToGrid w:val="0"/>
          <w:sz w:val="32"/>
          <w:szCs w:val="28"/>
        </w:rPr>
        <w:t>职业技能鉴定指导中心（以下简称职鉴中心）</w:t>
      </w:r>
      <w:r>
        <w:rPr>
          <w:snapToGrid w:val="0"/>
          <w:sz w:val="32"/>
          <w:szCs w:val="28"/>
        </w:rPr>
        <w:t>审核</w:t>
      </w:r>
      <w:r>
        <w:rPr>
          <w:rFonts w:hint="eastAsia"/>
          <w:snapToGrid w:val="0"/>
          <w:sz w:val="32"/>
          <w:szCs w:val="28"/>
        </w:rPr>
        <w:t>备案通过</w:t>
      </w:r>
      <w:r>
        <w:rPr>
          <w:snapToGrid w:val="0"/>
          <w:sz w:val="32"/>
          <w:szCs w:val="28"/>
        </w:rPr>
        <w:t>，</w:t>
      </w:r>
      <w:r>
        <w:rPr>
          <w:rFonts w:hint="eastAsia"/>
          <w:snapToGrid w:val="0"/>
          <w:sz w:val="32"/>
          <w:szCs w:val="28"/>
        </w:rPr>
        <w:t>中央在鄂企业、</w:t>
      </w:r>
      <w:r>
        <w:rPr>
          <w:snapToGrid w:val="0"/>
          <w:sz w:val="32"/>
          <w:szCs w:val="28"/>
        </w:rPr>
        <w:t>省属企业直接报省职鉴中心。</w:t>
      </w:r>
    </w:p>
    <w:p>
      <w:pPr>
        <w:pStyle w:val="3"/>
        <w:overflowPunct w:val="0"/>
        <w:spacing w:before="0" w:beforeAutospacing="0" w:after="0" w:afterAutospacing="0"/>
        <w:ind w:firstLine="640" w:firstLineChars="200"/>
        <w:jc w:val="both"/>
        <w:rPr>
          <w:snapToGrid w:val="0"/>
          <w:sz w:val="32"/>
          <w:szCs w:val="28"/>
        </w:rPr>
      </w:pPr>
      <w:r>
        <w:rPr>
          <w:rFonts w:hint="eastAsia" w:ascii="楷体_GB2312" w:hAnsi="楷体_GB2312" w:eastAsia="楷体_GB2312" w:cs="楷体_GB2312"/>
          <w:snapToGrid w:val="0"/>
          <w:sz w:val="32"/>
          <w:szCs w:val="28"/>
        </w:rPr>
        <w:t>（二）组织评审。</w:t>
      </w:r>
      <w:r>
        <w:rPr>
          <w:snapToGrid w:val="0"/>
          <w:sz w:val="32"/>
          <w:szCs w:val="28"/>
        </w:rPr>
        <w:t>8</w:t>
      </w:r>
      <w:r>
        <w:rPr>
          <w:rFonts w:hint="eastAsia"/>
          <w:snapToGrid w:val="0"/>
          <w:sz w:val="32"/>
          <w:szCs w:val="28"/>
        </w:rPr>
        <w:t>月底</w:t>
      </w:r>
      <w:r>
        <w:rPr>
          <w:snapToGrid w:val="0"/>
          <w:sz w:val="32"/>
          <w:szCs w:val="28"/>
        </w:rPr>
        <w:t>前，企业根据评审工作方案审核确定参评人选，对参评人员基本情况和业绩材料在本单位进行不少于5个工作日的公示。各级人社部门按</w:t>
      </w:r>
      <w:r>
        <w:rPr>
          <w:rFonts w:hint="eastAsia" w:ascii="仿宋_GB2312" w:hAnsi="仿宋_GB2312" w:cs="仿宋_GB2312"/>
          <w:snapToGrid w:val="0"/>
          <w:sz w:val="32"/>
          <w:szCs w:val="28"/>
        </w:rPr>
        <w:t>“</w:t>
      </w:r>
      <w:r>
        <w:rPr>
          <w:snapToGrid w:val="0"/>
          <w:sz w:val="32"/>
          <w:szCs w:val="28"/>
        </w:rPr>
        <w:t>分级负责、属地管理</w:t>
      </w:r>
      <w:r>
        <w:rPr>
          <w:rFonts w:hint="eastAsia" w:ascii="仿宋_GB2312" w:hAnsi="仿宋_GB2312" w:cs="仿宋_GB2312"/>
          <w:snapToGrid w:val="0"/>
          <w:sz w:val="32"/>
          <w:szCs w:val="28"/>
        </w:rPr>
        <w:t>”</w:t>
      </w:r>
      <w:r>
        <w:rPr>
          <w:snapToGrid w:val="0"/>
          <w:sz w:val="32"/>
          <w:szCs w:val="28"/>
        </w:rPr>
        <w:t>的原则，对企业组织实施过程进行</w:t>
      </w:r>
      <w:r>
        <w:rPr>
          <w:rFonts w:hint="eastAsia"/>
          <w:snapToGrid w:val="0"/>
          <w:sz w:val="32"/>
          <w:szCs w:val="28"/>
        </w:rPr>
        <w:t>指导</w:t>
      </w:r>
      <w:r>
        <w:rPr>
          <w:snapToGrid w:val="0"/>
          <w:sz w:val="32"/>
          <w:szCs w:val="28"/>
        </w:rPr>
        <w:t>。</w:t>
      </w:r>
    </w:p>
    <w:p>
      <w:pPr>
        <w:pStyle w:val="3"/>
        <w:overflowPunct w:val="0"/>
        <w:spacing w:before="0" w:beforeAutospacing="0" w:after="0" w:afterAutospacing="0"/>
        <w:ind w:firstLine="640" w:firstLineChars="200"/>
        <w:jc w:val="both"/>
        <w:rPr>
          <w:snapToGrid w:val="0"/>
          <w:sz w:val="32"/>
          <w:szCs w:val="28"/>
        </w:rPr>
      </w:pPr>
      <w:r>
        <w:rPr>
          <w:rFonts w:hint="eastAsia" w:ascii="楷体_GB2312" w:hAnsi="楷体_GB2312" w:eastAsia="楷体_GB2312" w:cs="楷体_GB2312"/>
          <w:snapToGrid w:val="0"/>
          <w:sz w:val="32"/>
          <w:szCs w:val="28"/>
        </w:rPr>
        <w:t>（三）公示核准。</w:t>
      </w:r>
      <w:r>
        <w:rPr>
          <w:snapToGrid w:val="0"/>
          <w:sz w:val="32"/>
          <w:szCs w:val="28"/>
        </w:rPr>
        <w:t>9</w:t>
      </w:r>
      <w:r>
        <w:rPr>
          <w:rFonts w:hint="eastAsia"/>
          <w:snapToGrid w:val="0"/>
          <w:sz w:val="32"/>
          <w:szCs w:val="28"/>
        </w:rPr>
        <w:t>月底</w:t>
      </w:r>
      <w:r>
        <w:rPr>
          <w:snapToGrid w:val="0"/>
          <w:sz w:val="32"/>
          <w:szCs w:val="28"/>
        </w:rPr>
        <w:t>前，特级技师、首席技师评审结果按</w:t>
      </w:r>
      <w:r>
        <w:rPr>
          <w:rFonts w:hint="eastAsia"/>
          <w:snapToGrid w:val="0"/>
          <w:sz w:val="32"/>
          <w:szCs w:val="28"/>
        </w:rPr>
        <w:t>属地管理</w:t>
      </w:r>
      <w:r>
        <w:rPr>
          <w:snapToGrid w:val="0"/>
          <w:sz w:val="32"/>
          <w:szCs w:val="28"/>
        </w:rPr>
        <w:t>原则报</w:t>
      </w:r>
      <w:r>
        <w:rPr>
          <w:rFonts w:hint="eastAsia"/>
          <w:snapToGrid w:val="0"/>
          <w:sz w:val="32"/>
          <w:szCs w:val="28"/>
        </w:rPr>
        <w:t>市州</w:t>
      </w:r>
      <w:r>
        <w:rPr>
          <w:snapToGrid w:val="0"/>
          <w:sz w:val="32"/>
          <w:szCs w:val="28"/>
        </w:rPr>
        <w:t>人社部门确认并上报</w:t>
      </w:r>
      <w:r>
        <w:rPr>
          <w:rFonts w:hint="eastAsia"/>
          <w:snapToGrid w:val="0"/>
          <w:sz w:val="32"/>
          <w:szCs w:val="28"/>
        </w:rPr>
        <w:t>省人力资源和</w:t>
      </w:r>
      <w:r>
        <w:rPr>
          <w:snapToGrid w:val="0"/>
          <w:sz w:val="32"/>
          <w:szCs w:val="28"/>
        </w:rPr>
        <w:t>社会保障厅，在省人力资源和社会保障厅</w:t>
      </w:r>
      <w:r>
        <w:rPr>
          <w:rFonts w:hint="eastAsia"/>
          <w:snapToGrid w:val="0"/>
          <w:sz w:val="32"/>
          <w:szCs w:val="28"/>
        </w:rPr>
        <w:t>官方</w:t>
      </w:r>
      <w:r>
        <w:rPr>
          <w:snapToGrid w:val="0"/>
          <w:sz w:val="32"/>
          <w:szCs w:val="28"/>
        </w:rPr>
        <w:t>网站进行不少于5个工作日的公示。经公示无异议的，由省人力资源和社会保障厅发文公布。</w:t>
      </w:r>
    </w:p>
    <w:p>
      <w:pPr>
        <w:pStyle w:val="3"/>
        <w:overflowPunct w:val="0"/>
        <w:spacing w:before="0" w:beforeAutospacing="0" w:after="0" w:afterAutospacing="0"/>
        <w:ind w:firstLine="640" w:firstLineChars="200"/>
        <w:jc w:val="both"/>
        <w:rPr>
          <w:snapToGrid w:val="0"/>
          <w:sz w:val="32"/>
          <w:szCs w:val="28"/>
        </w:rPr>
      </w:pPr>
      <w:r>
        <w:rPr>
          <w:rFonts w:hint="eastAsia" w:ascii="楷体_GB2312" w:hAnsi="楷体_GB2312" w:eastAsia="楷体_GB2312" w:cs="楷体_GB2312"/>
          <w:snapToGrid w:val="0"/>
          <w:sz w:val="32"/>
          <w:szCs w:val="28"/>
        </w:rPr>
        <w:t>（四）证书核发。</w:t>
      </w:r>
      <w:r>
        <w:rPr>
          <w:snapToGrid w:val="0"/>
          <w:sz w:val="32"/>
          <w:szCs w:val="28"/>
        </w:rPr>
        <w:t>职业技能等级证书由企业颁发。证书样式和编码按人力资源社会保障部有关要求确定（具体见附件）。企业按有关要求和程序，</w:t>
      </w:r>
      <w:r>
        <w:rPr>
          <w:rFonts w:hint="eastAsia"/>
          <w:snapToGrid w:val="0"/>
          <w:sz w:val="32"/>
          <w:szCs w:val="28"/>
        </w:rPr>
        <w:t>于1</w:t>
      </w:r>
      <w:r>
        <w:rPr>
          <w:snapToGrid w:val="0"/>
          <w:sz w:val="32"/>
          <w:szCs w:val="28"/>
        </w:rPr>
        <w:t>0</w:t>
      </w:r>
      <w:r>
        <w:rPr>
          <w:rFonts w:hint="eastAsia"/>
          <w:snapToGrid w:val="0"/>
          <w:sz w:val="32"/>
          <w:szCs w:val="28"/>
        </w:rPr>
        <w:t>月底</w:t>
      </w:r>
      <w:r>
        <w:rPr>
          <w:snapToGrid w:val="0"/>
          <w:sz w:val="32"/>
          <w:szCs w:val="28"/>
        </w:rPr>
        <w:t>前</w:t>
      </w:r>
      <w:r>
        <w:rPr>
          <w:rFonts w:hint="eastAsia"/>
          <w:snapToGrid w:val="0"/>
          <w:sz w:val="32"/>
          <w:szCs w:val="28"/>
        </w:rPr>
        <w:t>将</w:t>
      </w:r>
      <w:r>
        <w:rPr>
          <w:snapToGrid w:val="0"/>
          <w:sz w:val="32"/>
          <w:szCs w:val="28"/>
        </w:rPr>
        <w:t>数据信息上传</w:t>
      </w:r>
      <w:r>
        <w:rPr>
          <w:rFonts w:hint="eastAsia"/>
          <w:snapToGrid w:val="0"/>
          <w:sz w:val="32"/>
          <w:szCs w:val="28"/>
        </w:rPr>
        <w:t>省</w:t>
      </w:r>
      <w:r>
        <w:rPr>
          <w:snapToGrid w:val="0"/>
          <w:sz w:val="32"/>
          <w:szCs w:val="28"/>
        </w:rPr>
        <w:t>职</w:t>
      </w:r>
      <w:r>
        <w:rPr>
          <w:rFonts w:hint="eastAsia"/>
          <w:snapToGrid w:val="0"/>
          <w:sz w:val="32"/>
          <w:szCs w:val="28"/>
        </w:rPr>
        <w:t>鉴</w:t>
      </w:r>
      <w:r>
        <w:rPr>
          <w:snapToGrid w:val="0"/>
          <w:sz w:val="32"/>
          <w:szCs w:val="28"/>
        </w:rPr>
        <w:t>中心</w:t>
      </w:r>
      <w:r>
        <w:rPr>
          <w:rFonts w:hint="eastAsia"/>
          <w:snapToGrid w:val="0"/>
          <w:sz w:val="32"/>
          <w:szCs w:val="28"/>
        </w:rPr>
        <w:t>“</w:t>
      </w:r>
      <w:r>
        <w:rPr>
          <w:snapToGrid w:val="0"/>
          <w:sz w:val="32"/>
          <w:szCs w:val="28"/>
        </w:rPr>
        <w:t>湖北省技能人才评价服务平台</w:t>
      </w:r>
      <w:r>
        <w:rPr>
          <w:rFonts w:hint="eastAsia"/>
          <w:snapToGrid w:val="0"/>
          <w:sz w:val="32"/>
          <w:szCs w:val="28"/>
        </w:rPr>
        <w:t>”</w:t>
      </w:r>
      <w:r>
        <w:rPr>
          <w:snapToGrid w:val="0"/>
          <w:sz w:val="32"/>
          <w:szCs w:val="28"/>
        </w:rPr>
        <w:t>，通过审核</w:t>
      </w:r>
      <w:r>
        <w:rPr>
          <w:rFonts w:hint="eastAsia"/>
          <w:snapToGrid w:val="0"/>
          <w:sz w:val="32"/>
          <w:szCs w:val="28"/>
        </w:rPr>
        <w:t>后将</w:t>
      </w:r>
      <w:r>
        <w:rPr>
          <w:snapToGrid w:val="0"/>
          <w:sz w:val="32"/>
          <w:szCs w:val="28"/>
        </w:rPr>
        <w:t>符合要求的证书信息纳入湖北省、全国职业技能等级证书查询系统。</w:t>
      </w:r>
    </w:p>
    <w:p>
      <w:pPr>
        <w:pStyle w:val="3"/>
        <w:overflowPunct w:val="0"/>
        <w:spacing w:before="0" w:beforeAutospacing="0" w:after="0" w:afterAutospacing="0"/>
        <w:ind w:firstLine="640" w:firstLineChars="200"/>
        <w:jc w:val="both"/>
        <w:rPr>
          <w:snapToGrid w:val="0"/>
          <w:sz w:val="32"/>
          <w:szCs w:val="28"/>
        </w:rPr>
      </w:pPr>
      <w:r>
        <w:rPr>
          <w:rFonts w:hint="eastAsia" w:ascii="楷体_GB2312" w:hAnsi="楷体_GB2312" w:eastAsia="楷体_GB2312" w:cs="楷体_GB2312"/>
          <w:snapToGrid w:val="0"/>
          <w:sz w:val="32"/>
          <w:szCs w:val="28"/>
        </w:rPr>
        <w:t>（五）任职聘用。</w:t>
      </w:r>
      <w:r>
        <w:rPr>
          <w:snapToGrid w:val="0"/>
          <w:sz w:val="32"/>
          <w:szCs w:val="28"/>
        </w:rPr>
        <w:t>企业应与特级技师、首席技师签订聘任协议，明确双方责任、权利、义务等，并落实相关政策待遇。</w:t>
      </w:r>
    </w:p>
    <w:p>
      <w:pPr>
        <w:pStyle w:val="3"/>
        <w:overflowPunct w:val="0"/>
        <w:spacing w:before="0" w:beforeAutospacing="0" w:after="0" w:afterAutospacing="0"/>
        <w:ind w:firstLine="640" w:firstLineChars="200"/>
        <w:jc w:val="both"/>
        <w:rPr>
          <w:snapToGrid w:val="0"/>
          <w:sz w:val="32"/>
          <w:szCs w:val="28"/>
        </w:rPr>
      </w:pPr>
      <w:r>
        <w:rPr>
          <w:snapToGrid w:val="0"/>
          <w:sz w:val="32"/>
          <w:szCs w:val="28"/>
        </w:rPr>
        <w:t>已在人力资源社会保障部备案的中央企业在鄂分支机构由中央企业统筹开展相关工作。</w:t>
      </w:r>
      <w:r>
        <w:rPr>
          <w:rFonts w:hint="eastAsia"/>
          <w:snapToGrid w:val="0"/>
          <w:sz w:val="32"/>
          <w:szCs w:val="28"/>
        </w:rPr>
        <w:t>对本意见印发前已开展高级技师以上评审工作的，按照本意见有关要求联系其备案的职鉴中心进行复核确认</w:t>
      </w:r>
      <w:r>
        <w:rPr>
          <w:snapToGrid w:val="0"/>
          <w:sz w:val="32"/>
          <w:szCs w:val="28"/>
        </w:rPr>
        <w:t>。</w:t>
      </w:r>
    </w:p>
    <w:p>
      <w:pPr>
        <w:pStyle w:val="3"/>
        <w:overflowPunct w:val="0"/>
        <w:spacing w:before="0" w:beforeAutospacing="0" w:after="0" w:afterAutospacing="0"/>
        <w:ind w:firstLine="640" w:firstLineChars="200"/>
        <w:jc w:val="both"/>
        <w:rPr>
          <w:snapToGrid w:val="0"/>
          <w:sz w:val="32"/>
          <w:szCs w:val="28"/>
        </w:rPr>
      </w:pPr>
    </w:p>
    <w:p>
      <w:pPr>
        <w:pStyle w:val="3"/>
        <w:overflowPunct w:val="0"/>
        <w:spacing w:before="0" w:beforeAutospacing="0" w:after="0" w:afterAutospacing="0"/>
        <w:ind w:firstLine="640" w:firstLineChars="200"/>
        <w:jc w:val="both"/>
        <w:rPr>
          <w:snapToGrid w:val="0"/>
          <w:sz w:val="32"/>
          <w:szCs w:val="28"/>
        </w:rPr>
      </w:pPr>
      <w:r>
        <w:rPr>
          <w:rFonts w:hint="eastAsia"/>
          <w:snapToGrid w:val="0"/>
          <w:sz w:val="32"/>
          <w:szCs w:val="28"/>
        </w:rPr>
        <w:t>附件：特级技师、首席技师证书参考样式</w:t>
      </w:r>
    </w:p>
    <w:p>
      <w:pPr>
        <w:pStyle w:val="3"/>
        <w:overflowPunct w:val="0"/>
        <w:spacing w:before="0" w:beforeAutospacing="0" w:after="0" w:afterAutospacing="0"/>
        <w:ind w:firstLine="640" w:firstLineChars="200"/>
        <w:jc w:val="both"/>
        <w:rPr>
          <w:snapToGrid w:val="0"/>
          <w:sz w:val="32"/>
          <w:szCs w:val="28"/>
        </w:rPr>
        <w:sectPr>
          <w:footerReference r:id="rId3" w:type="default"/>
          <w:pgSz w:w="11906" w:h="16838"/>
          <w:pgMar w:top="2154" w:right="1701" w:bottom="1814" w:left="1701" w:header="851" w:footer="1417" w:gutter="0"/>
          <w:cols w:space="0" w:num="1"/>
          <w:docGrid w:type="lines" w:linePitch="585" w:charSpace="0"/>
        </w:sectPr>
      </w:pPr>
    </w:p>
    <w:p>
      <w:pPr>
        <w:pStyle w:val="3"/>
        <w:overflowPunct w:val="0"/>
        <w:spacing w:before="0" w:beforeAutospacing="0" w:after="0" w:afterAutospacing="0"/>
        <w:jc w:val="both"/>
        <w:rPr>
          <w:rFonts w:eastAsia="黑体"/>
          <w:sz w:val="30"/>
          <w:shd w:val="clear" w:color="auto" w:fill="FFFFFF"/>
        </w:rPr>
      </w:pPr>
      <w:r>
        <w:rPr>
          <w:rFonts w:eastAsia="黑体"/>
          <w:sz w:val="30"/>
          <w:shd w:val="clear" w:color="auto" w:fill="FFFFFF"/>
        </w:rPr>
        <w:t>附件</w:t>
      </w:r>
    </w:p>
    <w:p>
      <w:pPr>
        <w:pStyle w:val="3"/>
        <w:overflowPunct w:val="0"/>
        <w:spacing w:before="0" w:beforeAutospacing="0" w:after="0" w:afterAutospacing="0" w:line="600" w:lineRule="exact"/>
        <w:jc w:val="center"/>
        <w:rPr>
          <w:rFonts w:ascii="方正小标宋简体" w:eastAsia="方正小标宋简体"/>
          <w:sz w:val="30"/>
          <w:shd w:val="clear" w:color="auto" w:fill="FFFFFF"/>
        </w:rPr>
      </w:pPr>
      <w:r>
        <w:rPr>
          <w:rFonts w:hint="eastAsia" w:ascii="方正小标宋简体" w:hAnsi="方正小标宋_GBK" w:eastAsia="方正小标宋简体" w:cs="方正小标宋_GBK"/>
          <w:sz w:val="40"/>
          <w:szCs w:val="40"/>
          <w:shd w:val="clear" w:color="auto" w:fill="FFFFFF"/>
        </w:rPr>
        <w:t>特级技师证书参考样式</w:t>
      </w:r>
    </w:p>
    <w:p>
      <w:pPr>
        <w:pStyle w:val="3"/>
        <w:overflowPunct w:val="0"/>
        <w:spacing w:before="0" w:beforeAutospacing="0" w:after="0" w:afterAutospacing="0"/>
        <w:ind w:firstLine="606" w:firstLineChars="200"/>
        <w:jc w:val="center"/>
        <w:rPr>
          <w:sz w:val="30"/>
          <w:lang w:bidi="ar"/>
        </w:rPr>
      </w:pPr>
      <w:r>
        <w:rPr>
          <w:sz w:val="30"/>
          <w:shd w:val="clear" w:color="auto" w:fill="FFFFFF"/>
        </w:rPr>
        <w:drawing>
          <wp:inline distT="0" distB="0" distL="114300" distR="114300">
            <wp:extent cx="7017385" cy="4544060"/>
            <wp:effectExtent l="0" t="0" r="8255" b="12700"/>
            <wp:docPr id="3" name="图片 1" descr="C:\Users\Administrator\Desktop\特级.jpg特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特级.jpg特级"/>
                    <pic:cNvPicPr>
                      <a:picLocks noChangeAspect="1"/>
                    </pic:cNvPicPr>
                  </pic:nvPicPr>
                  <pic:blipFill>
                    <a:blip r:embed="rId6">
                      <a:lum bright="12000" contrast="-6000"/>
                    </a:blip>
                    <a:srcRect l="5472" t="13866" r="5789" b="8669"/>
                    <a:stretch>
                      <a:fillRect/>
                    </a:stretch>
                  </pic:blipFill>
                  <pic:spPr>
                    <a:xfrm>
                      <a:off x="0" y="0"/>
                      <a:ext cx="7017385" cy="4544060"/>
                    </a:xfrm>
                    <a:prstGeom prst="rect">
                      <a:avLst/>
                    </a:prstGeom>
                    <a:noFill/>
                    <a:ln>
                      <a:noFill/>
                    </a:ln>
                  </pic:spPr>
                </pic:pic>
              </a:graphicData>
            </a:graphic>
          </wp:inline>
        </w:drawing>
      </w:r>
    </w:p>
    <w:p>
      <w:pPr>
        <w:pStyle w:val="3"/>
        <w:overflowPunct w:val="0"/>
        <w:spacing w:before="0" w:beforeAutospacing="0" w:after="0" w:afterAutospacing="0" w:line="600" w:lineRule="exact"/>
        <w:jc w:val="center"/>
        <w:rPr>
          <w:rFonts w:ascii="方正小标宋简体" w:eastAsia="方正小标宋简体"/>
          <w:sz w:val="30"/>
          <w:shd w:val="clear" w:color="auto" w:fill="FFFFFF"/>
        </w:rPr>
      </w:pPr>
      <w:r>
        <w:rPr>
          <w:rFonts w:hint="eastAsia" w:ascii="方正小标宋_GBK" w:hAnsi="方正小标宋_GBK" w:eastAsia="方正小标宋_GBK" w:cs="方正小标宋_GBK"/>
          <w:sz w:val="40"/>
          <w:szCs w:val="40"/>
          <w:shd w:val="clear" w:color="auto" w:fill="FFFFFF"/>
        </w:rPr>
        <w:br w:type="page"/>
      </w:r>
      <w:r>
        <w:rPr>
          <w:rFonts w:hint="eastAsia" w:ascii="方正小标宋简体" w:hAnsi="方正小标宋_GBK" w:eastAsia="方正小标宋简体" w:cs="方正小标宋_GBK"/>
          <w:sz w:val="40"/>
          <w:szCs w:val="40"/>
          <w:shd w:val="clear" w:color="auto" w:fill="FFFFFF"/>
        </w:rPr>
        <w:t>首席技师证书参考样式</w:t>
      </w:r>
    </w:p>
    <w:p>
      <w:pPr>
        <w:overflowPunct w:val="0"/>
        <w:ind w:firstLine="606" w:firstLineChars="200"/>
        <w:jc w:val="center"/>
        <w:rPr>
          <w:shd w:val="clear" w:color="auto" w:fill="FFFFFF"/>
        </w:rPr>
      </w:pPr>
      <w:r>
        <w:rPr>
          <w:shd w:val="clear" w:color="auto" w:fill="FFFFFF"/>
        </w:rPr>
        <w:drawing>
          <wp:inline distT="0" distB="0" distL="114300" distR="114300">
            <wp:extent cx="6140450" cy="3992245"/>
            <wp:effectExtent l="0" t="0" r="1270" b="635"/>
            <wp:docPr id="1" name="图片 2" descr="E:\毕娟处长\首席.jpg首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E:\毕娟处长\首席.jpg首席"/>
                    <pic:cNvPicPr>
                      <a:picLocks noChangeAspect="1"/>
                    </pic:cNvPicPr>
                  </pic:nvPicPr>
                  <pic:blipFill>
                    <a:blip r:embed="rId7">
                      <a:lum bright="6000"/>
                    </a:blip>
                    <a:srcRect l="6184" t="14304" r="6987" b="9772"/>
                    <a:stretch>
                      <a:fillRect/>
                    </a:stretch>
                  </pic:blipFill>
                  <pic:spPr>
                    <a:xfrm>
                      <a:off x="0" y="0"/>
                      <a:ext cx="6140450" cy="3992245"/>
                    </a:xfrm>
                    <a:prstGeom prst="rect">
                      <a:avLst/>
                    </a:prstGeom>
                    <a:noFill/>
                    <a:ln>
                      <a:noFill/>
                    </a:ln>
                  </pic:spPr>
                </pic:pic>
              </a:graphicData>
            </a:graphic>
          </wp:inline>
        </w:drawing>
      </w:r>
    </w:p>
    <w:p>
      <w:pPr>
        <w:pStyle w:val="3"/>
        <w:shd w:val="clear" w:color="auto" w:fill="FFFFFF"/>
        <w:overflowPunct w:val="0"/>
        <w:spacing w:before="0" w:beforeAutospacing="0" w:after="0" w:afterAutospacing="0" w:line="400" w:lineRule="exact"/>
        <w:ind w:firstLine="486" w:firstLineChars="200"/>
        <w:jc w:val="both"/>
      </w:pPr>
      <w:r>
        <w:rPr>
          <w:rFonts w:hint="eastAsia" w:ascii="黑体" w:hAnsi="黑体" w:eastAsia="黑体" w:cs="黑体"/>
          <w:shd w:val="clear" w:color="auto" w:fill="FFFFFF"/>
        </w:rPr>
        <w:t>注：上述</w:t>
      </w:r>
      <w:r>
        <w:rPr>
          <w:rFonts w:eastAsia="黑体"/>
          <w:shd w:val="clear" w:color="auto" w:fill="FFFFFF"/>
        </w:rPr>
        <w:t>职业技能等级证书样式和编码按照有关规定确定。证书编码第16位为大写英文字母或阿拉伯数字，其中</w:t>
      </w:r>
      <w:r>
        <w:rPr>
          <w:rFonts w:hint="eastAsia" w:eastAsia="黑体"/>
          <w:shd w:val="clear" w:color="auto" w:fill="FFFFFF"/>
        </w:rPr>
        <w:t>“</w:t>
      </w:r>
      <w:r>
        <w:rPr>
          <w:rFonts w:eastAsia="黑体"/>
          <w:shd w:val="clear" w:color="auto" w:fill="FFFFFF"/>
        </w:rPr>
        <w:t>X</w:t>
      </w:r>
      <w:r>
        <w:rPr>
          <w:rFonts w:hint="eastAsia" w:eastAsia="黑体"/>
          <w:shd w:val="clear" w:color="auto" w:fill="FFFFFF"/>
        </w:rPr>
        <w:t>”</w:t>
      </w:r>
      <w:r>
        <w:rPr>
          <w:rFonts w:eastAsia="黑体"/>
          <w:shd w:val="clear" w:color="auto" w:fill="FFFFFF"/>
        </w:rPr>
        <w:t>表示</w:t>
      </w:r>
      <w:r>
        <w:rPr>
          <w:rFonts w:hint="eastAsia" w:eastAsia="黑体"/>
          <w:shd w:val="clear" w:color="auto" w:fill="FFFFFF"/>
        </w:rPr>
        <w:t>“</w:t>
      </w:r>
      <w:r>
        <w:rPr>
          <w:rFonts w:eastAsia="黑体"/>
          <w:shd w:val="clear" w:color="auto" w:fill="FFFFFF"/>
        </w:rPr>
        <w:t>学徒工</w:t>
      </w:r>
      <w:r>
        <w:rPr>
          <w:rFonts w:hint="eastAsia" w:eastAsia="黑体"/>
          <w:shd w:val="clear" w:color="auto" w:fill="FFFFFF"/>
        </w:rPr>
        <w:t>”</w:t>
      </w:r>
      <w:r>
        <w:rPr>
          <w:rFonts w:eastAsia="黑体"/>
          <w:shd w:val="clear" w:color="auto" w:fill="FFFFFF"/>
        </w:rPr>
        <w:t>，</w:t>
      </w:r>
      <w:r>
        <w:rPr>
          <w:rFonts w:hint="eastAsia" w:eastAsia="黑体"/>
          <w:shd w:val="clear" w:color="auto" w:fill="FFFFFF"/>
        </w:rPr>
        <w:t>“</w:t>
      </w:r>
      <w:r>
        <w:rPr>
          <w:rFonts w:eastAsia="黑体"/>
          <w:shd w:val="clear" w:color="auto" w:fill="FFFFFF"/>
        </w:rPr>
        <w:t>T</w:t>
      </w:r>
      <w:r>
        <w:rPr>
          <w:rFonts w:hint="eastAsia" w:eastAsia="黑体"/>
          <w:shd w:val="clear" w:color="auto" w:fill="FFFFFF"/>
        </w:rPr>
        <w:t>”</w:t>
      </w:r>
      <w:r>
        <w:rPr>
          <w:rFonts w:eastAsia="黑体"/>
          <w:shd w:val="clear" w:color="auto" w:fill="FFFFFF"/>
        </w:rPr>
        <w:t>表示</w:t>
      </w:r>
      <w:r>
        <w:rPr>
          <w:rFonts w:hint="eastAsia" w:eastAsia="黑体"/>
          <w:shd w:val="clear" w:color="auto" w:fill="FFFFFF"/>
        </w:rPr>
        <w:t>“</w:t>
      </w:r>
      <w:r>
        <w:rPr>
          <w:rFonts w:eastAsia="黑体"/>
          <w:shd w:val="clear" w:color="auto" w:fill="FFFFFF"/>
        </w:rPr>
        <w:t>特级技师</w:t>
      </w:r>
      <w:r>
        <w:rPr>
          <w:rFonts w:hint="eastAsia" w:eastAsia="黑体"/>
          <w:shd w:val="clear" w:color="auto" w:fill="FFFFFF"/>
        </w:rPr>
        <w:t>”</w:t>
      </w:r>
      <w:r>
        <w:rPr>
          <w:rFonts w:eastAsia="黑体"/>
          <w:shd w:val="clear" w:color="auto" w:fill="FFFFFF"/>
        </w:rPr>
        <w:t>，</w:t>
      </w:r>
      <w:r>
        <w:rPr>
          <w:rFonts w:hint="eastAsia" w:eastAsia="黑体"/>
          <w:shd w:val="clear" w:color="auto" w:fill="FFFFFF"/>
        </w:rPr>
        <w:t>“</w:t>
      </w:r>
      <w:r>
        <w:rPr>
          <w:rFonts w:eastAsia="黑体"/>
          <w:shd w:val="clear" w:color="auto" w:fill="FFFFFF"/>
        </w:rPr>
        <w:t>S</w:t>
      </w:r>
      <w:r>
        <w:rPr>
          <w:rFonts w:hint="eastAsia" w:eastAsia="黑体"/>
          <w:shd w:val="clear" w:color="auto" w:fill="FFFFFF"/>
        </w:rPr>
        <w:t>”</w:t>
      </w:r>
      <w:r>
        <w:rPr>
          <w:rFonts w:eastAsia="黑体"/>
          <w:shd w:val="clear" w:color="auto" w:fill="FFFFFF"/>
        </w:rPr>
        <w:t>表示</w:t>
      </w:r>
      <w:r>
        <w:rPr>
          <w:rFonts w:hint="eastAsia" w:eastAsia="黑体"/>
          <w:shd w:val="clear" w:color="auto" w:fill="FFFFFF"/>
        </w:rPr>
        <w:t>“</w:t>
      </w:r>
      <w:r>
        <w:rPr>
          <w:rFonts w:eastAsia="黑体"/>
          <w:shd w:val="clear" w:color="auto" w:fill="FFFFFF"/>
        </w:rPr>
        <w:t>首席技师</w:t>
      </w:r>
      <w:r>
        <w:rPr>
          <w:rFonts w:hint="eastAsia" w:eastAsia="黑体"/>
          <w:shd w:val="clear" w:color="auto" w:fill="FFFFFF"/>
        </w:rPr>
        <w:t>”</w:t>
      </w:r>
      <w:r>
        <w:rPr>
          <w:rFonts w:eastAsia="黑体"/>
          <w:shd w:val="clear" w:color="auto" w:fill="FFFFFF"/>
        </w:rPr>
        <w:t>，</w:t>
      </w:r>
      <w:r>
        <w:rPr>
          <w:rFonts w:hint="eastAsia" w:eastAsia="黑体"/>
          <w:shd w:val="clear" w:color="auto" w:fill="FFFFFF"/>
        </w:rPr>
        <w:t>“</w:t>
      </w:r>
      <w:r>
        <w:rPr>
          <w:rFonts w:eastAsia="黑体"/>
          <w:shd w:val="clear" w:color="auto" w:fill="FFFFFF"/>
        </w:rPr>
        <w:t>5、4、3、2、1</w:t>
      </w:r>
      <w:r>
        <w:rPr>
          <w:rFonts w:hint="eastAsia" w:eastAsia="黑体"/>
          <w:shd w:val="clear" w:color="auto" w:fill="FFFFFF"/>
        </w:rPr>
        <w:t>”</w:t>
      </w:r>
      <w:r>
        <w:rPr>
          <w:rFonts w:eastAsia="黑体"/>
          <w:shd w:val="clear" w:color="auto" w:fill="FFFFFF"/>
        </w:rPr>
        <w:t>分别表示</w:t>
      </w:r>
      <w:r>
        <w:rPr>
          <w:rFonts w:hint="eastAsia" w:eastAsia="黑体"/>
          <w:shd w:val="clear" w:color="auto" w:fill="FFFFFF"/>
        </w:rPr>
        <w:t>“</w:t>
      </w:r>
      <w:r>
        <w:rPr>
          <w:rFonts w:eastAsia="黑体"/>
          <w:shd w:val="clear" w:color="auto" w:fill="FFFFFF"/>
        </w:rPr>
        <w:t>初级工、中级工、高级工、技师、高级技师</w:t>
      </w:r>
      <w:r>
        <w:rPr>
          <w:rFonts w:hint="eastAsia" w:eastAsia="黑体"/>
          <w:shd w:val="clear" w:color="auto" w:fill="FFFFFF"/>
        </w:rPr>
        <w:t>”</w:t>
      </w:r>
      <w:r>
        <w:rPr>
          <w:rFonts w:eastAsia="黑体"/>
          <w:shd w:val="clear" w:color="auto" w:fill="FFFFFF"/>
        </w:rPr>
        <w:t>。</w:t>
      </w:r>
    </w:p>
    <w:p>
      <w:pPr>
        <w:rPr>
          <w:rFonts w:hint="eastAsia"/>
        </w:rPr>
      </w:pPr>
    </w:p>
    <w:p>
      <w:bookmarkStart w:id="0" w:name="_GoBack"/>
      <w:bookmarkEnd w:id="0"/>
    </w:p>
    <w:sectPr>
      <w:footerReference r:id="rId4" w:type="default"/>
      <w:pgSz w:w="16838" w:h="11906" w:orient="landscape"/>
      <w:pgMar w:top="1701" w:right="1701" w:bottom="1701" w:left="1701" w:header="851" w:footer="1417" w:gutter="0"/>
      <w:cols w:space="720" w:num="1"/>
      <w:docGrid w:type="linesAndChars" w:linePitch="607" w:charSpace="7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ascii="仿宋_GB2312" w:hAnsi="仿宋_GB2312" w:cs="仿宋_GB2312"/>
                              <w:sz w:val="28"/>
                              <w:szCs w:val="28"/>
                            </w:rPr>
                          </w:pPr>
                          <w:r>
                            <w:rPr>
                              <w:rFonts w:hint="eastAsia" w:ascii="仿宋_GB2312" w:hAnsi="仿宋_GB2312" w:cs="仿宋_GB2312"/>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ascii="仿宋_GB2312" w:hAnsi="仿宋_GB2312" w:cs="仿宋_GB2312"/>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v:imagedata o:title=""/>
              <o:lock v:ext="edit"/>
              <v:textbox inset="0mm,0mm,0mm,0mm" style="mso-fit-shape-to-text:t;">
                <w:txbxContent>
                  <w:p>
                    <w:pPr>
                      <w:pStyle w:val="2"/>
                      <w:rPr>
                        <w:rFonts w:ascii="仿宋_GB2312" w:hAnsi="仿宋_GB2312" w:cs="仿宋_GB2312"/>
                        <w:sz w:val="28"/>
                        <w:szCs w:val="28"/>
                      </w:rPr>
                    </w:pPr>
                    <w:r>
                      <w:rPr>
                        <w:rFonts w:hint="eastAsia" w:ascii="仿宋_GB2312" w:hAnsi="仿宋_GB2312" w:cs="仿宋_GB2312"/>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ascii="仿宋_GB2312" w:hAnsi="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pPr>
                      <w:pStyle w:val="2"/>
                      <w:rPr>
                        <w:rFonts w:hint="eastAsia"/>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rFonts w:hint="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5AD814"/>
    <w:multiLevelType w:val="singleLevel"/>
    <w:tmpl w:val="4E5AD81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56DA0"/>
    <w:rsid w:val="51556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2024-04-25T08:52:00Z</dcterms:created>
  <dc:creator>Administrator</dc:creator>
  <cp:lastModifiedBy>Administrator</cp:lastModifiedBy>
  <dcterms:modified xsi:type="dcterms:W3CDTF">2024-04-25T08:53:12Z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66DF8B17C4D4407E9FAD200D5BDD7644</vt:lpwstr>
  </property>
</Properties>
</file>