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default" w:eastAsia="方正黑体_GBK"/>
          <w:sz w:val="20"/>
          <w:szCs w:val="20"/>
        </w:rPr>
      </w:pPr>
      <w:r>
        <w:rPr>
          <w:rFonts w:hint="default" w:eastAsia="方正黑体_GBK"/>
          <w:sz w:val="20"/>
          <w:szCs w:val="20"/>
        </w:rPr>
        <w:t>附件</w:t>
      </w:r>
      <w:r>
        <w:rPr>
          <w:rFonts w:hint="default" w:ascii="NEU-BZ-S92" w:hAnsi="NEU-BZ-S92"/>
          <w:sz w:val="20"/>
          <w:szCs w:val="20"/>
        </w:rPr>
        <w:t>1</w:t>
      </w:r>
    </w:p>
    <w:p>
      <w:pPr>
        <w:pStyle w:val="6"/>
        <w:jc w:val="center"/>
        <w:rPr>
          <w:rFonts w:hint="default" w:eastAsia="方正小标宋_GBK"/>
          <w:sz w:val="32"/>
          <w:szCs w:val="32"/>
        </w:rPr>
      </w:pPr>
      <w:r>
        <w:rPr>
          <w:rFonts w:hint="default" w:eastAsia="方正小标宋_GBK"/>
          <w:sz w:val="32"/>
          <w:szCs w:val="32"/>
        </w:rPr>
        <w:t>复杂类建筑项</w:t>
      </w:r>
      <w:r>
        <w:rPr>
          <w:rFonts w:hint="default" w:ascii="Times New Roman" w:hAnsi="Times New Roman"/>
          <w:sz w:val="32"/>
          <w:szCs w:val="32"/>
        </w:rPr>
        <w:t xml:space="preserve"> </w:t>
      </w:r>
      <w:r>
        <w:rPr>
          <w:rFonts w:hint="default" w:eastAsia="方正小标宋_GBK"/>
          <w:sz w:val="32"/>
          <w:szCs w:val="32"/>
        </w:rPr>
        <w:t>目相关规定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18"/>
        <w:gridCol w:w="6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方正黑体_GBK" w:hAnsi="方正黑体_GBK" w:eastAsia="方正黑体_GBK"/>
              </w:rPr>
            </w:pPr>
            <w:r>
              <w:rPr>
                <w:rFonts w:hint="default" w:ascii="方正黑体_GBK" w:hAnsi="方正黑体_GBK" w:eastAsia="方正黑体_GBK"/>
              </w:rPr>
              <w:t>序号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方正黑体_GBK" w:hAnsi="方正黑体_GBK" w:eastAsia="方正黑体_GBK"/>
              </w:rPr>
            </w:pPr>
            <w:r>
              <w:rPr>
                <w:rFonts w:hint="default" w:ascii="方正黑体_GBK" w:hAnsi="方正黑体_GBK" w:eastAsia="方正黑体_GBK"/>
              </w:rPr>
              <w:t>类型</w:t>
            </w:r>
            <w:r>
              <w:rPr>
                <w:rFonts w:hint="default" w:ascii="方正黑体_GBK" w:hAnsi="方正黑体_GBK"/>
              </w:rPr>
              <w:t xml:space="preserve"> 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方正黑体_GBK" w:hAnsi="方正黑体_GBK" w:eastAsia="方正黑体_GBK"/>
              </w:rPr>
            </w:pPr>
            <w:r>
              <w:rPr>
                <w:rFonts w:hint="default" w:ascii="方正黑体_GBK" w:hAnsi="方正黑体_GBK" w:eastAsia="方正黑体_GBK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1</w:t>
            </w:r>
          </w:p>
        </w:tc>
        <w:tc>
          <w:tcPr>
            <w:tcW w:w="1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建筑体型多变、结构复杂异型建筑（至少满足其中一项）</w:t>
            </w:r>
          </w:p>
        </w:tc>
        <w:tc>
          <w:tcPr>
            <w:tcW w:w="6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1.</w:t>
            </w:r>
            <w:r>
              <w:rPr>
                <w:rFonts w:hint="default" w:eastAsia="方正书宋_GBK"/>
              </w:rPr>
              <w:t>结构存在大量斜交构件（超过</w:t>
            </w:r>
            <w:r>
              <w:rPr>
                <w:rFonts w:hint="default" w:ascii="NEU-BZ-S92" w:hAnsi="NEU-BZ-S92"/>
              </w:rPr>
              <w:t>30%</w:t>
            </w:r>
            <w:r>
              <w:rPr>
                <w:rFonts w:hint="default" w:eastAsia="方正书宋_GBK"/>
              </w:rPr>
              <w:t>）或异型尺寸墙柱板构件（非矩形或圆形构件超过</w:t>
            </w:r>
            <w:r>
              <w:rPr>
                <w:rFonts w:hint="default" w:ascii="NEU-BZ-S92" w:hAnsi="NEU-BZ-S92"/>
              </w:rPr>
              <w:t>30%</w:t>
            </w:r>
            <w:r>
              <w:rPr>
                <w:rFonts w:hint="default" w:eastAsia="方正书宋_GBK"/>
              </w:rPr>
              <w:t>）；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2.</w:t>
            </w:r>
            <w:r>
              <w:rPr>
                <w:rFonts w:hint="default" w:eastAsia="方正书宋_GBK"/>
              </w:rPr>
              <w:t>存在跃层大空间投影占标准层面积不小于</w:t>
            </w:r>
            <w:r>
              <w:rPr>
                <w:rFonts w:hint="default" w:ascii="NEU-BZ-S92" w:hAnsi="NEU-BZ-S92"/>
              </w:rPr>
              <w:t>20%</w:t>
            </w:r>
            <w:r>
              <w:rPr>
                <w:rFonts w:hint="default" w:eastAsia="方正书宋_GBK"/>
              </w:rPr>
              <w:t>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3.</w:t>
            </w:r>
            <w:r>
              <w:rPr>
                <w:rFonts w:hint="default" w:eastAsia="方正书宋_GBK"/>
              </w:rPr>
              <w:t>外立面存在曲面，且曲面面积比例大于</w:t>
            </w:r>
            <w:r>
              <w:rPr>
                <w:rFonts w:hint="default" w:ascii="NEU-BZ-S92" w:hAnsi="NEU-BZ-S92"/>
              </w:rPr>
              <w:t>20%</w:t>
            </w:r>
            <w:r>
              <w:rPr>
                <w:rFonts w:hint="default" w:eastAsia="方正书宋_GBK"/>
              </w:rPr>
              <w:t>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4.</w:t>
            </w:r>
            <w:r>
              <w:rPr>
                <w:rFonts w:hint="default" w:eastAsia="方正书宋_GBK"/>
              </w:rPr>
              <w:t>结构存在竖向构件转换，且转换比例大于</w:t>
            </w:r>
            <w:r>
              <w:rPr>
                <w:rFonts w:hint="default" w:ascii="NEU-BZ-S92" w:hAnsi="NEU-BZ-S92"/>
              </w:rPr>
              <w:t>10%</w:t>
            </w:r>
            <w:r>
              <w:rPr>
                <w:rFonts w:hint="default" w:eastAsia="方正书宋_GBK"/>
              </w:rPr>
              <w:t>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5.</w:t>
            </w:r>
            <w:r>
              <w:rPr>
                <w:rFonts w:hint="default" w:eastAsia="方正书宋_GBK"/>
              </w:rPr>
              <w:t>结构存在超大跨度（梁跨大于</w:t>
            </w:r>
            <w:r>
              <w:rPr>
                <w:rFonts w:hint="default" w:ascii="NEU-BZ-S92" w:hAnsi="NEU-BZ-S92"/>
              </w:rPr>
              <w:t>18</w:t>
            </w:r>
            <w:r>
              <w:rPr>
                <w:rFonts w:hint="default" w:eastAsia="方正书宋_GBK"/>
              </w:rPr>
              <w:t>米）或超大悬挑（悬挑大于</w:t>
            </w:r>
            <w:r>
              <w:rPr>
                <w:rFonts w:hint="default" w:ascii="NEU-BZ-S92" w:hAnsi="NEU-BZ-S92"/>
              </w:rPr>
              <w:t>4</w:t>
            </w:r>
            <w:r>
              <w:rPr>
                <w:rFonts w:hint="default" w:eastAsia="方正书宋_GBK"/>
              </w:rPr>
              <w:t>米）；</w:t>
            </w:r>
            <w:r>
              <w:rPr>
                <w:rFonts w:hint="default" w:ascii="NEU-BZ-S92" w:hAnsi="NEU-BZ-S92"/>
              </w:rPr>
              <w:t>6.</w:t>
            </w:r>
            <w:r>
              <w:rPr>
                <w:rFonts w:hint="default" w:eastAsia="方正书宋_GBK"/>
              </w:rPr>
              <w:t>经申请单位提出专家认可的其它情况。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jc w:val="center"/>
              <w:rPr>
                <w:rFonts w:hint="default" w:ascii="NEU-BZ" w:hAnsi="NEU-BZ" w:eastAsia="方正书宋_GBK"/>
              </w:rPr>
            </w:pPr>
            <w:r>
              <w:rPr>
                <w:rFonts w:hint="default" w:ascii="NEU-BZ-S92" w:hAnsi="NEU-BZ-S92"/>
              </w:rPr>
              <w:t>2</w:t>
            </w:r>
          </w:p>
        </w:tc>
        <w:tc>
          <w:tcPr>
            <w:tcW w:w="1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施工场地情况复杂项目（至少满足其中一项）</w:t>
            </w:r>
          </w:p>
        </w:tc>
        <w:tc>
          <w:tcPr>
            <w:tcW w:w="6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1.</w:t>
            </w:r>
            <w:r>
              <w:rPr>
                <w:rFonts w:hint="default" w:eastAsia="方正书宋_GBK"/>
              </w:rPr>
              <w:t>地形起伏较大，施工地形地势高差超过</w:t>
            </w:r>
            <w:r>
              <w:rPr>
                <w:rFonts w:hint="default" w:ascii="NEU-BZ-S92" w:hAnsi="NEU-BZ-S92"/>
              </w:rPr>
              <w:t>10</w:t>
            </w:r>
            <w:r>
              <w:rPr>
                <w:rFonts w:hint="default" w:eastAsia="方正书宋_GBK"/>
              </w:rPr>
              <w:t>米；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2.</w:t>
            </w:r>
            <w:r>
              <w:rPr>
                <w:rFonts w:hint="default" w:eastAsia="方正书宋_GBK"/>
              </w:rPr>
              <w:t>红线范围内有交通控制保护区；</w:t>
            </w:r>
            <w:r>
              <w:rPr>
                <w:rFonts w:hint="default" w:ascii="NEU-BZ-S92" w:hAnsi="NEU-BZ-S92"/>
              </w:rPr>
              <w:t>3.</w:t>
            </w:r>
            <w:r>
              <w:rPr>
                <w:rFonts w:hint="default" w:eastAsia="方正书宋_GBK"/>
              </w:rPr>
              <w:t>基地内有文物保护单位；</w:t>
            </w:r>
            <w:r>
              <w:rPr>
                <w:rFonts w:hint="default" w:ascii="NEU-BZ-S92" w:hAnsi="NEU-BZ-S92"/>
              </w:rPr>
              <w:t>4.</w:t>
            </w:r>
            <w:r>
              <w:rPr>
                <w:rFonts w:hint="default" w:eastAsia="方正书宋_GBK"/>
              </w:rPr>
              <w:t>施工场地紧邻的市政道路转弯半径均不足</w:t>
            </w:r>
            <w:r>
              <w:rPr>
                <w:rFonts w:hint="default" w:ascii="NEU-BZ-S92" w:hAnsi="NEU-BZ-S92"/>
              </w:rPr>
              <w:t>12m</w:t>
            </w:r>
            <w:r>
              <w:rPr>
                <w:rFonts w:hint="default" w:eastAsia="方正书宋_GBK"/>
              </w:rPr>
              <w:t>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5.</w:t>
            </w:r>
            <w:r>
              <w:rPr>
                <w:rFonts w:hint="default" w:eastAsia="方正书宋_GBK"/>
              </w:rPr>
              <w:t>已建建筑对项目红线范围内使用条件限制；</w:t>
            </w:r>
          </w:p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ascii="NEU-BZ-S92" w:hAnsi="NEU-BZ-S92"/>
              </w:rPr>
              <w:t>6.</w:t>
            </w:r>
            <w:r>
              <w:rPr>
                <w:rFonts w:hint="default" w:eastAsia="方正书宋_GBK"/>
              </w:rPr>
              <w:t>经申请单位提出专家认可的其他情况。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3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jc w:val="center"/>
              <w:rPr>
                <w:rFonts w:hint="default" w:ascii="NEU-BZ" w:hAnsi="NEU-BZ" w:eastAsia="方正书宋_GBK"/>
              </w:rPr>
            </w:pPr>
            <w:r>
              <w:rPr>
                <w:rFonts w:hint="default" w:ascii="NEU-BZ-S92" w:hAnsi="NEU-BZ-S92"/>
              </w:rPr>
              <w:t>3</w:t>
            </w:r>
          </w:p>
        </w:tc>
        <w:tc>
          <w:tcPr>
            <w:tcW w:w="19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群众关注度高的两安用地</w:t>
            </w:r>
          </w:p>
        </w:tc>
        <w:tc>
          <w:tcPr>
            <w:tcW w:w="62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ind w:firstLine="0" w:firstLineChars="0"/>
              <w:rPr>
                <w:rFonts w:hint="default" w:eastAsia="方正书宋_GBK"/>
              </w:rPr>
            </w:pPr>
            <w:r>
              <w:rPr>
                <w:rFonts w:hint="default" w:eastAsia="方正书宋_GBK"/>
              </w:rPr>
              <w:t>指村民生活安置留地、村民生产安置留地和原企业留地等用地。</w:t>
            </w:r>
          </w:p>
        </w:tc>
      </w:tr>
    </w:tbl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eastAsia="方正书宋_GBK"/>
          <w:sz w:val="20"/>
          <w:szCs w:val="20"/>
        </w:rPr>
        <w:t>说明：建筑体型多变、结构复杂异型建筑第</w:t>
      </w:r>
      <w:r>
        <w:rPr>
          <w:rFonts w:hint="default" w:ascii="NEU-BZ-S92" w:hAnsi="NEU-BZ-S92"/>
          <w:sz w:val="20"/>
          <w:szCs w:val="20"/>
        </w:rPr>
        <w:t>1-4</w:t>
      </w:r>
      <w:r>
        <w:rPr>
          <w:rFonts w:hint="default" w:eastAsia="方正书宋_GBK"/>
          <w:sz w:val="20"/>
          <w:szCs w:val="20"/>
        </w:rPr>
        <w:t>项按以下要求进行计算判定：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>1.</w:t>
      </w:r>
      <w:r>
        <w:rPr>
          <w:rFonts w:hint="default" w:eastAsia="方正书宋_GBK"/>
          <w:sz w:val="20"/>
          <w:szCs w:val="20"/>
        </w:rPr>
        <w:t>结构中斜交构件或异型尺寸墙柱板构件占比按下式计算：</w:t>
      </w:r>
    </w:p>
    <w:p>
      <w:pPr>
        <w:pStyle w:val="4"/>
        <w:ind w:firstLine="0" w:firstLineChars="0"/>
        <w:jc w:val="center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-S92" w:hAnsi="NEU-BZ-S92"/>
          <w:i/>
          <w:sz w:val="20"/>
          <w:szCs w:val="20"/>
        </w:rPr>
        <w:t>=A</w:t>
      </w:r>
      <w:r>
        <w:rPr>
          <w:rFonts w:hint="default" w:ascii="NEU-BZ-S92" w:hAnsi="NEU-BZ-S92"/>
          <w:i/>
          <w:sz w:val="20"/>
          <w:szCs w:val="20"/>
          <w:vertAlign w:val="subscript"/>
        </w:rPr>
        <w:t>1</w:t>
      </w:r>
      <w:r>
        <w:rPr>
          <w:rFonts w:hint="default" w:ascii="NEU-BZ-S92" w:hAnsi="NEU-BZ-S92"/>
          <w:i/>
          <w:sz w:val="20"/>
          <w:szCs w:val="20"/>
        </w:rPr>
        <w:t>/A</w:t>
      </w:r>
      <w:r>
        <w:rPr>
          <w:rFonts w:hint="default" w:ascii="NEU-BZ-S92" w:hAnsi="NEU-BZ-S92"/>
          <w:sz w:val="20"/>
          <w:szCs w:val="20"/>
        </w:rPr>
        <w:t>×100%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</w:t>
      </w:r>
      <w:r>
        <w:rPr>
          <w:rFonts w:hint="default" w:eastAsia="方正书宋_GBK"/>
          <w:sz w:val="20"/>
          <w:szCs w:val="20"/>
        </w:rPr>
        <w:t>式中：</w:t>
      </w: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eastAsia="方正书宋_GBK"/>
          <w:sz w:val="20"/>
          <w:szCs w:val="20"/>
        </w:rPr>
        <w:t>——斜交构件或异型尺寸墙柱板等构件占比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   </w:t>
      </w:r>
      <w:r>
        <w:rPr>
          <w:rFonts w:hint="default" w:ascii="NEU-BZ-S92" w:hAnsi="NEU-BZ-S92"/>
          <w:i/>
          <w:sz w:val="20"/>
          <w:szCs w:val="20"/>
        </w:rPr>
        <w:t>A</w:t>
      </w:r>
      <w:r>
        <w:rPr>
          <w:rFonts w:hint="default" w:ascii="NEU-BZ-S92" w:hAnsi="NEU-BZ-S92"/>
          <w:i/>
          <w:sz w:val="20"/>
          <w:szCs w:val="20"/>
          <w:vertAlign w:val="subscript"/>
        </w:rPr>
        <w:t>1</w:t>
      </w:r>
      <w:r>
        <w:rPr>
          <w:rFonts w:hint="default" w:eastAsia="方正书宋_GBK"/>
          <w:sz w:val="20"/>
          <w:szCs w:val="20"/>
        </w:rPr>
        <w:t>——各楼层中斜交构件或异型尺寸墙柱板构件的水平投影面积之和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   </w:t>
      </w:r>
      <w:r>
        <w:rPr>
          <w:rFonts w:hint="default" w:ascii="NEU-BZ-S92" w:hAnsi="NEU-BZ-S92"/>
          <w:i/>
          <w:sz w:val="20"/>
          <w:szCs w:val="20"/>
        </w:rPr>
        <w:t>A</w:t>
      </w:r>
      <w:r>
        <w:rPr>
          <w:rFonts w:hint="default" w:eastAsia="方正书宋_GBK"/>
          <w:sz w:val="20"/>
          <w:szCs w:val="20"/>
        </w:rPr>
        <w:t>——各楼层中水平、竖向构件水平投影面积之和（不包括电梯井、管道井等开洞区域面积）。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   </w:t>
      </w: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eastAsia="方正书宋_GBK"/>
          <w:sz w:val="20"/>
          <w:szCs w:val="20"/>
        </w:rPr>
        <w:t>＞</w:t>
      </w:r>
      <w:r>
        <w:rPr>
          <w:rFonts w:hint="default" w:ascii="NEU-BZ-S92" w:hAnsi="NEU-BZ-S92"/>
          <w:sz w:val="20"/>
          <w:szCs w:val="20"/>
        </w:rPr>
        <w:t>30%</w:t>
      </w:r>
      <w:r>
        <w:rPr>
          <w:rFonts w:hint="default" w:eastAsia="方正书宋_GBK"/>
          <w:sz w:val="20"/>
          <w:szCs w:val="20"/>
        </w:rPr>
        <w:t>，可认定建筑体型多变、结构复杂异型建筑。</w:t>
      </w:r>
    </w:p>
    <w:p>
      <w:pPr>
        <w:pStyle w:val="4"/>
        <w:ind w:firstLine="0" w:firstLineChars="0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2.</w:t>
      </w:r>
      <w:r>
        <w:rPr>
          <w:rFonts w:hint="default" w:eastAsia="方正书宋_GBK"/>
          <w:sz w:val="20"/>
          <w:szCs w:val="20"/>
        </w:rPr>
        <w:t>跃层大空间投影占比按下式计算：</w:t>
      </w:r>
    </w:p>
    <w:p>
      <w:pPr>
        <w:pStyle w:val="4"/>
        <w:ind w:firstLine="0" w:firstLineChars="0"/>
        <w:jc w:val="center"/>
        <w:rPr>
          <w:rFonts w:hint="default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2</w:t>
      </w:r>
      <w:r>
        <w:rPr>
          <w:rFonts w:hint="default" w:ascii="NEU-BZ-S92" w:hAnsi="NEU-BZ-S92"/>
          <w:sz w:val="20"/>
          <w:szCs w:val="20"/>
        </w:rPr>
        <w:t>=</w:t>
      </w:r>
      <w:r>
        <w:rPr>
          <w:rFonts w:hint="default" w:ascii="NEU-BZ-S92" w:hAnsi="NEU-BZ-S92"/>
          <w:i/>
          <w:sz w:val="20"/>
          <w:szCs w:val="20"/>
        </w:rPr>
        <w:t>B</w:t>
      </w:r>
      <w:r>
        <w:rPr>
          <w:rFonts w:hint="default" w:ascii="NEU-BZ-S92" w:hAnsi="NEU-BZ-S92"/>
          <w:sz w:val="20"/>
          <w:szCs w:val="20"/>
          <w:vertAlign w:val="subscript"/>
        </w:rPr>
        <w:t>2</w:t>
      </w:r>
      <w:r>
        <w:rPr>
          <w:rFonts w:hint="default" w:ascii="NEU-BZ-S92" w:hAnsi="NEU-BZ-S92"/>
          <w:sz w:val="20"/>
          <w:szCs w:val="20"/>
        </w:rPr>
        <w:t>/</w:t>
      </w:r>
      <w:r>
        <w:rPr>
          <w:rFonts w:hint="default" w:ascii="NEU-BZ-S92" w:hAnsi="NEU-BZ-S92"/>
          <w:i/>
          <w:sz w:val="20"/>
          <w:szCs w:val="20"/>
        </w:rPr>
        <w:t>B</w:t>
      </w:r>
      <w:r>
        <w:rPr>
          <w:rFonts w:hint="default" w:ascii="NEU-BZ-S92" w:hAnsi="NEU-BZ-S92"/>
          <w:sz w:val="20"/>
          <w:szCs w:val="20"/>
        </w:rPr>
        <w:t>×100%</w:t>
      </w:r>
    </w:p>
    <w:p>
      <w:pPr>
        <w:pStyle w:val="7"/>
        <w:rPr>
          <w:rFonts w:hint="default" w:eastAsia="方正报宋_GBK"/>
        </w:rPr>
      </w:pPr>
      <w:r>
        <w:rPr>
          <w:rFonts w:hint="default" w:ascii="NEU-BZ-S92" w:hAnsi="NEU-BZ-S92" w:eastAsia="方正书宋_GBK"/>
          <w:sz w:val="20"/>
          <w:szCs w:val="20"/>
        </w:rPr>
        <w:t xml:space="preserve">    </w:t>
      </w:r>
      <w:r>
        <w:rPr>
          <w:rFonts w:hint="default" w:ascii="NEU-BZ" w:hAnsi="NEU-BZ" w:eastAsia="方正书宋_GBK"/>
          <w:sz w:val="20"/>
          <w:szCs w:val="20"/>
        </w:rPr>
        <w:t>式中：</w:t>
      </w:r>
      <w:r>
        <w:rPr>
          <w:rFonts w:hint="default" w:ascii="NEU-BZ-S92" w:hAnsi="NEU-BZ-S92" w:eastAsia="方正书宋_GBK"/>
          <w:i/>
          <w:sz w:val="20"/>
          <w:szCs w:val="20"/>
        </w:rPr>
        <w:t>S</w:t>
      </w:r>
      <w:r>
        <w:rPr>
          <w:rFonts w:hint="default" w:ascii="NEU-BZ-S92" w:hAnsi="NEU-BZ-S92" w:eastAsia="方正书宋_GBK"/>
          <w:sz w:val="20"/>
          <w:szCs w:val="20"/>
          <w:vertAlign w:val="subscript"/>
        </w:rPr>
        <w:t>2</w:t>
      </w:r>
      <w:r>
        <w:rPr>
          <w:rFonts w:hint="default" w:ascii="NEU-BZ" w:hAnsi="NEU-BZ" w:eastAsia="方正书宋_GBK"/>
          <w:sz w:val="20"/>
          <w:szCs w:val="20"/>
        </w:rPr>
        <w:t>——跃层大空间投影占比；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B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" w:hAnsi="NEU-BZ" w:eastAsia="方正书宋_GBK"/>
          <w:sz w:val="20"/>
          <w:szCs w:val="20"/>
        </w:rPr>
        <w:t>——跃层大空间投影面积</w:t>
      </w:r>
      <w:r>
        <w:rPr>
          <w:rFonts w:hint="default" w:ascii="NEU-BZ-S92" w:hAnsi="NEU-BZ-S92"/>
          <w:sz w:val="20"/>
          <w:szCs w:val="20"/>
        </w:rPr>
        <w:t>: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B</w:t>
      </w:r>
      <w:r>
        <w:rPr>
          <w:rFonts w:hint="default" w:ascii="NEU-BZ" w:hAnsi="NEU-BZ" w:eastAsia="方正书宋_GBK"/>
          <w:sz w:val="20"/>
          <w:szCs w:val="20"/>
        </w:rPr>
        <w:t>——标准层建筑面积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S</w:t>
      </w:r>
      <w:r>
        <w:rPr>
          <w:rFonts w:hint="default" w:ascii="NEU-BZ-S92" w:hAnsi="NEU-BZ-S92"/>
          <w:sz w:val="20"/>
          <w:szCs w:val="20"/>
          <w:vertAlign w:val="subscript"/>
        </w:rPr>
        <w:t>2</w:t>
      </w:r>
      <w:r>
        <w:rPr>
          <w:rFonts w:hint="default" w:ascii="NEU-BZ-S92" w:hAnsi="NEU-BZ-S92"/>
          <w:sz w:val="20"/>
          <w:szCs w:val="20"/>
        </w:rPr>
        <w:t>&gt;20%</w:t>
      </w:r>
      <w:r>
        <w:rPr>
          <w:rFonts w:hint="default" w:ascii="NEU-BZ" w:hAnsi="NEU-BZ" w:eastAsia="方正书宋_GBK"/>
          <w:sz w:val="20"/>
          <w:szCs w:val="20"/>
        </w:rPr>
        <w:t>，可认定建筑体型多变、结构复杂异型建筑。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3.</w:t>
      </w:r>
      <w:r>
        <w:rPr>
          <w:rFonts w:hint="default" w:ascii="NEU-BZ" w:hAnsi="NEU-BZ" w:eastAsia="方正书宋_GBK"/>
          <w:sz w:val="20"/>
          <w:szCs w:val="20"/>
        </w:rPr>
        <w:t>外立面曲面面积占比按下式计算</w:t>
      </w:r>
      <w:r>
        <w:rPr>
          <w:rFonts w:hint="default" w:ascii="NEU-BZ-S92" w:hAnsi="NEU-BZ-S92"/>
          <w:sz w:val="20"/>
          <w:szCs w:val="20"/>
        </w:rPr>
        <w:t>:</w:t>
      </w:r>
    </w:p>
    <w:p>
      <w:pPr>
        <w:pStyle w:val="7"/>
        <w:jc w:val="center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3</w:t>
      </w:r>
      <w:r>
        <w:rPr>
          <w:rFonts w:hint="default" w:ascii="NEU-BZ-S92" w:hAnsi="NEU-BZ-S92"/>
          <w:sz w:val="20"/>
          <w:szCs w:val="20"/>
        </w:rPr>
        <w:t>=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-S92" w:hAnsi="NEU-BZ-S92"/>
          <w:sz w:val="20"/>
          <w:szCs w:val="20"/>
        </w:rPr>
        <w:t>/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-S92" w:hAnsi="NEU-BZ-S92"/>
          <w:sz w:val="20"/>
          <w:szCs w:val="20"/>
        </w:rPr>
        <w:t>×100%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</w:t>
      </w:r>
      <w:r>
        <w:rPr>
          <w:rFonts w:hint="default" w:ascii="NEU-BZ" w:hAnsi="NEU-BZ" w:eastAsia="方正书宋_GBK"/>
          <w:sz w:val="20"/>
          <w:szCs w:val="20"/>
        </w:rPr>
        <w:t>式中：</w:t>
      </w: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3</w:t>
      </w:r>
      <w:r>
        <w:rPr>
          <w:rFonts w:hint="default" w:ascii="NEU-BZ" w:hAnsi="NEU-BZ" w:eastAsia="方正书宋_GBK"/>
          <w:sz w:val="20"/>
          <w:szCs w:val="20"/>
        </w:rPr>
        <w:t>——外立面曲面面积占比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C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" w:hAnsi="NEU-BZ" w:eastAsia="方正书宋_GBK"/>
          <w:sz w:val="20"/>
          <w:szCs w:val="20"/>
        </w:rPr>
        <w:t>——外立面曲面总面积之和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C</w:t>
      </w:r>
      <w:r>
        <w:rPr>
          <w:rFonts w:hint="default" w:ascii="NEU-BZ" w:hAnsi="NEU-BZ" w:eastAsia="方正书宋_GBK"/>
          <w:sz w:val="20"/>
          <w:szCs w:val="20"/>
        </w:rPr>
        <w:t>——建筑外立面总面积之和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   S</w:t>
      </w:r>
      <w:r>
        <w:rPr>
          <w:rFonts w:hint="default" w:ascii="NEU-BZ-S92" w:hAnsi="NEU-BZ-S92"/>
          <w:sz w:val="20"/>
          <w:szCs w:val="20"/>
          <w:vertAlign w:val="subscript"/>
        </w:rPr>
        <w:t>3</w:t>
      </w:r>
      <w:r>
        <w:rPr>
          <w:rFonts w:hint="default" w:ascii="NEU-BZ-S92" w:hAnsi="NEU-BZ-S92"/>
          <w:sz w:val="20"/>
          <w:szCs w:val="20"/>
        </w:rPr>
        <w:t>&gt;20%</w:t>
      </w:r>
      <w:r>
        <w:rPr>
          <w:rFonts w:hint="default" w:ascii="NEU-BZ" w:hAnsi="NEU-BZ" w:eastAsia="方正书宋_GBK"/>
          <w:sz w:val="20"/>
          <w:szCs w:val="20"/>
        </w:rPr>
        <w:t>，可认定建筑体型多变、结构复杂异型建筑。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4.</w:t>
      </w:r>
      <w:r>
        <w:rPr>
          <w:rFonts w:hint="default" w:ascii="NEU-BZ" w:hAnsi="NEU-BZ" w:eastAsia="方正书宋_GBK"/>
          <w:sz w:val="20"/>
          <w:szCs w:val="20"/>
        </w:rPr>
        <w:t>结构中坚向构件转换占比按下式计算</w:t>
      </w:r>
      <w:r>
        <w:rPr>
          <w:rFonts w:hint="default" w:ascii="NEU-BZ-S92" w:hAnsi="NEU-BZ-S92"/>
          <w:sz w:val="20"/>
          <w:szCs w:val="20"/>
        </w:rPr>
        <w:t>:</w:t>
      </w:r>
    </w:p>
    <w:p>
      <w:pPr>
        <w:pStyle w:val="7"/>
        <w:jc w:val="center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i/>
          <w:sz w:val="20"/>
          <w:szCs w:val="20"/>
        </w:rPr>
        <w:t xml:space="preserve">    S</w:t>
      </w:r>
      <w:r>
        <w:rPr>
          <w:rFonts w:hint="default" w:ascii="NEU-BZ-S92" w:hAnsi="NEU-BZ-S92"/>
          <w:sz w:val="20"/>
          <w:szCs w:val="20"/>
          <w:vertAlign w:val="subscript"/>
        </w:rPr>
        <w:t>4</w:t>
      </w:r>
      <w:r>
        <w:rPr>
          <w:rFonts w:hint="default" w:ascii="NEU-BZ-S92" w:hAnsi="NEU-BZ-S92"/>
          <w:sz w:val="20"/>
          <w:szCs w:val="20"/>
        </w:rPr>
        <w:t>=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-S92" w:hAnsi="NEU-BZ-S92"/>
          <w:sz w:val="20"/>
          <w:szCs w:val="20"/>
        </w:rPr>
        <w:t>/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-S92" w:hAnsi="NEU-BZ-S92"/>
          <w:sz w:val="20"/>
          <w:szCs w:val="20"/>
        </w:rPr>
        <w:t>×100%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</w:t>
      </w:r>
      <w:r>
        <w:rPr>
          <w:rFonts w:hint="default" w:ascii="NEU-BZ" w:hAnsi="NEU-BZ" w:eastAsia="方正书宋_GBK"/>
          <w:sz w:val="20"/>
          <w:szCs w:val="20"/>
        </w:rPr>
        <w:t>式中：</w:t>
      </w:r>
      <w:r>
        <w:rPr>
          <w:rFonts w:hint="default" w:ascii="NEU-BZ-S92" w:hAnsi="NEU-BZ-S92"/>
          <w:i/>
          <w:sz w:val="20"/>
          <w:szCs w:val="20"/>
        </w:rPr>
        <w:t>S</w:t>
      </w:r>
      <w:r>
        <w:rPr>
          <w:rFonts w:hint="default" w:ascii="NEU-BZ-S92" w:hAnsi="NEU-BZ-S92"/>
          <w:sz w:val="20"/>
          <w:szCs w:val="20"/>
          <w:vertAlign w:val="subscript"/>
        </w:rPr>
        <w:t>4</w:t>
      </w:r>
      <w:r>
        <w:rPr>
          <w:rFonts w:hint="default" w:ascii="NEU-BZ" w:hAnsi="NEU-BZ" w:eastAsia="方正书宋_GBK"/>
          <w:sz w:val="20"/>
          <w:szCs w:val="20"/>
        </w:rPr>
        <w:t>——结构中坚向构件转换比例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   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-S92" w:hAnsi="NEU-BZ-S92"/>
          <w:sz w:val="20"/>
          <w:szCs w:val="20"/>
          <w:vertAlign w:val="subscript"/>
        </w:rPr>
        <w:t>1</w:t>
      </w:r>
      <w:r>
        <w:rPr>
          <w:rFonts w:hint="default" w:ascii="NEU-BZ" w:hAnsi="NEU-BZ" w:eastAsia="方正书宋_GBK"/>
          <w:sz w:val="20"/>
          <w:szCs w:val="20"/>
        </w:rPr>
        <w:t>——竖向转换构件混凝土总投影面积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ascii="NEU-BZ" w:hAnsi="NEU-BZ" w:eastAsia="方正书宋_GBK"/>
          <w:sz w:val="20"/>
          <w:szCs w:val="20"/>
        </w:rPr>
      </w:pPr>
      <w:r>
        <w:rPr>
          <w:rFonts w:hint="default" w:ascii="NEU-BZ-S92" w:hAnsi="NEU-BZ-S92"/>
          <w:sz w:val="20"/>
          <w:szCs w:val="20"/>
        </w:rPr>
        <w:t xml:space="preserve">       </w:t>
      </w:r>
      <w:r>
        <w:rPr>
          <w:rFonts w:hint="default" w:ascii="NEU-BZ-S92" w:hAnsi="NEU-BZ-S92"/>
          <w:i/>
          <w:sz w:val="20"/>
          <w:szCs w:val="20"/>
        </w:rPr>
        <w:t>D</w:t>
      </w:r>
      <w:r>
        <w:rPr>
          <w:rFonts w:hint="default" w:ascii="NEU-BZ" w:hAnsi="NEU-BZ" w:eastAsia="方正书宋_GBK"/>
          <w:sz w:val="20"/>
          <w:szCs w:val="20"/>
        </w:rPr>
        <w:t>——结构竖向构件混凝土总投影面积</w:t>
      </w:r>
      <w:r>
        <w:rPr>
          <w:rFonts w:hint="default" w:ascii="NEU-BZ-S92" w:hAnsi="NEU-BZ-S92"/>
          <w:sz w:val="20"/>
          <w:szCs w:val="20"/>
        </w:rPr>
        <w:t>;</w:t>
      </w:r>
    </w:p>
    <w:p>
      <w:pPr>
        <w:pStyle w:val="7"/>
        <w:rPr>
          <w:rFonts w:hint="default" w:eastAsia="方正报宋_GBK"/>
        </w:rPr>
      </w:pPr>
      <w:r>
        <w:rPr>
          <w:rFonts w:hint="default" w:ascii="NEU-BZ-S92" w:hAnsi="NEU-BZ-S92" w:eastAsia="方正书宋_GBK"/>
          <w:i/>
          <w:sz w:val="20"/>
          <w:szCs w:val="20"/>
        </w:rPr>
        <w:t xml:space="preserve">       S</w:t>
      </w:r>
      <w:r>
        <w:rPr>
          <w:rFonts w:hint="default" w:ascii="NEU-BZ-S92" w:hAnsi="NEU-BZ-S92" w:eastAsia="方正书宋_GBK"/>
          <w:sz w:val="20"/>
          <w:szCs w:val="20"/>
          <w:vertAlign w:val="subscript"/>
        </w:rPr>
        <w:t>4</w:t>
      </w:r>
      <w:r>
        <w:rPr>
          <w:rFonts w:hint="default" w:ascii="NEU-BZ-S92" w:hAnsi="NEU-BZ-S92" w:eastAsia="方正书宋_GBK"/>
          <w:sz w:val="20"/>
          <w:szCs w:val="20"/>
        </w:rPr>
        <w:t>&gt;10%</w:t>
      </w:r>
      <w:r>
        <w:rPr>
          <w:rFonts w:hint="default" w:ascii="NEU-BZ" w:hAnsi="NEU-BZ" w:eastAsia="方正书宋_GBK"/>
          <w:sz w:val="20"/>
          <w:szCs w:val="20"/>
        </w:rPr>
        <w:t>，可认定建筑体型多变、结构复杂异型建筑。</w:t>
      </w:r>
    </w:p>
    <w:p>
      <w:pPr>
        <w:sectPr>
          <w:footnotePr>
            <w:numFmt w:val="decimalEnclosedCircleChinese"/>
          </w:footnotePr>
          <w:pgSz w:w="11907" w:h="16839"/>
          <w:pgMar w:top="2664" w:right="1587" w:bottom="1701" w:left="1587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10600010101010101"/>
    <w:charset w:val="86"/>
    <w:family w:val="auto"/>
    <w:pitch w:val="default"/>
    <w:sig w:usb0="00000000" w:usb1="00000000" w:usb2="05000016" w:usb3="00000008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WNlMzUwNWYxYTVmYWM3ZmM5MWFhNTU3ZWY3N2UifQ=="/>
  </w:docVars>
  <w:rsids>
    <w:rsidRoot w:val="1E085A14"/>
    <w:rsid w:val="1E0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5"/>
    <w:qFormat/>
    <w:uiPriority w:val="0"/>
    <w:pPr>
      <w:ind w:firstLineChars="200"/>
    </w:pPr>
  </w:style>
  <w:style w:type="paragraph" w:customStyle="1" w:styleId="5">
    <w:name w:val="[系统文字]"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号小标宋"/>
    <w:basedOn w:val="5"/>
    <w:uiPriority w:val="0"/>
    <w:pPr>
      <w:jc w:val="center"/>
    </w:pPr>
  </w:style>
  <w:style w:type="paragraph" w:customStyle="1" w:styleId="7">
    <w:name w:val="[基本段落]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2024-05-09T06:54:00Z</dcterms:created>
  <dc:creator>周艳</dc:creator>
  <cp:lastModifiedBy>周艳</cp:lastModifiedBy>
  <dcterms:modified xsi:type="dcterms:W3CDTF">2024-05-09T06:55:33Z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F172C862B6F54D89BD305125B0577FF5_11</vt:lpwstr>
  </property>
</Properties>
</file>