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方正黑体_GBK"/>
          <w:b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Times New Roman" w:hAnsi="Times New Roman" w:eastAsia="方正黑体_GBK"/>
          <w:b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b/>
          <w:sz w:val="44"/>
        </w:rPr>
      </w:pPr>
      <w:bookmarkStart w:id="0" w:name="_GoBack"/>
      <w:r>
        <w:rPr>
          <w:rFonts w:ascii="Times New Roman" w:hAnsi="Times New Roman"/>
          <w:b/>
          <w:sz w:val="44"/>
        </w:rPr>
        <w:t>“三区”人才支持计划科技人员及科技特派员工作经费“包干制”实施细则</w:t>
      </w:r>
    </w:p>
    <w:bookmarkEnd w:id="0"/>
    <w:p>
      <w:pPr>
        <w:spacing w:line="58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一、实施时间与范围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自2021年起选派确认的省级科技特派员开展科技服务和创新创业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工作经费。</w:t>
      </w:r>
    </w:p>
    <w:p>
      <w:pPr>
        <w:spacing w:line="58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二、实行工作承诺制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级科技特派员需签署承诺书，承诺尊重科研规律，弘扬科学家精神，遵守科研伦理道德和作风学风诚信要求，认真开展科技特派员工作；承诺经费全部用于与科技特派员工作相关的支出，不得截留、挪用、侵占，不得用于与科技特派员工作无关的支出。</w:t>
      </w:r>
    </w:p>
    <w:p>
      <w:pPr>
        <w:spacing w:line="58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三、经费使用管理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（一）经费使用正面清单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1．差旅费。是指选派科技特派员往返选派单位和服务单位之间所发生的交通费、住宿费、伙食补助费和市内交通费。差旅费的开支标准应当按照国家、省有关规定执行。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科技特派员驾车往返服务单位开展科技服务所产生的燃油费、过路过桥费等有关费用，随当次差旅费一并报销，燃油费报销标准由各单位根据实际情况和财务规定自行制定；租用社会车辆的租车费用随当次差旅费一并报销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2．材料费。是指选派科技特派员在开展科技服务和创新创业过程中，用于购买相关材料的费用，支出范围包括但不限于农药、化肥、种子、兽药、饲料、小型设备、试剂耗材等。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3．保险费。是指选派科技特派员服务期间购买的短期、个人、商业性人身意外伤害保险和交通意外保险。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4．培训费。是指选派科技特派员为服务对象组织技术培训、专题讲座时支付的专家讲课费、资料费、材料费、培训场地租金等与培训直接相关的费用。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5．其它支出。是指选派科技特派员在服务期限内发生的除上述费用外的其他支出。支出范围包括但不限于劳务费、第三方检测化验费和加工费等。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（二）经费使用管理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1．经费管理单位应按要求做好工作经费管理，经费按照“超支不补，结余留用”的原则，不得提前动用下年度包干经费抵补，经费结余可结转下年度使用。若两年后仍有经费结余，按规定收回。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2．因客观原因提前终止科技服务的科技特派员，结余工作经费按原渠道收回。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黑体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四、管理监督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每年对科技特派员科技服务开展绩效评价，绩效评价内容主要包括服务成效、服务对象满意度、约定任务完成情况等。绩效评价不合格的科技特派员，次年将不作为科技特派员选派对象。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级科技管理部门可采取随机抽查等方式进行监督。对科技特派员存在违反财务规定，骗取、挪用、挤占工作经费等行为，除依照有关规定，采取通报批评、取消资格、停止拨款等措施外，还将其纳入科研失信黑名单，并将按照有关规定，由相关部门追究有关人员责任。</w:t>
      </w:r>
    </w:p>
    <w:p>
      <w:r>
        <w:rPr>
          <w:rFonts w:ascii="Times New Roman" w:hAnsi="Times New Roman" w:eastAsia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572B5"/>
    <w:rsid w:val="1A7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2021-04-23T02:16:00Z</dcterms:created>
  <dc:creator>admin</dc:creator>
  <cp:lastModifiedBy>admin</cp:lastModifiedBy>
  <dcterms:modified xsi:type="dcterms:W3CDTF">2021-04-23T02:16:15Z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2FEA5868FB6748FBBF9D966383A26918</vt:lpwstr>
  </property>
</Properties>
</file>