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黑体" w:hAnsi="宋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t>附件3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宋体" w:eastAsia="黑体" w:cs="黑体"/>
          <w:color w:val="000000"/>
          <w:kern w:val="0"/>
          <w:sz w:val="44"/>
          <w:szCs w:val="44"/>
          <w:shd w:val="clear" w:color="auto" w:fill="FFFFFF"/>
          <w:lang w:bidi="ar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color="auto" w:fill="FFFFFF"/>
          <w:lang w:bidi="ar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color="auto" w:fill="FFFFFF"/>
          <w:lang w:bidi="ar"/>
        </w:rPr>
        <w:t>考评人员培训班课程基本要求</w:t>
      </w:r>
    </w:p>
    <w:bookmarkEnd w:id="0"/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color="auto" w:fill="FFFFFF"/>
          <w:lang w:bidi="ar"/>
        </w:rPr>
      </w:pPr>
    </w:p>
    <w:tbl>
      <w:tblPr>
        <w:tblStyle w:val="2"/>
        <w:tblW w:w="9979" w:type="dxa"/>
        <w:jc w:val="center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739"/>
        <w:gridCol w:w="2370"/>
        <w:gridCol w:w="4870"/>
      </w:tblGrid>
      <w:tr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7" w:hRule="atLeast"/>
          <w:jc w:val="center"/>
        </w:trPr>
        <w:tc>
          <w:tcPr>
            <w:tcW w:w="273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overflowPunct w:val="0"/>
              <w:spacing w:line="400" w:lineRule="exact"/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培训内容</w:t>
            </w:r>
          </w:p>
        </w:tc>
        <w:tc>
          <w:tcPr>
            <w:tcW w:w="23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overflowPunct w:val="0"/>
              <w:spacing w:line="400" w:lineRule="exact"/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培训形式</w:t>
            </w:r>
          </w:p>
        </w:tc>
        <w:tc>
          <w:tcPr>
            <w:tcW w:w="48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overflowPunct w:val="0"/>
              <w:spacing w:line="400" w:lineRule="exact"/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相关培训材料</w:t>
            </w:r>
          </w:p>
        </w:tc>
      </w:tr>
      <w:tr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11" w:hRule="exact"/>
          <w:jc w:val="center"/>
        </w:trPr>
        <w:tc>
          <w:tcPr>
            <w:tcW w:w="273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技能人才评价有关政策法规和规章,命题、考务管理的有关规定</w:t>
            </w:r>
          </w:p>
        </w:tc>
        <w:tc>
          <w:tcPr>
            <w:tcW w:w="23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集中授课</w:t>
            </w:r>
          </w:p>
        </w:tc>
        <w:tc>
          <w:tcPr>
            <w:tcW w:w="4870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1.人力资源社会保障部《关于改革完善技能人才评价制度的意见》（人社部发〔2019〕90号）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2.人力资源社会保障部《关于健全完善新时代技能人才职业技能等级制度的意见（试行）》（人社部发〔2022〕14号）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3.人力资源社会保障部《关于印发〈职业技能等级认定工作规程（试行）〉的通知》（人社职司便函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〔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2020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〕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17号）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4.人力资源社会保障部职业能力建设司《关于印发〈技能人才评价质量督导工作规程（试行）〉的通知》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人社职司便函〔2020〕53号）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5.人力资源社会保障部《技能人才评价违纪违规行为处理工作指引（试行）》（人社职司便函〔2021〕57号）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6.江西省人力资源和社会保障厅《关于印发&lt;江西省职业技能等级认定工作管理办法&gt;的通知》（赣人社规〔2022〕7号）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7.相关《国家职业技能标准》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8.国家和省技能人才评价相关文件</w:t>
            </w:r>
          </w:p>
        </w:tc>
      </w:tr>
      <w:tr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11" w:hRule="exact"/>
          <w:jc w:val="center"/>
        </w:trPr>
        <w:tc>
          <w:tcPr>
            <w:tcW w:w="273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考评人员的职业素养教育、工作守则及相应的规章制度</w:t>
            </w:r>
          </w:p>
        </w:tc>
        <w:tc>
          <w:tcPr>
            <w:tcW w:w="23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集中授课</w:t>
            </w:r>
          </w:p>
        </w:tc>
        <w:tc>
          <w:tcPr>
            <w:tcW w:w="4870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 w:val="16"/>
                <w:szCs w:val="16"/>
              </w:rPr>
            </w:pPr>
          </w:p>
        </w:tc>
      </w:tr>
      <w:tr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11" w:hRule="exact"/>
          <w:jc w:val="center"/>
        </w:trPr>
        <w:tc>
          <w:tcPr>
            <w:tcW w:w="273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相关职业（工种）的操作技能示范教学、评分要素掌握和考评技术规范</w:t>
            </w:r>
          </w:p>
        </w:tc>
        <w:tc>
          <w:tcPr>
            <w:tcW w:w="23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按职业（工种）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分组授课</w:t>
            </w:r>
          </w:p>
        </w:tc>
        <w:tc>
          <w:tcPr>
            <w:tcW w:w="4870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 w:val="16"/>
                <w:szCs w:val="16"/>
              </w:rPr>
            </w:pPr>
          </w:p>
        </w:tc>
      </w:tr>
      <w:tr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34" w:hRule="exact"/>
          <w:jc w:val="center"/>
        </w:trPr>
        <w:tc>
          <w:tcPr>
            <w:tcW w:w="273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实操科目模拟考评</w:t>
            </w:r>
          </w:p>
        </w:tc>
        <w:tc>
          <w:tcPr>
            <w:tcW w:w="23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按职业（工种）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分组授课</w:t>
            </w:r>
          </w:p>
        </w:tc>
        <w:tc>
          <w:tcPr>
            <w:tcW w:w="4870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微软雅黑" w:hAnsi="微软雅黑" w:eastAsia="微软雅黑" w:cs="微软雅黑"/>
                <w:color w:val="000000"/>
                <w:sz w:val="16"/>
                <w:szCs w:val="16"/>
              </w:rPr>
            </w:pPr>
          </w:p>
        </w:tc>
      </w:tr>
    </w:tbl>
    <w:p>
      <w:r>
        <w:rPr>
          <w:rFonts w:hint="eastAsia" w:ascii="微软雅黑" w:hAnsi="微软雅黑" w:eastAsia="微软雅黑" w:cs="微软雅黑"/>
          <w:color w:val="000000"/>
          <w:sz w:val="16"/>
          <w:szCs w:val="16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仿宋_GB2312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wNDFmOWFhZDdlMzBiMWQ2ZGQ2YmE4MTRlMzZlNzkifQ=="/>
  </w:docVars>
  <w:rsids>
    <w:rsidRoot w:val="00000000"/>
    <w:rsid w:val="1B0C0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塵言 </cp:lastModifiedBy>
  <dcterms:modified xsi:type="dcterms:W3CDTF">2023-12-22T02:27:12Z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CDB00535817F491F89B99D40FFF35D25_12</vt:lpwstr>
  </property>
</Properties>
</file>