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30" w:lineRule="exact"/>
        <w:jc w:val="center"/>
        <w:rPr>
          <w:rFonts w:hint="eastAsia" w:ascii="方正小标宋简体" w:hAnsi="华文仿宋" w:eastAsia="方正小标宋简体" w:cs="宋体"/>
          <w:kern w:val="0"/>
          <w:sz w:val="44"/>
          <w:szCs w:val="44"/>
        </w:rPr>
      </w:pPr>
      <w:bookmarkStart w:id="13" w:name="_GoBack"/>
      <w:bookmarkEnd w:id="13"/>
      <w:r>
        <w:rPr>
          <w:rFonts w:hint="eastAsia" w:ascii="方正小标宋简体" w:hAnsi="华文仿宋" w:eastAsia="方正小标宋简体" w:cs="宋体"/>
          <w:kern w:val="0"/>
          <w:sz w:val="44"/>
          <w:szCs w:val="44"/>
        </w:rPr>
        <w:t>山西省住房和城乡建设厅</w:t>
      </w:r>
    </w:p>
    <w:p>
      <w:pPr>
        <w:spacing w:line="630" w:lineRule="exact"/>
        <w:jc w:val="center"/>
        <w:rPr>
          <w:rFonts w:hint="eastAsia" w:ascii="方正小标宋简体" w:hAnsi="华文仿宋" w:eastAsia="方正小标宋简体" w:cs="宋体"/>
          <w:kern w:val="0"/>
          <w:sz w:val="44"/>
          <w:szCs w:val="44"/>
          <w:lang w:eastAsia="zh-CN"/>
        </w:rPr>
      </w:pPr>
      <w:r>
        <w:rPr>
          <w:rFonts w:hint="eastAsia" w:ascii="方正小标宋简体" w:hAnsi="华文仿宋" w:eastAsia="方正小标宋简体" w:cs="宋体"/>
          <w:kern w:val="0"/>
          <w:sz w:val="44"/>
          <w:szCs w:val="44"/>
        </w:rPr>
        <w:t>房屋建筑和市政基础设施工程项目现场管理人员和技</w:t>
      </w:r>
      <w:r>
        <w:rPr>
          <w:rFonts w:hint="eastAsia" w:ascii="方正小标宋简体" w:hAnsi="华文仿宋" w:eastAsia="方正小标宋简体" w:cs="宋体"/>
          <w:kern w:val="0"/>
          <w:sz w:val="44"/>
          <w:szCs w:val="44"/>
          <w:lang w:eastAsia="zh-CN"/>
        </w:rPr>
        <w:t>能</w:t>
      </w:r>
      <w:r>
        <w:rPr>
          <w:rFonts w:hint="eastAsia" w:ascii="方正小标宋简体" w:hAnsi="华文仿宋" w:eastAsia="方正小标宋简体" w:cs="宋体"/>
          <w:kern w:val="0"/>
          <w:sz w:val="44"/>
          <w:szCs w:val="44"/>
        </w:rPr>
        <w:t>工人管理暂行办法</w:t>
      </w:r>
      <w:r>
        <w:rPr>
          <w:rFonts w:hint="eastAsia" w:ascii="方正小标宋简体" w:hAnsi="华文仿宋" w:eastAsia="方正小标宋简体" w:cs="宋体"/>
          <w:kern w:val="0"/>
          <w:sz w:val="44"/>
          <w:szCs w:val="44"/>
          <w:lang w:eastAsia="zh-CN"/>
        </w:rPr>
        <w:t>（试行）</w:t>
      </w:r>
    </w:p>
    <w:p>
      <w:pPr>
        <w:spacing w:line="630" w:lineRule="exact"/>
        <w:ind w:firstLine="640" w:firstLineChars="200"/>
        <w:rPr>
          <w:rFonts w:hint="eastAsia" w:ascii="仿宋_GB2312" w:hAnsi="华文仿宋" w:eastAsia="仿宋_GB2312" w:cs="宋体"/>
          <w:kern w:val="0"/>
          <w:sz w:val="32"/>
          <w:szCs w:val="32"/>
        </w:rPr>
      </w:pPr>
    </w:p>
    <w:p>
      <w:pPr>
        <w:ind w:firstLine="640" w:firstLineChars="200"/>
        <w:rPr>
          <w:rFonts w:hint="eastAsia" w:ascii="黑体" w:hAnsi="黑体" w:eastAsia="黑体" w:cs="宋体"/>
          <w:kern w:val="0"/>
          <w:sz w:val="32"/>
          <w:szCs w:val="32"/>
        </w:rPr>
      </w:pPr>
      <w:r>
        <w:rPr>
          <w:rFonts w:hint="eastAsia" w:ascii="仿宋" w:hAnsi="仿宋" w:eastAsia="仿宋" w:cs="宋体"/>
          <w:kern w:val="0"/>
          <w:sz w:val="32"/>
          <w:szCs w:val="32"/>
        </w:rPr>
        <w:t>为规范我省房屋建筑和市政基础设施工程项目现场管理人员和</w:t>
      </w:r>
      <w:r>
        <w:rPr>
          <w:rFonts w:hint="eastAsia" w:ascii="仿宋" w:hAnsi="仿宋" w:eastAsia="仿宋" w:cs="宋体"/>
          <w:kern w:val="0"/>
          <w:sz w:val="32"/>
          <w:szCs w:val="32"/>
          <w:lang w:eastAsia="zh-CN"/>
        </w:rPr>
        <w:t>技能工人</w:t>
      </w:r>
      <w:r>
        <w:rPr>
          <w:rFonts w:hint="eastAsia" w:ascii="仿宋" w:hAnsi="仿宋" w:eastAsia="仿宋" w:cs="宋体"/>
          <w:kern w:val="0"/>
          <w:sz w:val="32"/>
          <w:szCs w:val="32"/>
        </w:rPr>
        <w:t>的配备和管理工作，提高</w:t>
      </w:r>
      <w:r>
        <w:rPr>
          <w:rFonts w:hint="eastAsia" w:ascii="仿宋" w:hAnsi="仿宋" w:eastAsia="仿宋" w:cs="宋体"/>
          <w:kern w:val="0"/>
          <w:sz w:val="32"/>
          <w:szCs w:val="32"/>
          <w:lang w:eastAsia="zh-CN"/>
        </w:rPr>
        <w:t>从业</w:t>
      </w:r>
      <w:r>
        <w:rPr>
          <w:rFonts w:hint="eastAsia" w:ascii="仿宋" w:hAnsi="仿宋" w:eastAsia="仿宋" w:cs="宋体"/>
          <w:kern w:val="0"/>
          <w:sz w:val="32"/>
          <w:szCs w:val="32"/>
        </w:rPr>
        <w:t>人员</w:t>
      </w:r>
      <w:r>
        <w:rPr>
          <w:rFonts w:hint="eastAsia" w:ascii="仿宋" w:hAnsi="仿宋" w:eastAsia="仿宋" w:cs="宋体"/>
          <w:kern w:val="0"/>
          <w:sz w:val="32"/>
          <w:szCs w:val="32"/>
          <w:lang w:eastAsia="zh-CN"/>
        </w:rPr>
        <w:t>职业技能和</w:t>
      </w:r>
      <w:r>
        <w:rPr>
          <w:rFonts w:hint="eastAsia" w:ascii="仿宋" w:hAnsi="仿宋" w:eastAsia="仿宋" w:cs="宋体"/>
          <w:kern w:val="0"/>
          <w:sz w:val="32"/>
          <w:szCs w:val="32"/>
        </w:rPr>
        <w:t>素质，提升企业综合施工能力和工程项目质量安全管理水平，根据</w:t>
      </w:r>
      <w:bookmarkStart w:id="0" w:name="_Hlk4950998"/>
      <w:r>
        <w:rPr>
          <w:rFonts w:hint="eastAsia" w:ascii="仿宋" w:hAnsi="仿宋" w:eastAsia="仿宋" w:cs="宋体"/>
          <w:kern w:val="0"/>
          <w:sz w:val="32"/>
          <w:szCs w:val="32"/>
          <w:u w:val="none"/>
        </w:rPr>
        <w:t>《</w:t>
      </w:r>
      <w:r>
        <w:rPr>
          <w:rFonts w:hint="eastAsia" w:ascii="仿宋" w:hAnsi="仿宋" w:eastAsia="仿宋" w:cs="宋体"/>
          <w:color w:val="000000"/>
          <w:kern w:val="0"/>
          <w:sz w:val="32"/>
          <w:szCs w:val="32"/>
          <w:u w:val="none"/>
          <w:lang w:eastAsia="zh-CN"/>
        </w:rPr>
        <w:t>中华人民共和国</w:t>
      </w:r>
      <w:r>
        <w:rPr>
          <w:rFonts w:hint="eastAsia" w:ascii="仿宋" w:hAnsi="仿宋" w:eastAsia="仿宋" w:cs="宋体"/>
          <w:kern w:val="0"/>
          <w:sz w:val="32"/>
          <w:szCs w:val="32"/>
          <w:u w:val="none"/>
        </w:rPr>
        <w:t>建筑法》</w:t>
      </w:r>
      <w:r>
        <w:rPr>
          <w:rFonts w:hint="eastAsia" w:ascii="仿宋" w:hAnsi="仿宋" w:eastAsia="仿宋" w:cs="宋体"/>
          <w:kern w:val="0"/>
          <w:sz w:val="32"/>
          <w:szCs w:val="32"/>
        </w:rPr>
        <w:t>《建设工程质量管理条例》《建设工程安全生产管理条例》《国务院办公厅关于促进建筑业持续健康发展的意见》</w:t>
      </w:r>
      <w:r>
        <w:rPr>
          <w:rFonts w:hint="eastAsia" w:ascii="仿宋" w:hAnsi="仿宋" w:eastAsia="仿宋" w:cs="宋体"/>
          <w:kern w:val="0"/>
          <w:sz w:val="32"/>
          <w:szCs w:val="32"/>
          <w:lang w:eastAsia="zh-CN"/>
        </w:rPr>
        <w:t>《住房和城乡建设部等部门关于加快培育新时代建筑产业工人队伍的指导意见》</w:t>
      </w:r>
      <w:r>
        <w:rPr>
          <w:rFonts w:hint="eastAsia" w:ascii="仿宋" w:hAnsi="仿宋" w:eastAsia="仿宋" w:cs="宋体"/>
          <w:kern w:val="0"/>
          <w:sz w:val="32"/>
          <w:szCs w:val="32"/>
        </w:rPr>
        <w:t>等法律、法规及规范性文件，</w:t>
      </w:r>
      <w:bookmarkEnd w:id="0"/>
      <w:r>
        <w:rPr>
          <w:rFonts w:hint="eastAsia" w:ascii="仿宋" w:hAnsi="仿宋" w:eastAsia="仿宋" w:cs="宋体"/>
          <w:kern w:val="0"/>
          <w:sz w:val="32"/>
          <w:szCs w:val="32"/>
        </w:rPr>
        <w:t>结合我省实际，制定本</w:t>
      </w:r>
      <w:r>
        <w:rPr>
          <w:rFonts w:hint="eastAsia" w:ascii="仿宋" w:hAnsi="仿宋" w:eastAsia="仿宋" w:cs="宋体"/>
          <w:kern w:val="0"/>
          <w:sz w:val="32"/>
          <w:szCs w:val="32"/>
          <w:lang w:eastAsia="zh-CN"/>
        </w:rPr>
        <w:t>办法</w:t>
      </w:r>
      <w:r>
        <w:rPr>
          <w:rFonts w:hint="eastAsia" w:ascii="仿宋" w:hAnsi="仿宋" w:eastAsia="仿宋" w:cs="宋体"/>
          <w:kern w:val="0"/>
          <w:sz w:val="32"/>
          <w:szCs w:val="32"/>
        </w:rPr>
        <w:t>。</w:t>
      </w:r>
    </w:p>
    <w:p>
      <w:pPr>
        <w:numPr>
          <w:ilvl w:val="0"/>
          <w:numId w:val="1"/>
        </w:numPr>
        <w:spacing w:line="600" w:lineRule="auto"/>
        <w:ind w:left="3360" w:leftChars="0" w:firstLine="0" w:firstLineChars="0"/>
        <w:rPr>
          <w:rFonts w:hint="eastAsia" w:ascii="黑体" w:hAnsi="黑体" w:eastAsia="黑体" w:cs="黑体"/>
          <w:b w:val="0"/>
          <w:bCs w:val="0"/>
          <w:kern w:val="0"/>
          <w:sz w:val="32"/>
          <w:szCs w:val="32"/>
          <w:lang w:val="en-US" w:eastAsia="zh-CN"/>
        </w:rPr>
      </w:pPr>
      <w:bookmarkStart w:id="1" w:name="_Hlk4954465"/>
      <w:r>
        <w:rPr>
          <w:rFonts w:hint="eastAsia" w:ascii="黑体" w:hAnsi="黑体" w:eastAsia="黑体" w:cs="黑体"/>
          <w:b w:val="0"/>
          <w:bCs w:val="0"/>
          <w:kern w:val="0"/>
          <w:sz w:val="32"/>
          <w:szCs w:val="32"/>
          <w:lang w:val="en-US" w:eastAsia="zh-CN"/>
        </w:rPr>
        <w:t xml:space="preserve">总 则   </w:t>
      </w:r>
      <w:bookmarkEnd w:id="1"/>
    </w:p>
    <w:p>
      <w:pPr>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 xml:space="preserve">第一条 </w:t>
      </w:r>
      <w:r>
        <w:rPr>
          <w:rFonts w:hint="eastAsia" w:ascii="仿宋" w:hAnsi="仿宋" w:eastAsia="仿宋" w:cs="宋体"/>
          <w:kern w:val="0"/>
          <w:sz w:val="32"/>
          <w:szCs w:val="32"/>
        </w:rPr>
        <w:t>本</w:t>
      </w:r>
      <w:r>
        <w:rPr>
          <w:rFonts w:hint="eastAsia" w:ascii="仿宋" w:hAnsi="仿宋" w:eastAsia="仿宋" w:cs="宋体"/>
          <w:kern w:val="0"/>
          <w:sz w:val="32"/>
          <w:szCs w:val="32"/>
          <w:lang w:eastAsia="zh-CN"/>
        </w:rPr>
        <w:t>办法</w:t>
      </w:r>
      <w:r>
        <w:rPr>
          <w:rFonts w:hint="eastAsia" w:ascii="仿宋" w:hAnsi="仿宋" w:eastAsia="仿宋" w:cs="宋体"/>
          <w:kern w:val="0"/>
          <w:sz w:val="32"/>
          <w:szCs w:val="32"/>
        </w:rPr>
        <w:t>适用于山西省行政区域内新建、改建、扩建的房屋建筑工程与市政基础设施工程</w:t>
      </w:r>
      <w:r>
        <w:rPr>
          <w:rFonts w:hint="eastAsia" w:ascii="仿宋" w:hAnsi="仿宋" w:eastAsia="仿宋" w:cs="宋体"/>
          <w:kern w:val="0"/>
          <w:sz w:val="32"/>
          <w:szCs w:val="32"/>
          <w:lang w:eastAsia="zh-CN"/>
        </w:rPr>
        <w:t>（以下简称“建筑工程”）</w:t>
      </w:r>
      <w:r>
        <w:rPr>
          <w:rFonts w:hint="eastAsia" w:ascii="仿宋" w:hAnsi="仿宋" w:eastAsia="仿宋" w:cs="宋体"/>
          <w:kern w:val="0"/>
          <w:sz w:val="32"/>
          <w:szCs w:val="32"/>
        </w:rPr>
        <w:t>项目现场管理人员和技</w:t>
      </w:r>
      <w:r>
        <w:rPr>
          <w:rFonts w:hint="eastAsia" w:ascii="仿宋" w:hAnsi="仿宋" w:eastAsia="仿宋" w:cs="宋体"/>
          <w:kern w:val="0"/>
          <w:sz w:val="32"/>
          <w:szCs w:val="32"/>
          <w:lang w:eastAsia="zh-CN"/>
        </w:rPr>
        <w:t>能</w:t>
      </w:r>
      <w:r>
        <w:rPr>
          <w:rFonts w:hint="eastAsia" w:ascii="仿宋" w:hAnsi="仿宋" w:eastAsia="仿宋" w:cs="宋体"/>
          <w:kern w:val="0"/>
          <w:sz w:val="32"/>
          <w:szCs w:val="32"/>
        </w:rPr>
        <w:t>工人配备。</w:t>
      </w:r>
    </w:p>
    <w:p>
      <w:pPr>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 xml:space="preserve">第二条 </w:t>
      </w:r>
      <w:r>
        <w:rPr>
          <w:rFonts w:hint="eastAsia" w:ascii="仿宋" w:hAnsi="仿宋" w:eastAsia="仿宋" w:cs="宋体"/>
          <w:kern w:val="0"/>
          <w:sz w:val="32"/>
          <w:szCs w:val="32"/>
        </w:rPr>
        <w:t>项目现场管理人员包括项目负责人、项目技术负责人和施工员、质量员、安全员、</w:t>
      </w:r>
      <w:r>
        <w:rPr>
          <w:rFonts w:hint="eastAsia" w:ascii="仿宋" w:hAnsi="仿宋" w:eastAsia="仿宋" w:cs="宋体"/>
          <w:color w:val="auto"/>
          <w:kern w:val="0"/>
          <w:sz w:val="32"/>
          <w:szCs w:val="32"/>
        </w:rPr>
        <w:t>标准员、</w:t>
      </w:r>
      <w:r>
        <w:rPr>
          <w:rFonts w:hint="eastAsia" w:ascii="仿宋" w:hAnsi="仿宋" w:eastAsia="仿宋" w:cs="宋体"/>
          <w:kern w:val="0"/>
          <w:sz w:val="32"/>
          <w:szCs w:val="32"/>
        </w:rPr>
        <w:t>材料员、机械员、劳务员、资料员等专业人员。</w:t>
      </w:r>
    </w:p>
    <w:p>
      <w:pPr>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第三条</w:t>
      </w:r>
      <w:r>
        <w:rPr>
          <w:rFonts w:hint="eastAsia" w:ascii="仿宋" w:hAnsi="仿宋" w:eastAsia="仿宋" w:cs="宋体"/>
          <w:kern w:val="0"/>
          <w:sz w:val="32"/>
          <w:szCs w:val="32"/>
          <w:lang w:val="en-US" w:eastAsia="zh-CN"/>
        </w:rPr>
        <w:t xml:space="preserve"> </w:t>
      </w:r>
      <w:r>
        <w:rPr>
          <w:rFonts w:hint="eastAsia" w:ascii="仿宋" w:hAnsi="仿宋" w:eastAsia="仿宋" w:cs="宋体"/>
          <w:kern w:val="0"/>
          <w:sz w:val="32"/>
          <w:szCs w:val="32"/>
        </w:rPr>
        <w:t>技</w:t>
      </w:r>
      <w:r>
        <w:rPr>
          <w:rFonts w:hint="eastAsia" w:ascii="仿宋" w:hAnsi="仿宋" w:eastAsia="仿宋" w:cs="宋体"/>
          <w:kern w:val="0"/>
          <w:sz w:val="32"/>
          <w:szCs w:val="32"/>
          <w:lang w:eastAsia="zh-CN"/>
        </w:rPr>
        <w:t>能</w:t>
      </w:r>
      <w:r>
        <w:rPr>
          <w:rFonts w:hint="eastAsia" w:ascii="仿宋" w:hAnsi="仿宋" w:eastAsia="仿宋" w:cs="宋体"/>
          <w:kern w:val="0"/>
          <w:sz w:val="32"/>
          <w:szCs w:val="32"/>
        </w:rPr>
        <w:t>工人包括</w:t>
      </w:r>
      <w:r>
        <w:rPr>
          <w:rFonts w:hint="eastAsia" w:ascii="仿宋" w:hAnsi="仿宋" w:eastAsia="仿宋" w:cs="宋体"/>
          <w:kern w:val="0"/>
          <w:sz w:val="32"/>
          <w:szCs w:val="32"/>
          <w:lang w:eastAsia="zh-CN"/>
        </w:rPr>
        <w:t>建筑施工</w:t>
      </w:r>
      <w:r>
        <w:rPr>
          <w:rFonts w:hint="eastAsia" w:ascii="仿宋" w:hAnsi="仿宋" w:eastAsia="仿宋" w:cs="宋体"/>
          <w:kern w:val="0"/>
          <w:sz w:val="32"/>
          <w:szCs w:val="32"/>
        </w:rPr>
        <w:t>特种作业人员和一般</w:t>
      </w:r>
      <w:r>
        <w:rPr>
          <w:rFonts w:hint="eastAsia" w:ascii="仿宋" w:hAnsi="仿宋" w:eastAsia="仿宋" w:cs="宋体"/>
          <w:kern w:val="0"/>
          <w:sz w:val="32"/>
          <w:szCs w:val="32"/>
          <w:lang w:eastAsia="zh-CN"/>
        </w:rPr>
        <w:t>技能工人</w:t>
      </w:r>
      <w:r>
        <w:rPr>
          <w:rFonts w:hint="eastAsia" w:ascii="仿宋" w:hAnsi="仿宋" w:eastAsia="仿宋" w:cs="宋体"/>
          <w:kern w:val="0"/>
          <w:sz w:val="32"/>
          <w:szCs w:val="32"/>
        </w:rPr>
        <w:t>。</w:t>
      </w:r>
      <w:r>
        <w:rPr>
          <w:rFonts w:hint="eastAsia" w:ascii="仿宋" w:hAnsi="仿宋" w:eastAsia="仿宋" w:cs="宋体"/>
          <w:kern w:val="0"/>
          <w:sz w:val="32"/>
          <w:szCs w:val="32"/>
          <w:lang w:eastAsia="zh-CN"/>
        </w:rPr>
        <w:t>建筑施工</w:t>
      </w:r>
      <w:r>
        <w:rPr>
          <w:rFonts w:hint="eastAsia" w:ascii="仿宋" w:hAnsi="仿宋" w:eastAsia="仿宋" w:cs="宋体"/>
          <w:kern w:val="0"/>
          <w:sz w:val="32"/>
          <w:szCs w:val="32"/>
        </w:rPr>
        <w:t>特种作业人员包括建筑电工、建筑架子工、建筑起重信号司索工、建筑起重机械司机、建筑起重机械安装拆卸工、高处作业吊篮安装拆卸工以及经省级以上住房城乡建设行政主管部门认定的其他特种作业人员；一般</w:t>
      </w:r>
      <w:r>
        <w:rPr>
          <w:rFonts w:hint="eastAsia" w:ascii="仿宋" w:hAnsi="仿宋" w:eastAsia="仿宋" w:cs="宋体"/>
          <w:kern w:val="0"/>
          <w:sz w:val="32"/>
          <w:szCs w:val="32"/>
          <w:lang w:eastAsia="zh-CN"/>
        </w:rPr>
        <w:t>技能工人</w:t>
      </w:r>
      <w:r>
        <w:rPr>
          <w:rFonts w:hint="eastAsia" w:ascii="仿宋" w:hAnsi="仿宋" w:eastAsia="仿宋" w:cs="宋体"/>
          <w:kern w:val="0"/>
          <w:sz w:val="32"/>
          <w:szCs w:val="32"/>
        </w:rPr>
        <w:t>包括但不限于砌筑工、抹灰工、混凝土工、钢筋工、手工木工、防水工、测量工、筑路工、桥隧工、模板工、油漆工等</w:t>
      </w:r>
      <w:r>
        <w:rPr>
          <w:rFonts w:hint="eastAsia" w:ascii="仿宋" w:hAnsi="仿宋" w:eastAsia="仿宋" w:cs="宋体"/>
          <w:kern w:val="0"/>
          <w:sz w:val="32"/>
          <w:szCs w:val="32"/>
          <w:lang w:eastAsia="zh-CN"/>
        </w:rPr>
        <w:t>，具体设置参照《住房城乡建设部办公厅关于印发住房城乡建设行业职业工种目录的通知》（建办人</w:t>
      </w:r>
      <w:r>
        <w:rPr>
          <w:rFonts w:hint="eastAsia" w:ascii="仿宋" w:hAnsi="仿宋" w:eastAsia="仿宋" w:cs="宋体"/>
          <w:kern w:val="0"/>
          <w:sz w:val="32"/>
          <w:szCs w:val="32"/>
          <w:lang w:val="en-US" w:eastAsia="zh-CN"/>
        </w:rPr>
        <w:t>[2017]76号）执行</w:t>
      </w:r>
      <w:r>
        <w:rPr>
          <w:rFonts w:hint="eastAsia" w:ascii="仿宋" w:hAnsi="仿宋" w:eastAsia="仿宋" w:cs="宋体"/>
          <w:kern w:val="0"/>
          <w:sz w:val="32"/>
          <w:szCs w:val="32"/>
        </w:rPr>
        <w:t>。本办法所指施工人员职业技能等级分为初级工、中级工、高级工、技师、高级技师。</w:t>
      </w:r>
    </w:p>
    <w:p>
      <w:pPr>
        <w:spacing w:line="630" w:lineRule="exact"/>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第四条</w:t>
      </w:r>
      <w:r>
        <w:rPr>
          <w:rFonts w:hint="eastAsia" w:ascii="仿宋" w:hAnsi="仿宋" w:eastAsia="仿宋" w:cs="宋体"/>
          <w:kern w:val="0"/>
          <w:sz w:val="32"/>
          <w:szCs w:val="32"/>
        </w:rPr>
        <w:t xml:space="preserve"> </w:t>
      </w:r>
      <w:r>
        <w:rPr>
          <w:rFonts w:hint="eastAsia" w:ascii="仿宋" w:hAnsi="仿宋" w:eastAsia="仿宋" w:cs="宋体"/>
          <w:kern w:val="0"/>
          <w:sz w:val="32"/>
          <w:szCs w:val="32"/>
          <w:lang w:val="en-US" w:eastAsia="zh-CN"/>
        </w:rPr>
        <w:t xml:space="preserve"> </w:t>
      </w:r>
      <w:r>
        <w:rPr>
          <w:rFonts w:hint="eastAsia" w:ascii="仿宋" w:hAnsi="仿宋" w:eastAsia="仿宋" w:cs="宋体"/>
          <w:kern w:val="0"/>
          <w:sz w:val="32"/>
          <w:szCs w:val="32"/>
        </w:rPr>
        <w:t>建设单位和招标代理机构编制的招标文件，以及建设单位与施工单位签订的工程项目承包合同中，对现场管理人员和技术工人配备的要求应参照《山西省房屋建筑和市政基础设施工程建设项目</w:t>
      </w:r>
      <w:r>
        <w:rPr>
          <w:rFonts w:hint="eastAsia" w:ascii="仿宋" w:hAnsi="仿宋" w:eastAsia="仿宋" w:cs="宋体"/>
          <w:kern w:val="0"/>
          <w:sz w:val="32"/>
          <w:szCs w:val="32"/>
          <w:lang w:eastAsia="zh-CN"/>
        </w:rPr>
        <w:t>管理人员和技能工人</w:t>
      </w:r>
      <w:r>
        <w:rPr>
          <w:rFonts w:hint="eastAsia" w:ascii="仿宋" w:hAnsi="仿宋" w:eastAsia="仿宋" w:cs="宋体"/>
          <w:kern w:val="0"/>
          <w:sz w:val="32"/>
          <w:szCs w:val="32"/>
        </w:rPr>
        <w:t>配备标准》</w:t>
      </w:r>
      <w:r>
        <w:rPr>
          <w:rFonts w:hint="eastAsia" w:ascii="仿宋" w:hAnsi="仿宋" w:eastAsia="仿宋" w:cs="宋体"/>
          <w:kern w:val="0"/>
          <w:sz w:val="32"/>
          <w:szCs w:val="32"/>
          <w:lang w:eastAsia="zh-CN"/>
        </w:rPr>
        <w:t>执行（见附件</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。施工单位可根据工程施工进度</w:t>
      </w:r>
      <w:r>
        <w:rPr>
          <w:rFonts w:hint="eastAsia" w:ascii="仿宋" w:hAnsi="仿宋" w:eastAsia="仿宋" w:cs="宋体"/>
          <w:kern w:val="0"/>
          <w:sz w:val="32"/>
          <w:szCs w:val="32"/>
          <w:lang w:eastAsia="zh-CN"/>
        </w:rPr>
        <w:t>动态</w:t>
      </w:r>
      <w:r>
        <w:rPr>
          <w:rFonts w:hint="eastAsia" w:ascii="仿宋" w:hAnsi="仿宋" w:eastAsia="仿宋" w:cs="宋体"/>
          <w:kern w:val="0"/>
          <w:sz w:val="32"/>
          <w:szCs w:val="32"/>
        </w:rPr>
        <w:t>调整现场管理人员和</w:t>
      </w:r>
      <w:r>
        <w:rPr>
          <w:rFonts w:hint="eastAsia" w:ascii="仿宋" w:hAnsi="仿宋" w:eastAsia="仿宋" w:cs="宋体"/>
          <w:kern w:val="0"/>
          <w:sz w:val="32"/>
          <w:szCs w:val="32"/>
          <w:lang w:eastAsia="zh-CN"/>
        </w:rPr>
        <w:t>技能工人</w:t>
      </w:r>
      <w:r>
        <w:rPr>
          <w:rFonts w:hint="eastAsia" w:ascii="仿宋" w:hAnsi="仿宋" w:eastAsia="仿宋" w:cs="宋体"/>
          <w:kern w:val="0"/>
          <w:sz w:val="32"/>
          <w:szCs w:val="32"/>
        </w:rPr>
        <w:t>配备及数量。不同地区可根据本地实际对人员配备提出</w:t>
      </w:r>
      <w:r>
        <w:rPr>
          <w:rFonts w:hint="eastAsia" w:ascii="仿宋" w:hAnsi="仿宋" w:eastAsia="仿宋" w:cs="宋体"/>
          <w:kern w:val="0"/>
          <w:sz w:val="32"/>
          <w:szCs w:val="32"/>
          <w:lang w:eastAsia="zh-CN"/>
        </w:rPr>
        <w:t>进一步细化</w:t>
      </w:r>
      <w:r>
        <w:rPr>
          <w:rFonts w:hint="eastAsia" w:ascii="仿宋" w:hAnsi="仿宋" w:eastAsia="仿宋" w:cs="宋体"/>
          <w:kern w:val="0"/>
          <w:sz w:val="32"/>
          <w:szCs w:val="32"/>
        </w:rPr>
        <w:t>要求。</w:t>
      </w:r>
    </w:p>
    <w:p>
      <w:pPr>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第五条</w:t>
      </w:r>
      <w:r>
        <w:rPr>
          <w:rFonts w:hint="eastAsia" w:ascii="仿宋" w:hAnsi="仿宋" w:eastAsia="仿宋" w:cs="宋体"/>
          <w:kern w:val="0"/>
          <w:sz w:val="32"/>
          <w:szCs w:val="32"/>
        </w:rPr>
        <w:t xml:space="preserve"> </w:t>
      </w:r>
      <w:r>
        <w:rPr>
          <w:rFonts w:hint="eastAsia" w:ascii="仿宋" w:hAnsi="仿宋" w:eastAsia="仿宋" w:cs="宋体"/>
          <w:kern w:val="0"/>
          <w:sz w:val="32"/>
          <w:szCs w:val="32"/>
          <w:lang w:val="en-US" w:eastAsia="zh-CN"/>
        </w:rPr>
        <w:t xml:space="preserve"> </w:t>
      </w:r>
      <w:r>
        <w:rPr>
          <w:rFonts w:hint="eastAsia" w:ascii="仿宋" w:hAnsi="仿宋" w:eastAsia="仿宋" w:cs="宋体"/>
          <w:kern w:val="0"/>
          <w:sz w:val="32"/>
          <w:szCs w:val="32"/>
        </w:rPr>
        <w:t>本</w:t>
      </w:r>
      <w:r>
        <w:rPr>
          <w:rFonts w:hint="eastAsia" w:ascii="仿宋" w:hAnsi="仿宋" w:eastAsia="仿宋" w:cs="宋体"/>
          <w:kern w:val="0"/>
          <w:sz w:val="32"/>
          <w:szCs w:val="32"/>
          <w:lang w:eastAsia="zh-CN"/>
        </w:rPr>
        <w:t>办法</w:t>
      </w:r>
      <w:r>
        <w:rPr>
          <w:rFonts w:hint="eastAsia" w:ascii="仿宋" w:hAnsi="仿宋" w:eastAsia="仿宋" w:cs="宋体"/>
          <w:kern w:val="0"/>
          <w:sz w:val="32"/>
          <w:szCs w:val="32"/>
        </w:rPr>
        <w:t>所指的建筑工程</w:t>
      </w:r>
      <w:r>
        <w:rPr>
          <w:rFonts w:hint="eastAsia" w:ascii="仿宋" w:hAnsi="仿宋" w:eastAsia="仿宋" w:cs="宋体"/>
          <w:kern w:val="0"/>
          <w:sz w:val="32"/>
          <w:szCs w:val="32"/>
          <w:lang w:eastAsia="zh-CN"/>
        </w:rPr>
        <w:t>建筑</w:t>
      </w:r>
      <w:r>
        <w:rPr>
          <w:rFonts w:hint="eastAsia" w:ascii="仿宋" w:hAnsi="仿宋" w:eastAsia="仿宋" w:cs="宋体"/>
          <w:kern w:val="0"/>
          <w:sz w:val="32"/>
          <w:szCs w:val="32"/>
        </w:rPr>
        <w:t>面积、金额等均为工程施工承包合同约定的内容。</w:t>
      </w:r>
    </w:p>
    <w:p>
      <w:pPr>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 xml:space="preserve">第六条 </w:t>
      </w:r>
      <w:r>
        <w:rPr>
          <w:rFonts w:hint="eastAsia" w:ascii="仿宋" w:hAnsi="仿宋" w:eastAsia="仿宋" w:cs="宋体"/>
          <w:kern w:val="0"/>
          <w:sz w:val="32"/>
          <w:szCs w:val="32"/>
        </w:rPr>
        <w:t>人员配备的责任单位为与建设单位签订合同的总承包单位或与建设单位签订合同的专业承包单位。</w:t>
      </w:r>
    </w:p>
    <w:p>
      <w:pPr>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第七条</w:t>
      </w:r>
      <w:r>
        <w:rPr>
          <w:rFonts w:hint="eastAsia" w:ascii="仿宋" w:hAnsi="仿宋" w:eastAsia="仿宋" w:cs="宋体"/>
          <w:kern w:val="0"/>
          <w:sz w:val="32"/>
          <w:szCs w:val="32"/>
        </w:rPr>
        <w:t xml:space="preserve"> 现场管理人员和技</w:t>
      </w:r>
      <w:r>
        <w:rPr>
          <w:rFonts w:hint="eastAsia" w:ascii="仿宋" w:hAnsi="仿宋" w:eastAsia="仿宋" w:cs="宋体"/>
          <w:kern w:val="0"/>
          <w:sz w:val="32"/>
          <w:szCs w:val="32"/>
          <w:lang w:eastAsia="zh-CN"/>
        </w:rPr>
        <w:t>能</w:t>
      </w:r>
      <w:r>
        <w:rPr>
          <w:rFonts w:hint="eastAsia" w:ascii="仿宋" w:hAnsi="仿宋" w:eastAsia="仿宋" w:cs="宋体"/>
          <w:kern w:val="0"/>
          <w:sz w:val="32"/>
          <w:szCs w:val="32"/>
        </w:rPr>
        <w:t>工人的岗位设置、等级和类别要求、工作职责确定、教育培训等，除应符合本</w:t>
      </w:r>
      <w:r>
        <w:rPr>
          <w:rFonts w:hint="eastAsia" w:ascii="仿宋" w:hAnsi="仿宋" w:eastAsia="仿宋" w:cs="宋体"/>
          <w:kern w:val="0"/>
          <w:sz w:val="32"/>
          <w:szCs w:val="32"/>
          <w:lang w:eastAsia="zh-CN"/>
        </w:rPr>
        <w:t>办法</w:t>
      </w:r>
      <w:r>
        <w:rPr>
          <w:rFonts w:hint="eastAsia" w:ascii="仿宋" w:hAnsi="仿宋" w:eastAsia="仿宋" w:cs="宋体"/>
          <w:kern w:val="0"/>
          <w:sz w:val="32"/>
          <w:szCs w:val="32"/>
        </w:rPr>
        <w:t>外，还应符合国家和我省现行有关法律、法规等规定。</w:t>
      </w:r>
    </w:p>
    <w:p>
      <w:pPr>
        <w:pStyle w:val="3"/>
        <w:rPr>
          <w:rFonts w:hint="eastAsia" w:ascii="Times New Roman" w:eastAsia="黑体"/>
          <w:b w:val="0"/>
          <w:bCs w:val="0"/>
          <w:lang w:eastAsia="zh-CN"/>
        </w:rPr>
      </w:pPr>
      <w:r>
        <w:rPr>
          <w:rFonts w:hint="eastAsia" w:ascii="Times New Roman"/>
        </w:rPr>
        <w:t xml:space="preserve">  </w:t>
      </w:r>
      <w:r>
        <w:rPr>
          <w:rFonts w:hint="eastAsia" w:ascii="Times New Roman"/>
          <w:lang w:val="en-US" w:eastAsia="zh-CN"/>
        </w:rPr>
        <w:t xml:space="preserve">               二、</w:t>
      </w:r>
      <w:r>
        <w:rPr>
          <w:rFonts w:hint="eastAsia" w:ascii="Times New Roman"/>
          <w:b w:val="0"/>
          <w:bCs w:val="0"/>
        </w:rPr>
        <w:t>人员</w:t>
      </w:r>
      <w:r>
        <w:rPr>
          <w:rFonts w:hint="eastAsia" w:ascii="Times New Roman"/>
          <w:b w:val="0"/>
          <w:bCs w:val="0"/>
          <w:lang w:eastAsia="zh-CN"/>
        </w:rPr>
        <w:t>任职要求</w:t>
      </w:r>
    </w:p>
    <w:p>
      <w:pPr>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第八条</w:t>
      </w:r>
      <w:r>
        <w:rPr>
          <w:rFonts w:hint="eastAsia" w:ascii="仿宋" w:hAnsi="仿宋" w:eastAsia="仿宋" w:cs="宋体"/>
          <w:kern w:val="0"/>
          <w:sz w:val="32"/>
          <w:szCs w:val="32"/>
          <w:lang w:val="en-US" w:eastAsia="zh-CN"/>
        </w:rPr>
        <w:t xml:space="preserve"> </w:t>
      </w:r>
      <w:r>
        <w:rPr>
          <w:rFonts w:hint="eastAsia" w:ascii="仿宋" w:hAnsi="仿宋" w:eastAsia="仿宋" w:cs="宋体"/>
          <w:kern w:val="0"/>
          <w:sz w:val="32"/>
          <w:szCs w:val="32"/>
        </w:rPr>
        <w:t>项目负责人应满足以下任职条件：</w:t>
      </w:r>
    </w:p>
    <w:p>
      <w:pPr>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(1)取得相应的建造师注册证书；</w:t>
      </w:r>
    </w:p>
    <w:p>
      <w:pPr>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(2)取得住房城乡建设行政主管部门颁发的安全生产考核合格证（B证），且在本单位注册。</w:t>
      </w:r>
    </w:p>
    <w:p>
      <w:pPr>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其中，一级注册建造师可担任大、中、小型工程项目负责人，二级注册建造师可担任中、小型工程项目负责人（工程规模具体参见附件《山西省房屋建筑和市政基础设施工程项目建设规模标准》</w:t>
      </w:r>
      <w:r>
        <w:rPr>
          <w:rFonts w:hint="eastAsia" w:ascii="仿宋" w:hAnsi="仿宋" w:eastAsia="仿宋" w:cs="宋体"/>
          <w:kern w:val="0"/>
          <w:sz w:val="32"/>
          <w:szCs w:val="32"/>
          <w:lang w:eastAsia="zh-CN"/>
        </w:rPr>
        <w:t>附件</w:t>
      </w: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w:t>
      </w:r>
    </w:p>
    <w:p>
      <w:pPr>
        <w:ind w:firstLine="640" w:firstLineChars="200"/>
        <w:rPr>
          <w:rFonts w:hint="eastAsia" w:ascii="仿宋" w:hAnsi="仿宋" w:eastAsia="仿宋" w:cs="宋体"/>
          <w:color w:val="auto"/>
          <w:kern w:val="0"/>
          <w:sz w:val="32"/>
          <w:szCs w:val="32"/>
        </w:rPr>
      </w:pPr>
      <w:r>
        <w:rPr>
          <w:rFonts w:hint="eastAsia" w:ascii="黑体" w:hAnsi="黑体" w:eastAsia="黑体" w:cs="黑体"/>
          <w:b w:val="0"/>
          <w:bCs w:val="0"/>
          <w:kern w:val="0"/>
          <w:sz w:val="32"/>
          <w:szCs w:val="32"/>
          <w:lang w:val="en-US" w:eastAsia="zh-CN"/>
        </w:rPr>
        <w:t>第九条</w:t>
      </w:r>
      <w:r>
        <w:rPr>
          <w:rFonts w:hint="eastAsia" w:ascii="仿宋" w:hAnsi="仿宋" w:eastAsia="仿宋" w:cs="宋体"/>
          <w:kern w:val="0"/>
          <w:sz w:val="32"/>
          <w:szCs w:val="32"/>
          <w:lang w:val="en-US" w:eastAsia="zh-CN"/>
        </w:rPr>
        <w:t xml:space="preserve"> </w:t>
      </w:r>
      <w:r>
        <w:rPr>
          <w:rFonts w:hint="eastAsia" w:ascii="仿宋" w:hAnsi="仿宋" w:eastAsia="仿宋" w:cs="宋体"/>
          <w:kern w:val="0"/>
          <w:sz w:val="32"/>
          <w:szCs w:val="32"/>
        </w:rPr>
        <w:t>除注册建造师外，</w:t>
      </w:r>
      <w:r>
        <w:rPr>
          <w:rFonts w:hint="eastAsia" w:ascii="仿宋" w:hAnsi="仿宋" w:eastAsia="仿宋" w:cs="宋体"/>
          <w:color w:val="auto"/>
          <w:kern w:val="0"/>
          <w:sz w:val="32"/>
          <w:szCs w:val="32"/>
        </w:rPr>
        <w:t>具有一级（甲级）及以上资质的建筑业企业还可聘用</w:t>
      </w:r>
      <w:r>
        <w:rPr>
          <w:rFonts w:hint="eastAsia" w:ascii="仿宋" w:hAnsi="仿宋" w:eastAsia="仿宋" w:cs="宋体"/>
          <w:color w:val="auto"/>
          <w:kern w:val="0"/>
          <w:sz w:val="32"/>
          <w:szCs w:val="32"/>
          <w:lang w:eastAsia="zh-CN"/>
        </w:rPr>
        <w:t>同时</w:t>
      </w:r>
      <w:r>
        <w:rPr>
          <w:rFonts w:hint="eastAsia" w:ascii="仿宋" w:hAnsi="仿宋" w:eastAsia="仿宋" w:cs="宋体"/>
          <w:color w:val="auto"/>
          <w:kern w:val="0"/>
          <w:sz w:val="32"/>
          <w:szCs w:val="32"/>
        </w:rPr>
        <w:t>满足以下条件的人员为小型建筑工程施工项目负责人：</w:t>
      </w:r>
    </w:p>
    <w:p>
      <w:pPr>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（1）近三年内担任过两个以上小型建筑工程施工项目管理工作（本人担任项目副经理、技术负责人</w:t>
      </w:r>
      <w:r>
        <w:rPr>
          <w:rFonts w:hint="eastAsia" w:ascii="仿宋" w:hAnsi="仿宋" w:eastAsia="仿宋" w:cs="宋体"/>
          <w:kern w:val="0"/>
          <w:sz w:val="32"/>
          <w:szCs w:val="32"/>
          <w:lang w:eastAsia="zh-CN"/>
        </w:rPr>
        <w:t>等主要管理人员</w:t>
      </w:r>
      <w:r>
        <w:rPr>
          <w:rFonts w:hint="eastAsia" w:ascii="仿宋" w:hAnsi="仿宋" w:eastAsia="仿宋" w:cs="宋体"/>
          <w:kern w:val="0"/>
          <w:sz w:val="32"/>
          <w:szCs w:val="32"/>
        </w:rPr>
        <w:t>工作业绩）；</w:t>
      </w:r>
    </w:p>
    <w:p>
      <w:pPr>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（2）取得省住房城乡建设行政主管部门颁发的“施工员岗位证书”三年以上；</w:t>
      </w:r>
    </w:p>
    <w:p>
      <w:pPr>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（3）具有国家认定的工程建设类助理工程师以上专业技术职称；</w:t>
      </w:r>
    </w:p>
    <w:p>
      <w:pPr>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（4）</w:t>
      </w:r>
      <w:r>
        <w:rPr>
          <w:rFonts w:hint="eastAsia" w:ascii="仿宋" w:hAnsi="仿宋" w:eastAsia="仿宋" w:cs="宋体"/>
          <w:kern w:val="0"/>
          <w:sz w:val="32"/>
          <w:szCs w:val="32"/>
          <w:lang w:val="en-US" w:eastAsia="zh-CN"/>
        </w:rPr>
        <w:t>取得建筑施工企业项目负责人安全生产考核合格证书（B证）</w:t>
      </w:r>
      <w:r>
        <w:rPr>
          <w:rFonts w:hint="eastAsia" w:ascii="仿宋" w:hAnsi="仿宋" w:eastAsia="仿宋" w:cs="宋体"/>
          <w:kern w:val="0"/>
          <w:sz w:val="32"/>
          <w:szCs w:val="32"/>
        </w:rPr>
        <w:t>；</w:t>
      </w:r>
    </w:p>
    <w:p>
      <w:pPr>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（5）身体健康，年龄不超过60周岁；</w:t>
      </w:r>
    </w:p>
    <w:p>
      <w:pPr>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拟聘用人员相关信息在山西省</w:t>
      </w:r>
      <w:r>
        <w:rPr>
          <w:rFonts w:hint="eastAsia" w:ascii="仿宋" w:hAnsi="仿宋" w:eastAsia="仿宋" w:cs="宋体"/>
          <w:kern w:val="0"/>
          <w:sz w:val="32"/>
          <w:szCs w:val="32"/>
          <w:lang w:eastAsia="zh-CN"/>
        </w:rPr>
        <w:t>住房和城乡建设厅官网</w:t>
      </w:r>
      <w:r>
        <w:rPr>
          <w:rFonts w:hint="eastAsia" w:ascii="仿宋" w:hAnsi="仿宋" w:eastAsia="仿宋" w:cs="宋体"/>
          <w:kern w:val="0"/>
          <w:sz w:val="32"/>
          <w:szCs w:val="32"/>
        </w:rPr>
        <w:t>发布。</w:t>
      </w:r>
    </w:p>
    <w:p>
      <w:pPr>
        <w:ind w:firstLine="640" w:firstLineChars="200"/>
        <w:rPr>
          <w:rFonts w:hint="eastAsia" w:ascii="仿宋" w:hAnsi="仿宋" w:eastAsia="仿宋" w:cs="宋体"/>
          <w:kern w:val="0"/>
          <w:sz w:val="32"/>
          <w:szCs w:val="32"/>
        </w:rPr>
      </w:pPr>
      <w:bookmarkStart w:id="2" w:name="_Toc27967"/>
      <w:bookmarkStart w:id="3" w:name="_Toc17821"/>
      <w:bookmarkStart w:id="4" w:name="_Toc7949"/>
      <w:bookmarkStart w:id="5" w:name="_Toc13162"/>
      <w:bookmarkStart w:id="6" w:name="_Toc11199"/>
      <w:bookmarkStart w:id="7" w:name="_Toc22518"/>
      <w:bookmarkStart w:id="8" w:name="_Toc19254"/>
      <w:bookmarkStart w:id="9" w:name="_Toc1958"/>
      <w:r>
        <w:rPr>
          <w:rFonts w:hint="eastAsia" w:ascii="黑体" w:hAnsi="黑体" w:eastAsia="黑体" w:cs="黑体"/>
          <w:b w:val="0"/>
          <w:bCs w:val="0"/>
          <w:kern w:val="0"/>
          <w:sz w:val="32"/>
          <w:szCs w:val="32"/>
          <w:lang w:val="en-US" w:eastAsia="zh-CN"/>
        </w:rPr>
        <w:t xml:space="preserve">第十条 </w:t>
      </w:r>
      <w:r>
        <w:rPr>
          <w:rFonts w:hint="eastAsia" w:ascii="仿宋" w:hAnsi="仿宋" w:eastAsia="仿宋" w:cs="宋体"/>
          <w:kern w:val="0"/>
          <w:sz w:val="32"/>
          <w:szCs w:val="32"/>
        </w:rPr>
        <w:t>项目技术负责人</w:t>
      </w:r>
      <w:bookmarkEnd w:id="2"/>
      <w:bookmarkEnd w:id="3"/>
      <w:bookmarkEnd w:id="4"/>
      <w:bookmarkEnd w:id="5"/>
      <w:bookmarkEnd w:id="6"/>
      <w:bookmarkEnd w:id="7"/>
      <w:bookmarkEnd w:id="8"/>
      <w:bookmarkEnd w:id="9"/>
      <w:r>
        <w:rPr>
          <w:rFonts w:hint="eastAsia" w:ascii="仿宋" w:hAnsi="仿宋" w:eastAsia="仿宋" w:cs="宋体"/>
          <w:kern w:val="0"/>
          <w:sz w:val="32"/>
          <w:szCs w:val="32"/>
        </w:rPr>
        <w:t>应满足以下任职条件：</w:t>
      </w:r>
    </w:p>
    <w:p>
      <w:pPr>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项目技术负责人</w:t>
      </w:r>
      <w:r>
        <w:rPr>
          <w:rFonts w:hint="eastAsia" w:ascii="仿宋" w:hAnsi="仿宋" w:eastAsia="仿宋" w:cs="宋体"/>
          <w:kern w:val="0"/>
          <w:sz w:val="32"/>
          <w:szCs w:val="32"/>
          <w:lang w:eastAsia="zh-CN"/>
        </w:rPr>
        <w:t>应</w:t>
      </w:r>
      <w:r>
        <w:rPr>
          <w:rFonts w:hint="eastAsia" w:ascii="仿宋" w:hAnsi="仿宋" w:eastAsia="仿宋" w:cs="宋体"/>
          <w:kern w:val="0"/>
          <w:sz w:val="32"/>
          <w:szCs w:val="32"/>
        </w:rPr>
        <w:t>由与工程项目施工相适应的工程类中、高级专业技术职称人员（其中大型项目必须是高级工程师）担任。</w:t>
      </w:r>
    </w:p>
    <w:p>
      <w:pPr>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 xml:space="preserve">第十一条 </w:t>
      </w:r>
      <w:r>
        <w:rPr>
          <w:rFonts w:hint="eastAsia" w:ascii="仿宋" w:hAnsi="仿宋" w:eastAsia="仿宋" w:cs="宋体"/>
          <w:kern w:val="0"/>
          <w:sz w:val="32"/>
          <w:szCs w:val="32"/>
        </w:rPr>
        <w:t>专业管理人员应满足以下任职条件：</w:t>
      </w:r>
    </w:p>
    <w:p>
      <w:pPr>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施工员、安全员、质量员、标准员、材料员、机械员、劳务员、资料员等专业人员的职业能力应符合住房城乡建设部和我省相关职业能力标准的要求，并取得由省级以上住房城乡建设行政主管部门核发的岗位考核合格证书。</w:t>
      </w:r>
    </w:p>
    <w:p>
      <w:pPr>
        <w:spacing w:line="630" w:lineRule="exact"/>
        <w:ind w:firstLine="640" w:firstLineChars="200"/>
        <w:rPr>
          <w:rFonts w:hint="eastAsia" w:ascii="仿宋" w:hAnsi="仿宋" w:eastAsia="仿宋" w:cs="仿宋_GB2312"/>
          <w:bCs/>
          <w:sz w:val="32"/>
          <w:szCs w:val="32"/>
        </w:rPr>
      </w:pPr>
      <w:r>
        <w:rPr>
          <w:rFonts w:hint="eastAsia" w:ascii="黑体" w:hAnsi="黑体" w:eastAsia="黑体" w:cs="黑体"/>
          <w:b w:val="0"/>
          <w:bCs w:val="0"/>
          <w:kern w:val="0"/>
          <w:sz w:val="32"/>
          <w:szCs w:val="32"/>
          <w:lang w:val="en-US" w:eastAsia="zh-CN"/>
        </w:rPr>
        <w:t>第十二条</w:t>
      </w:r>
      <w:r>
        <w:rPr>
          <w:rFonts w:hint="eastAsia" w:ascii="仿宋" w:hAnsi="仿宋" w:eastAsia="仿宋" w:cs="仿宋_GB2312"/>
          <w:bCs/>
          <w:sz w:val="32"/>
          <w:szCs w:val="32"/>
          <w:lang w:val="en-US" w:eastAsia="zh-CN"/>
        </w:rPr>
        <w:t xml:space="preserve"> </w:t>
      </w:r>
      <w:r>
        <w:rPr>
          <w:rFonts w:hint="eastAsia" w:ascii="仿宋" w:hAnsi="仿宋" w:eastAsia="仿宋" w:cs="仿宋_GB2312"/>
          <w:bCs/>
          <w:sz w:val="32"/>
          <w:szCs w:val="32"/>
        </w:rPr>
        <w:t>特种作业人员和</w:t>
      </w:r>
      <w:r>
        <w:rPr>
          <w:rFonts w:hint="eastAsia" w:ascii="仿宋" w:hAnsi="仿宋" w:eastAsia="仿宋" w:cs="仿宋_GB2312"/>
          <w:bCs/>
          <w:sz w:val="32"/>
          <w:szCs w:val="32"/>
          <w:lang w:eastAsia="zh-CN"/>
        </w:rPr>
        <w:t>技能工人</w:t>
      </w:r>
      <w:r>
        <w:rPr>
          <w:rFonts w:hint="eastAsia" w:ascii="仿宋" w:hAnsi="仿宋" w:eastAsia="仿宋" w:cs="仿宋_GB2312"/>
          <w:bCs/>
          <w:sz w:val="32"/>
          <w:szCs w:val="32"/>
        </w:rPr>
        <w:t>应分别获得市级及以上城乡建设主管部门颁发的操作资格证书、技能等级证书方具备从业资格。</w:t>
      </w:r>
    </w:p>
    <w:p>
      <w:pPr>
        <w:spacing w:line="630" w:lineRule="exact"/>
        <w:ind w:firstLine="640" w:firstLineChars="200"/>
        <w:rPr>
          <w:rFonts w:hint="eastAsia" w:ascii="仿宋" w:hAnsi="仿宋" w:eastAsia="仿宋" w:cs="仿宋_GB2312"/>
          <w:bCs/>
          <w:sz w:val="32"/>
          <w:szCs w:val="32"/>
        </w:rPr>
      </w:pPr>
    </w:p>
    <w:p>
      <w:pPr>
        <w:spacing w:line="578" w:lineRule="exact"/>
        <w:rPr>
          <w:rFonts w:hint="eastAsia" w:ascii="Times New Roman" w:hAnsi="Arial" w:eastAsia="黑体"/>
          <w:strike w:val="0"/>
          <w:dstrike w:val="0"/>
          <w:sz w:val="32"/>
          <w:szCs w:val="32"/>
        </w:rPr>
      </w:pPr>
      <w:r>
        <w:rPr>
          <w:rFonts w:hint="eastAsia" w:ascii="黑体" w:hAnsi="黑体" w:eastAsia="黑体" w:cs="宋体"/>
          <w:kern w:val="0"/>
          <w:sz w:val="32"/>
          <w:szCs w:val="32"/>
          <w:lang w:val="en-US" w:eastAsia="zh-CN"/>
        </w:rPr>
        <w:t xml:space="preserve">                </w:t>
      </w:r>
      <w:r>
        <w:rPr>
          <w:rFonts w:hint="eastAsia" w:ascii="Times New Roman" w:hAnsi="Arial" w:eastAsia="黑体" w:cs="Times New Roman"/>
          <w:b w:val="0"/>
          <w:bCs w:val="0"/>
          <w:kern w:val="2"/>
          <w:sz w:val="32"/>
          <w:szCs w:val="32"/>
          <w:lang w:val="en-US" w:eastAsia="zh-CN" w:bidi="ar-SA"/>
        </w:rPr>
        <w:t xml:space="preserve">   三、人员管理要求</w:t>
      </w:r>
    </w:p>
    <w:p>
      <w:pPr>
        <w:spacing w:line="63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 xml:space="preserve"> </w:t>
      </w:r>
    </w:p>
    <w:p>
      <w:pPr>
        <w:spacing w:line="630" w:lineRule="exact"/>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第十三条</w:t>
      </w:r>
      <w:r>
        <w:rPr>
          <w:rFonts w:hint="eastAsia" w:ascii="仿宋" w:hAnsi="仿宋" w:eastAsia="仿宋" w:cs="宋体"/>
          <w:kern w:val="0"/>
          <w:sz w:val="32"/>
          <w:szCs w:val="32"/>
          <w:lang w:val="en-US" w:eastAsia="zh-CN"/>
        </w:rPr>
        <w:t xml:space="preserve"> 建设单位在办理项目工程质量安全监督手续时，应将该</w:t>
      </w:r>
      <w:r>
        <w:rPr>
          <w:rFonts w:hint="eastAsia" w:ascii="仿宋" w:hAnsi="仿宋" w:eastAsia="仿宋" w:cs="宋体"/>
          <w:kern w:val="0"/>
          <w:sz w:val="32"/>
          <w:szCs w:val="32"/>
        </w:rPr>
        <w:t>项目现场管理人员</w:t>
      </w:r>
      <w:r>
        <w:rPr>
          <w:rFonts w:hint="eastAsia" w:ascii="仿宋" w:hAnsi="仿宋" w:eastAsia="仿宋" w:cs="宋体"/>
          <w:kern w:val="0"/>
          <w:sz w:val="32"/>
          <w:szCs w:val="32"/>
          <w:lang w:eastAsia="zh-CN"/>
        </w:rPr>
        <w:t>和</w:t>
      </w:r>
      <w:r>
        <w:rPr>
          <w:rFonts w:hint="eastAsia" w:ascii="仿宋" w:hAnsi="仿宋" w:eastAsia="仿宋" w:cs="宋体"/>
          <w:kern w:val="0"/>
          <w:sz w:val="32"/>
          <w:szCs w:val="32"/>
          <w:lang w:val="en-US" w:eastAsia="zh-CN"/>
        </w:rPr>
        <w:t>技能工人配备情况</w:t>
      </w:r>
      <w:r>
        <w:rPr>
          <w:rFonts w:hint="eastAsia" w:ascii="仿宋" w:hAnsi="仿宋" w:eastAsia="仿宋" w:cs="宋体"/>
          <w:kern w:val="0"/>
          <w:sz w:val="32"/>
          <w:szCs w:val="32"/>
        </w:rPr>
        <w:t>报工程所在地住房城乡建设行政主管部门备案。</w:t>
      </w:r>
    </w:p>
    <w:p>
      <w:pPr>
        <w:spacing w:line="630" w:lineRule="exact"/>
        <w:ind w:firstLine="640" w:firstLineChars="200"/>
        <w:rPr>
          <w:rFonts w:ascii="仿宋" w:hAnsi="仿宋" w:eastAsia="仿宋" w:cs="宋体"/>
          <w:kern w:val="0"/>
          <w:sz w:val="32"/>
          <w:szCs w:val="32"/>
        </w:rPr>
      </w:pPr>
      <w:r>
        <w:rPr>
          <w:rFonts w:hint="eastAsia" w:ascii="黑体" w:hAnsi="黑体" w:eastAsia="黑体" w:cs="黑体"/>
          <w:b w:val="0"/>
          <w:bCs w:val="0"/>
          <w:kern w:val="0"/>
          <w:sz w:val="32"/>
          <w:szCs w:val="32"/>
          <w:lang w:val="en-US" w:eastAsia="zh-CN"/>
        </w:rPr>
        <w:t>第十四条</w:t>
      </w:r>
      <w:r>
        <w:rPr>
          <w:rFonts w:hint="eastAsia" w:ascii="仿宋" w:hAnsi="仿宋" w:eastAsia="仿宋" w:cs="宋体"/>
          <w:kern w:val="0"/>
          <w:sz w:val="32"/>
          <w:szCs w:val="32"/>
          <w:lang w:val="en-US" w:eastAsia="zh-CN"/>
        </w:rPr>
        <w:t xml:space="preserve"> </w:t>
      </w:r>
      <w:r>
        <w:rPr>
          <w:rFonts w:hint="eastAsia" w:ascii="仿宋" w:hAnsi="仿宋" w:eastAsia="仿宋" w:cs="宋体"/>
          <w:kern w:val="0"/>
          <w:sz w:val="32"/>
          <w:szCs w:val="32"/>
        </w:rPr>
        <w:t>建设单位和项目管理机构应当建立项目现场管理人员和</w:t>
      </w:r>
      <w:r>
        <w:rPr>
          <w:rFonts w:hint="eastAsia" w:ascii="仿宋" w:hAnsi="仿宋" w:eastAsia="仿宋" w:cs="宋体"/>
          <w:kern w:val="0"/>
          <w:sz w:val="32"/>
          <w:szCs w:val="32"/>
          <w:lang w:eastAsia="zh-CN"/>
        </w:rPr>
        <w:t>技能工人</w:t>
      </w:r>
      <w:r>
        <w:rPr>
          <w:rFonts w:hint="eastAsia" w:ascii="仿宋" w:hAnsi="仿宋" w:eastAsia="仿宋" w:cs="宋体"/>
          <w:kern w:val="0"/>
          <w:sz w:val="32"/>
          <w:szCs w:val="32"/>
        </w:rPr>
        <w:t>实名制台账，并将上述人员信息按要求采集录入全省建筑用工实名制管理平台系统。</w:t>
      </w:r>
    </w:p>
    <w:p>
      <w:pPr>
        <w:spacing w:line="630" w:lineRule="exact"/>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 xml:space="preserve">第十五条 </w:t>
      </w:r>
      <w:r>
        <w:rPr>
          <w:rFonts w:hint="eastAsia" w:ascii="仿宋" w:hAnsi="仿宋" w:eastAsia="仿宋" w:cs="宋体"/>
          <w:kern w:val="0"/>
          <w:sz w:val="32"/>
          <w:szCs w:val="32"/>
        </w:rPr>
        <w:t>现场管理人员</w:t>
      </w:r>
      <w:r>
        <w:rPr>
          <w:rFonts w:hint="eastAsia" w:ascii="仿宋" w:hAnsi="仿宋" w:eastAsia="仿宋" w:cs="宋体"/>
          <w:kern w:val="0"/>
          <w:sz w:val="32"/>
          <w:szCs w:val="32"/>
          <w:lang w:eastAsia="zh-CN"/>
        </w:rPr>
        <w:t>和</w:t>
      </w:r>
      <w:r>
        <w:rPr>
          <w:rFonts w:hint="eastAsia" w:ascii="仿宋" w:hAnsi="仿宋" w:eastAsia="仿宋" w:cs="宋体"/>
          <w:kern w:val="0"/>
          <w:sz w:val="32"/>
          <w:szCs w:val="32"/>
          <w:lang w:val="en-US" w:eastAsia="zh-CN"/>
        </w:rPr>
        <w:t>技能工人</w:t>
      </w:r>
      <w:r>
        <w:rPr>
          <w:rFonts w:hint="eastAsia" w:ascii="仿宋" w:hAnsi="仿宋" w:eastAsia="仿宋" w:cs="宋体"/>
          <w:kern w:val="0"/>
          <w:sz w:val="32"/>
          <w:szCs w:val="32"/>
        </w:rPr>
        <w:t>不得同时在两个及两个以上的建设工程项目主体结构施工期间任职，不得在同一项目的建设单位或相关中介机构中兼职。</w:t>
      </w:r>
    </w:p>
    <w:p>
      <w:pPr>
        <w:spacing w:line="630" w:lineRule="exact"/>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 xml:space="preserve">第十六条 </w:t>
      </w:r>
      <w:r>
        <w:rPr>
          <w:rFonts w:hint="eastAsia" w:ascii="仿宋" w:hAnsi="仿宋" w:eastAsia="仿宋" w:cs="宋体"/>
          <w:kern w:val="0"/>
          <w:sz w:val="32"/>
          <w:szCs w:val="32"/>
        </w:rPr>
        <w:t>项目现场</w:t>
      </w:r>
      <w:r>
        <w:rPr>
          <w:rFonts w:hint="eastAsia" w:ascii="仿宋" w:hAnsi="仿宋" w:eastAsia="仿宋" w:cs="宋体"/>
          <w:kern w:val="0"/>
          <w:sz w:val="32"/>
          <w:szCs w:val="32"/>
          <w:lang w:eastAsia="zh-CN"/>
        </w:rPr>
        <w:t>取得</w:t>
      </w:r>
      <w:r>
        <w:rPr>
          <w:rFonts w:hint="eastAsia" w:ascii="仿宋" w:hAnsi="仿宋" w:eastAsia="仿宋" w:cs="仿宋_GB2312"/>
          <w:bCs/>
          <w:sz w:val="32"/>
          <w:szCs w:val="32"/>
        </w:rPr>
        <w:t>资格证书</w:t>
      </w:r>
      <w:r>
        <w:rPr>
          <w:rFonts w:hint="eastAsia" w:ascii="仿宋" w:hAnsi="仿宋" w:eastAsia="仿宋" w:cs="仿宋_GB2312"/>
          <w:bCs/>
          <w:sz w:val="32"/>
          <w:szCs w:val="32"/>
          <w:lang w:eastAsia="zh-CN"/>
        </w:rPr>
        <w:t>或</w:t>
      </w:r>
      <w:r>
        <w:rPr>
          <w:rFonts w:hint="eastAsia" w:ascii="仿宋" w:hAnsi="仿宋" w:eastAsia="仿宋" w:cs="仿宋_GB2312"/>
          <w:bCs/>
          <w:sz w:val="32"/>
          <w:szCs w:val="32"/>
        </w:rPr>
        <w:t>技能等级证书</w:t>
      </w:r>
      <w:r>
        <w:rPr>
          <w:rFonts w:hint="eastAsia" w:ascii="仿宋" w:hAnsi="仿宋" w:eastAsia="仿宋" w:cs="仿宋_GB2312"/>
          <w:bCs/>
          <w:sz w:val="32"/>
          <w:szCs w:val="32"/>
          <w:lang w:eastAsia="zh-CN"/>
        </w:rPr>
        <w:t>的</w:t>
      </w:r>
      <w:r>
        <w:rPr>
          <w:rFonts w:hint="eastAsia" w:ascii="仿宋" w:hAnsi="仿宋" w:eastAsia="仿宋" w:cs="宋体"/>
          <w:kern w:val="0"/>
          <w:sz w:val="32"/>
          <w:szCs w:val="32"/>
        </w:rPr>
        <w:t>管理人员</w:t>
      </w:r>
      <w:r>
        <w:rPr>
          <w:rFonts w:hint="eastAsia" w:ascii="仿宋" w:hAnsi="仿宋" w:eastAsia="仿宋" w:cs="宋体"/>
          <w:kern w:val="0"/>
          <w:sz w:val="32"/>
          <w:szCs w:val="32"/>
          <w:lang w:eastAsia="zh-CN"/>
        </w:rPr>
        <w:t>、技能工人和</w:t>
      </w:r>
      <w:r>
        <w:rPr>
          <w:rFonts w:hint="eastAsia" w:ascii="仿宋" w:hAnsi="仿宋" w:eastAsia="仿宋" w:cs="宋体"/>
          <w:kern w:val="0"/>
          <w:sz w:val="32"/>
          <w:szCs w:val="32"/>
        </w:rPr>
        <w:t>特种作业人员必须100%的持证上岗。</w:t>
      </w:r>
    </w:p>
    <w:p>
      <w:pPr>
        <w:spacing w:line="630" w:lineRule="exact"/>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 xml:space="preserve">第十七条 </w:t>
      </w:r>
      <w:r>
        <w:rPr>
          <w:rFonts w:hint="eastAsia" w:ascii="仿宋" w:hAnsi="仿宋" w:eastAsia="仿宋" w:cs="宋体"/>
          <w:kern w:val="0"/>
          <w:sz w:val="32"/>
          <w:szCs w:val="32"/>
        </w:rPr>
        <w:t>对于分期开发建设或分多个施工标段且同一地点、同一施工单位承建的建设项目，现场</w:t>
      </w:r>
      <w:r>
        <w:rPr>
          <w:rFonts w:hint="eastAsia" w:ascii="仿宋" w:hAnsi="仿宋" w:eastAsia="仿宋"/>
          <w:sz w:val="32"/>
          <w:szCs w:val="32"/>
        </w:rPr>
        <w:t>管理</w:t>
      </w:r>
      <w:r>
        <w:rPr>
          <w:rFonts w:hint="eastAsia" w:ascii="仿宋" w:hAnsi="仿宋" w:eastAsia="仿宋" w:cs="宋体"/>
          <w:kern w:val="0"/>
          <w:sz w:val="32"/>
          <w:szCs w:val="32"/>
        </w:rPr>
        <w:t>人员承担项目的数量可视为一个项目，配备标准可按合并后的一个项目规模要求配备。</w:t>
      </w:r>
    </w:p>
    <w:p>
      <w:pPr>
        <w:spacing w:line="630" w:lineRule="exact"/>
        <w:ind w:firstLine="640" w:firstLineChars="20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第十八条</w:t>
      </w:r>
      <w:r>
        <w:rPr>
          <w:rFonts w:hint="eastAsia" w:ascii="仿宋" w:hAnsi="仿宋" w:eastAsia="仿宋" w:cs="宋体"/>
          <w:kern w:val="0"/>
          <w:sz w:val="32"/>
          <w:szCs w:val="32"/>
          <w:lang w:val="en-US" w:eastAsia="zh-CN"/>
        </w:rPr>
        <w:t xml:space="preserve"> 工程项目</w:t>
      </w:r>
      <w:r>
        <w:rPr>
          <w:rFonts w:hint="eastAsia" w:ascii="仿宋" w:hAnsi="仿宋" w:eastAsia="仿宋" w:cs="宋体"/>
          <w:kern w:val="0"/>
          <w:sz w:val="32"/>
          <w:szCs w:val="32"/>
        </w:rPr>
        <w:t>现场</w:t>
      </w:r>
      <w:r>
        <w:rPr>
          <w:rFonts w:hint="eastAsia" w:ascii="仿宋" w:hAnsi="仿宋" w:eastAsia="仿宋"/>
          <w:sz w:val="32"/>
          <w:szCs w:val="32"/>
        </w:rPr>
        <w:t>主要</w:t>
      </w:r>
      <w:r>
        <w:rPr>
          <w:rFonts w:hint="eastAsia" w:ascii="仿宋" w:hAnsi="仿宋" w:eastAsia="仿宋" w:cs="宋体"/>
          <w:kern w:val="0"/>
          <w:sz w:val="32"/>
          <w:szCs w:val="32"/>
        </w:rPr>
        <w:t>管理人员应保持相对稳定。存在下列情形之一的，经建设单位、监理单位同意，施工单位报项目属地监管机构备案后，方可进行人员变更：</w:t>
      </w:r>
    </w:p>
    <w:p>
      <w:pPr>
        <w:spacing w:line="63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（1）因伤病（持有县、区以上医院证明）导致不能继续履行岗位职责的；</w:t>
      </w:r>
    </w:p>
    <w:p>
      <w:pPr>
        <w:spacing w:line="63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（2）主动辞职、退休或调离原任职企业的；</w:t>
      </w:r>
    </w:p>
    <w:p>
      <w:pPr>
        <w:spacing w:line="63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（3）因发生工程质量、安全生产事故或违法分包、挂靠转包等违法违规行为，受到处罚不能继续担任相应管理工作的；</w:t>
      </w:r>
    </w:p>
    <w:p>
      <w:pPr>
        <w:spacing w:line="630" w:lineRule="exact"/>
        <w:ind w:firstLine="640" w:firstLineChars="200"/>
        <w:rPr>
          <w:rFonts w:hint="eastAsia" w:ascii="仿宋" w:hAnsi="仿宋" w:eastAsia="仿宋" w:cs="宋体"/>
          <w:color w:val="auto"/>
          <w:kern w:val="0"/>
          <w:sz w:val="32"/>
          <w:szCs w:val="32"/>
          <w:lang w:eastAsia="zh-CN"/>
        </w:rPr>
      </w:pPr>
      <w:r>
        <w:rPr>
          <w:rFonts w:hint="eastAsia" w:ascii="仿宋" w:hAnsi="仿宋" w:eastAsia="仿宋" w:cs="宋体"/>
          <w:color w:val="auto"/>
          <w:kern w:val="0"/>
          <w:sz w:val="32"/>
          <w:szCs w:val="32"/>
          <w:lang w:eastAsia="zh-CN"/>
        </w:rPr>
        <w:t>（</w:t>
      </w:r>
      <w:r>
        <w:rPr>
          <w:rFonts w:hint="eastAsia" w:ascii="仿宋" w:hAnsi="仿宋" w:eastAsia="仿宋" w:cs="宋体"/>
          <w:color w:val="auto"/>
          <w:kern w:val="0"/>
          <w:sz w:val="32"/>
          <w:szCs w:val="32"/>
          <w:lang w:val="en-US" w:eastAsia="zh-CN"/>
        </w:rPr>
        <w:t>4</w:t>
      </w:r>
      <w:r>
        <w:rPr>
          <w:rFonts w:hint="eastAsia" w:ascii="仿宋" w:hAnsi="仿宋" w:eastAsia="仿宋" w:cs="宋体"/>
          <w:color w:val="auto"/>
          <w:kern w:val="0"/>
          <w:sz w:val="32"/>
          <w:szCs w:val="32"/>
          <w:lang w:eastAsia="zh-CN"/>
        </w:rPr>
        <w:t>）因不履行岗位职责、工作失误等原因不宜继续担任施工现场管理工作的。</w:t>
      </w:r>
    </w:p>
    <w:p>
      <w:pPr>
        <w:spacing w:line="630" w:lineRule="exact"/>
        <w:ind w:firstLine="640" w:firstLineChars="200"/>
        <w:rPr>
          <w:rFonts w:hint="eastAsia" w:ascii="仿宋" w:hAnsi="仿宋" w:eastAsia="仿宋" w:cs="宋体"/>
          <w:color w:val="auto"/>
          <w:kern w:val="0"/>
          <w:sz w:val="32"/>
          <w:szCs w:val="32"/>
        </w:rPr>
      </w:pPr>
      <w:r>
        <w:rPr>
          <w:rFonts w:hint="eastAsia" w:ascii="仿宋" w:hAnsi="仿宋" w:eastAsia="仿宋" w:cs="宋体"/>
          <w:kern w:val="0"/>
          <w:sz w:val="32"/>
          <w:szCs w:val="32"/>
        </w:rPr>
        <w:t xml:space="preserve"> </w:t>
      </w:r>
      <w:r>
        <w:rPr>
          <w:rFonts w:hint="eastAsia" w:ascii="黑体" w:hAnsi="黑体" w:eastAsia="黑体" w:cs="黑体"/>
          <w:b w:val="0"/>
          <w:bCs w:val="0"/>
          <w:kern w:val="0"/>
          <w:sz w:val="32"/>
          <w:szCs w:val="32"/>
          <w:lang w:val="en-US" w:eastAsia="zh-CN"/>
        </w:rPr>
        <w:t>第十九条</w:t>
      </w:r>
      <w:r>
        <w:rPr>
          <w:rFonts w:hint="eastAsia" w:ascii="仿宋" w:hAnsi="仿宋" w:eastAsia="仿宋" w:cs="宋体"/>
          <w:kern w:val="0"/>
          <w:sz w:val="32"/>
          <w:szCs w:val="32"/>
          <w:lang w:val="en-US" w:eastAsia="zh-CN"/>
        </w:rPr>
        <w:t xml:space="preserve"> </w:t>
      </w:r>
      <w:r>
        <w:rPr>
          <w:rFonts w:hint="eastAsia" w:ascii="仿宋" w:hAnsi="仿宋" w:eastAsia="仿宋" w:cs="宋体"/>
          <w:kern w:val="0"/>
          <w:sz w:val="32"/>
          <w:szCs w:val="32"/>
        </w:rPr>
        <w:t>现场管理人员变更的，施工单位应在变更后3个工作日内提交相关印证材料报原备案机关登记变更。变更后人员其从业资格和业绩等</w:t>
      </w:r>
      <w:r>
        <w:rPr>
          <w:rFonts w:hint="eastAsia" w:ascii="仿宋" w:hAnsi="仿宋" w:eastAsia="仿宋" w:cs="宋体"/>
          <w:kern w:val="0"/>
          <w:sz w:val="32"/>
          <w:szCs w:val="32"/>
          <w:lang w:eastAsia="zh-CN"/>
        </w:rPr>
        <w:t>条件</w:t>
      </w:r>
      <w:r>
        <w:rPr>
          <w:rFonts w:hint="eastAsia" w:ascii="仿宋" w:hAnsi="仿宋" w:eastAsia="仿宋" w:cs="宋体"/>
          <w:kern w:val="0"/>
          <w:sz w:val="32"/>
          <w:szCs w:val="32"/>
        </w:rPr>
        <w:t>应不低于</w:t>
      </w:r>
      <w:r>
        <w:rPr>
          <w:rFonts w:hint="eastAsia" w:ascii="仿宋" w:hAnsi="仿宋" w:eastAsia="仿宋" w:cs="宋体"/>
          <w:kern w:val="0"/>
          <w:sz w:val="32"/>
          <w:szCs w:val="32"/>
          <w:lang w:eastAsia="zh-CN"/>
        </w:rPr>
        <w:t>原备案人员</w:t>
      </w:r>
      <w:r>
        <w:rPr>
          <w:rFonts w:hint="eastAsia" w:ascii="仿宋" w:hAnsi="仿宋" w:eastAsia="仿宋" w:cs="宋体"/>
          <w:color w:val="auto"/>
          <w:kern w:val="0"/>
          <w:sz w:val="32"/>
          <w:szCs w:val="32"/>
        </w:rPr>
        <w:t>。</w:t>
      </w:r>
    </w:p>
    <w:p>
      <w:pPr>
        <w:spacing w:line="630" w:lineRule="exact"/>
        <w:ind w:left="0" w:leftChars="0" w:firstLine="840" w:firstLineChars="0"/>
        <w:rPr>
          <w:rFonts w:hint="eastAsia" w:ascii="仿宋" w:hAnsi="仿宋" w:eastAsia="仿宋" w:cs="宋体"/>
          <w:kern w:val="0"/>
          <w:sz w:val="32"/>
          <w:szCs w:val="32"/>
        </w:rPr>
      </w:pPr>
      <w:r>
        <w:rPr>
          <w:rFonts w:hint="eastAsia" w:ascii="黑体" w:hAnsi="黑体" w:eastAsia="黑体" w:cs="黑体"/>
          <w:b w:val="0"/>
          <w:bCs w:val="0"/>
          <w:kern w:val="0"/>
          <w:sz w:val="32"/>
          <w:szCs w:val="32"/>
          <w:lang w:val="en-US" w:eastAsia="zh-CN"/>
        </w:rPr>
        <w:t xml:space="preserve">第二十条 </w:t>
      </w:r>
      <w:r>
        <w:rPr>
          <w:rFonts w:hint="eastAsia" w:ascii="仿宋" w:hAnsi="仿宋" w:eastAsia="仿宋" w:cs="宋体"/>
          <w:kern w:val="0"/>
          <w:sz w:val="32"/>
          <w:szCs w:val="32"/>
        </w:rPr>
        <w:t>施工单位完成工程项目合同约定内容，向建设单位提交竣工</w:t>
      </w:r>
      <w:r>
        <w:rPr>
          <w:rFonts w:hint="eastAsia" w:ascii="仿宋" w:hAnsi="仿宋" w:eastAsia="仿宋" w:cs="宋体"/>
          <w:kern w:val="0"/>
          <w:sz w:val="32"/>
          <w:szCs w:val="32"/>
          <w:lang w:eastAsia="zh-CN"/>
        </w:rPr>
        <w:t>报告</w:t>
      </w:r>
      <w:r>
        <w:rPr>
          <w:rFonts w:hint="eastAsia" w:ascii="仿宋" w:hAnsi="仿宋" w:eastAsia="仿宋" w:cs="宋体"/>
          <w:kern w:val="0"/>
          <w:sz w:val="32"/>
          <w:szCs w:val="32"/>
        </w:rPr>
        <w:t>后，备案人员应向备案机关申请核销，经审核后可办理人员核销备案手续</w:t>
      </w:r>
      <w:r>
        <w:rPr>
          <w:rFonts w:hint="eastAsia" w:ascii="仿宋" w:hAnsi="仿宋" w:eastAsia="仿宋" w:cs="宋体"/>
          <w:kern w:val="0"/>
          <w:sz w:val="32"/>
          <w:szCs w:val="32"/>
          <w:lang w:eastAsia="zh-CN"/>
        </w:rPr>
        <w:t>和实名制管理平台信息退出手续</w:t>
      </w:r>
      <w:r>
        <w:rPr>
          <w:rFonts w:hint="eastAsia" w:ascii="仿宋" w:hAnsi="仿宋" w:eastAsia="仿宋" w:cs="宋体"/>
          <w:kern w:val="0"/>
          <w:sz w:val="32"/>
          <w:szCs w:val="32"/>
        </w:rPr>
        <w:t>。</w:t>
      </w:r>
    </w:p>
    <w:p>
      <w:pPr>
        <w:pStyle w:val="7"/>
        <w:widowControl w:val="0"/>
        <w:spacing w:before="0" w:beforeAutospacing="0" w:after="0" w:afterAutospacing="0" w:line="578" w:lineRule="exact"/>
        <w:ind w:left="0" w:leftChars="0" w:firstLine="840" w:firstLineChars="0"/>
        <w:jc w:val="both"/>
        <w:rPr>
          <w:rFonts w:hint="eastAsia" w:ascii="仿宋" w:hAnsi="仿宋" w:eastAsia="仿宋"/>
          <w:sz w:val="32"/>
          <w:szCs w:val="32"/>
          <w:lang w:eastAsia="zh-CN"/>
        </w:rPr>
      </w:pPr>
      <w:r>
        <w:rPr>
          <w:rFonts w:hint="eastAsia" w:ascii="黑体" w:hAnsi="黑体" w:eastAsia="黑体" w:cs="黑体"/>
          <w:b w:val="0"/>
          <w:bCs w:val="0"/>
          <w:kern w:val="0"/>
          <w:sz w:val="32"/>
          <w:szCs w:val="32"/>
          <w:lang w:val="en-US" w:eastAsia="zh-CN" w:bidi="ar-SA"/>
        </w:rPr>
        <w:t>第二十一条</w:t>
      </w:r>
      <w:r>
        <w:rPr>
          <w:rFonts w:hint="eastAsia" w:ascii="仿宋" w:hAnsi="仿宋" w:eastAsia="仿宋"/>
          <w:sz w:val="32"/>
          <w:szCs w:val="32"/>
        </w:rPr>
        <w:t xml:space="preserve"> 项目现场</w:t>
      </w:r>
      <w:r>
        <w:rPr>
          <w:rFonts w:hint="eastAsia" w:ascii="仿宋" w:hAnsi="仿宋" w:eastAsia="仿宋"/>
          <w:sz w:val="32"/>
          <w:szCs w:val="32"/>
          <w:lang w:eastAsia="zh-CN"/>
        </w:rPr>
        <w:t>管理人员和技能工人应严格落实建筑用工实名制管理有关规定，施工总承包单位应对所承接工程项目的建筑工人实名制管理负总责，分包单位对招用的建筑工人落实实名制制度负直接责任。各有关单位应建立健全建筑工人实名制管理制度，以真实身份信息认证方式采集施工现场管理人员和技能工人的基本信息、从业信息、作业信息、诚信信息，对施工现场管理人员和技能人员进行组织化、信息化综合管理，并录入山西省建筑工人管理服务信息平台。</w:t>
      </w:r>
    </w:p>
    <w:p>
      <w:pPr>
        <w:pStyle w:val="7"/>
        <w:widowControl w:val="0"/>
        <w:spacing w:before="0" w:beforeAutospacing="0" w:after="0" w:afterAutospacing="0" w:line="578" w:lineRule="exact"/>
        <w:ind w:left="0" w:leftChars="0" w:firstLine="840" w:firstLineChars="0"/>
        <w:jc w:val="both"/>
        <w:rPr>
          <w:rFonts w:hint="eastAsia" w:ascii="仿宋" w:hAnsi="仿宋" w:eastAsia="仿宋" w:cs="宋体"/>
          <w:kern w:val="0"/>
          <w:sz w:val="32"/>
          <w:szCs w:val="32"/>
          <w:lang w:val="en-US" w:eastAsia="zh-CN"/>
        </w:rPr>
      </w:pPr>
      <w:r>
        <w:rPr>
          <w:rFonts w:hint="eastAsia" w:ascii="黑体" w:hAnsi="黑体" w:eastAsia="黑体" w:cs="黑体"/>
          <w:b w:val="0"/>
          <w:bCs w:val="0"/>
          <w:kern w:val="0"/>
          <w:sz w:val="32"/>
          <w:szCs w:val="32"/>
          <w:lang w:val="en-US" w:eastAsia="zh-CN" w:bidi="ar-SA"/>
        </w:rPr>
        <w:t xml:space="preserve">第二十二条 </w:t>
      </w:r>
      <w:r>
        <w:rPr>
          <w:rFonts w:hint="eastAsia" w:ascii="仿宋" w:hAnsi="仿宋" w:eastAsia="仿宋"/>
          <w:sz w:val="32"/>
          <w:szCs w:val="32"/>
          <w:lang w:eastAsia="zh-CN"/>
        </w:rPr>
        <w:t>未按照本办法要求配置</w:t>
      </w:r>
      <w:r>
        <w:rPr>
          <w:rFonts w:hint="eastAsia" w:ascii="仿宋" w:hAnsi="仿宋" w:eastAsia="仿宋"/>
          <w:sz w:val="32"/>
          <w:szCs w:val="32"/>
        </w:rPr>
        <w:t>管理人员和</w:t>
      </w:r>
      <w:r>
        <w:rPr>
          <w:rFonts w:hint="eastAsia" w:ascii="仿宋" w:hAnsi="仿宋" w:eastAsia="仿宋"/>
          <w:sz w:val="32"/>
          <w:szCs w:val="32"/>
          <w:lang w:eastAsia="zh-CN"/>
        </w:rPr>
        <w:t>技能工人的，应依据《保障农民工工资支付条例》《注册建造师管理规定》和</w:t>
      </w:r>
      <w:r>
        <w:rPr>
          <w:rFonts w:hint="eastAsia" w:ascii="仿宋" w:hAnsi="仿宋" w:eastAsia="仿宋"/>
          <w:color w:val="auto"/>
          <w:sz w:val="32"/>
          <w:szCs w:val="32"/>
          <w:lang w:eastAsia="zh-CN"/>
        </w:rPr>
        <w:t>《建筑施工企业安全生产管理机构设置及专职安全生产管理人员配备办法》</w:t>
      </w:r>
      <w:r>
        <w:rPr>
          <w:rFonts w:hint="eastAsia" w:ascii="仿宋" w:hAnsi="仿宋" w:eastAsia="仿宋"/>
          <w:sz w:val="32"/>
          <w:szCs w:val="32"/>
          <w:lang w:eastAsia="zh-CN"/>
        </w:rPr>
        <w:t>等有关法律法规、规章制度和</w:t>
      </w:r>
      <w:r>
        <w:rPr>
          <w:rFonts w:hint="eastAsia" w:ascii="仿宋" w:hAnsi="仿宋" w:eastAsia="仿宋"/>
          <w:sz w:val="32"/>
          <w:szCs w:val="32"/>
          <w:lang w:val="en-US" w:eastAsia="zh-CN"/>
        </w:rPr>
        <w:t>规范性文件有关要求</w:t>
      </w:r>
      <w:r>
        <w:rPr>
          <w:rFonts w:hint="eastAsia" w:ascii="仿宋" w:hAnsi="仿宋" w:eastAsia="仿宋"/>
          <w:sz w:val="32"/>
          <w:szCs w:val="32"/>
          <w:lang w:eastAsia="zh-CN"/>
        </w:rPr>
        <w:t>实施惩戒</w:t>
      </w:r>
      <w:r>
        <w:rPr>
          <w:rFonts w:hint="eastAsia" w:ascii="仿宋" w:hAnsi="仿宋" w:eastAsia="仿宋" w:cs="仿宋_GB2312"/>
          <w:sz w:val="32"/>
          <w:szCs w:val="32"/>
        </w:rPr>
        <w:t>。</w:t>
      </w:r>
      <w:r>
        <w:rPr>
          <w:rFonts w:hint="eastAsia" w:ascii="仿宋" w:hAnsi="仿宋" w:eastAsia="仿宋" w:cs="宋体"/>
          <w:kern w:val="0"/>
          <w:sz w:val="32"/>
          <w:szCs w:val="32"/>
          <w:lang w:val="en-US" w:eastAsia="zh-CN"/>
        </w:rPr>
        <w:t xml:space="preserve">    </w:t>
      </w:r>
    </w:p>
    <w:p>
      <w:pPr>
        <w:spacing w:line="640" w:lineRule="exact"/>
        <w:ind w:firstLine="2880" w:firstLineChars="900"/>
        <w:rPr>
          <w:rFonts w:hint="eastAsia" w:ascii="仿宋" w:hAnsi="仿宋" w:eastAsia="仿宋" w:cs="宋体"/>
          <w:kern w:val="0"/>
          <w:sz w:val="32"/>
          <w:szCs w:val="32"/>
        </w:rPr>
      </w:pPr>
      <w:r>
        <w:rPr>
          <w:rFonts w:hint="eastAsia" w:ascii="仿宋" w:hAnsi="仿宋" w:eastAsia="仿宋" w:cs="宋体"/>
          <w:kern w:val="0"/>
          <w:sz w:val="32"/>
          <w:szCs w:val="32"/>
          <w:lang w:val="en-US" w:eastAsia="zh-CN"/>
        </w:rPr>
        <w:t xml:space="preserve"> </w:t>
      </w:r>
      <w:r>
        <w:rPr>
          <w:rFonts w:hint="eastAsia" w:ascii="Times New Roman" w:hAnsi="Arial" w:eastAsia="黑体" w:cs="Times New Roman"/>
          <w:b w:val="0"/>
          <w:bCs w:val="0"/>
          <w:kern w:val="2"/>
          <w:sz w:val="32"/>
          <w:szCs w:val="32"/>
          <w:lang w:val="en-US" w:eastAsia="zh-CN" w:bidi="ar-SA"/>
        </w:rPr>
        <w:t xml:space="preserve"> 四、附则</w:t>
      </w:r>
    </w:p>
    <w:p>
      <w:pPr>
        <w:spacing w:line="640" w:lineRule="exact"/>
        <w:ind w:firstLine="640" w:firstLineChars="200"/>
        <w:rPr>
          <w:rFonts w:hint="default" w:ascii="黑体" w:hAnsi="黑体" w:eastAsia="黑体" w:cs="宋体"/>
          <w:kern w:val="0"/>
          <w:sz w:val="32"/>
          <w:szCs w:val="32"/>
          <w:lang w:val="en-US" w:eastAsia="zh-CN"/>
        </w:rPr>
      </w:pPr>
      <w:r>
        <w:rPr>
          <w:rFonts w:hint="eastAsia" w:ascii="黑体" w:hAnsi="黑体" w:eastAsia="黑体" w:cs="黑体"/>
          <w:b w:val="0"/>
          <w:bCs w:val="0"/>
          <w:kern w:val="0"/>
          <w:sz w:val="32"/>
          <w:szCs w:val="32"/>
          <w:lang w:val="en-US" w:eastAsia="zh-CN" w:bidi="ar-SA"/>
        </w:rPr>
        <w:t>第二十三条</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cs="宋体"/>
          <w:kern w:val="0"/>
          <w:sz w:val="32"/>
          <w:szCs w:val="32"/>
        </w:rPr>
        <w:t>本</w:t>
      </w:r>
      <w:r>
        <w:rPr>
          <w:rFonts w:hint="eastAsia" w:ascii="仿宋" w:hAnsi="仿宋" w:eastAsia="仿宋" w:cs="宋体"/>
          <w:kern w:val="0"/>
          <w:sz w:val="32"/>
          <w:szCs w:val="32"/>
          <w:lang w:eastAsia="zh-CN"/>
        </w:rPr>
        <w:t>办法</w:t>
      </w:r>
      <w:r>
        <w:rPr>
          <w:rFonts w:hint="eastAsia" w:ascii="仿宋" w:hAnsi="仿宋" w:eastAsia="仿宋" w:cs="宋体"/>
          <w:kern w:val="0"/>
          <w:sz w:val="32"/>
          <w:szCs w:val="32"/>
        </w:rPr>
        <w:t>由省住房和城乡建设厅负责解释，自公布之日起施行。</w:t>
      </w:r>
    </w:p>
    <w:p>
      <w:pPr>
        <w:spacing w:line="640" w:lineRule="exact"/>
        <w:ind w:left="1918" w:leftChars="304" w:hanging="1280" w:hangingChars="400"/>
        <w:rPr>
          <w:rFonts w:hint="eastAsia" w:ascii="仿宋" w:hAnsi="仿宋" w:eastAsia="仿宋" w:cs="宋体"/>
          <w:kern w:val="0"/>
          <w:sz w:val="32"/>
          <w:szCs w:val="32"/>
        </w:rPr>
      </w:pPr>
      <w:r>
        <w:rPr>
          <w:rFonts w:hint="eastAsia" w:ascii="仿宋_GB2312" w:hAnsi="华文仿宋" w:eastAsia="仿宋_GB2312" w:cs="宋体"/>
          <w:kern w:val="0"/>
          <w:sz w:val="32"/>
          <w:szCs w:val="32"/>
          <w:lang w:eastAsia="zh-CN"/>
        </w:rPr>
        <w:t>附件：</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山西省房屋建筑和市政基础设施工程建设项目</w:t>
      </w:r>
      <w:r>
        <w:rPr>
          <w:rFonts w:hint="eastAsia" w:ascii="仿宋" w:hAnsi="仿宋" w:eastAsia="仿宋" w:cs="宋体"/>
          <w:kern w:val="0"/>
          <w:sz w:val="32"/>
          <w:szCs w:val="32"/>
          <w:lang w:eastAsia="zh-CN"/>
        </w:rPr>
        <w:t>管理人员和技能工人</w:t>
      </w:r>
      <w:r>
        <w:rPr>
          <w:rFonts w:hint="eastAsia" w:ascii="仿宋" w:hAnsi="仿宋" w:eastAsia="仿宋" w:cs="宋体"/>
          <w:kern w:val="0"/>
          <w:sz w:val="32"/>
          <w:szCs w:val="32"/>
        </w:rPr>
        <w:t>配备标准</w:t>
      </w:r>
    </w:p>
    <w:p>
      <w:pPr>
        <w:numPr>
          <w:ilvl w:val="0"/>
          <w:numId w:val="0"/>
        </w:numPr>
        <w:spacing w:line="640" w:lineRule="exact"/>
        <w:ind w:left="1916" w:leftChars="760" w:hanging="320" w:hangingChars="100"/>
        <w:rPr>
          <w:rFonts w:hint="eastAsia" w:ascii="仿宋" w:hAnsi="仿宋" w:eastAsia="仿宋" w:cs="宋体"/>
          <w:kern w:val="0"/>
          <w:sz w:val="32"/>
          <w:szCs w:val="32"/>
        </w:rPr>
      </w:pP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房屋建筑工程项目</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市政基础设施工程项目建设规模标准</w:t>
      </w:r>
    </w:p>
    <w:p>
      <w:pPr>
        <w:numPr>
          <w:ilvl w:val="0"/>
          <w:numId w:val="0"/>
        </w:numPr>
        <w:spacing w:line="640" w:lineRule="exact"/>
        <w:rPr>
          <w:rFonts w:hint="default" w:ascii="仿宋" w:hAnsi="仿宋" w:eastAsia="仿宋" w:cs="宋体"/>
          <w:kern w:val="0"/>
          <w:sz w:val="32"/>
          <w:szCs w:val="32"/>
          <w:lang w:val="en-US" w:eastAsia="zh-CN"/>
        </w:rPr>
      </w:pPr>
    </w:p>
    <w:p>
      <w:pPr>
        <w:spacing w:line="640" w:lineRule="exact"/>
        <w:ind w:firstLine="640" w:firstLineChars="200"/>
        <w:rPr>
          <w:rFonts w:hint="eastAsia" w:ascii="仿宋_GB2312" w:hAnsi="华文仿宋" w:eastAsia="仿宋_GB2312" w:cs="宋体"/>
          <w:kern w:val="0"/>
          <w:sz w:val="32"/>
          <w:szCs w:val="32"/>
          <w:lang w:eastAsia="zh-CN"/>
        </w:rPr>
      </w:pPr>
    </w:p>
    <w:p>
      <w:pPr>
        <w:spacing w:line="600" w:lineRule="exact"/>
        <w:rPr>
          <w:rFonts w:hint="eastAsia" w:ascii="仿宋" w:hAnsi="仿宋" w:eastAsia="仿宋" w:cs="仿宋_GB2312"/>
          <w:b/>
          <w:bCs w:val="0"/>
          <w:sz w:val="32"/>
          <w:szCs w:val="32"/>
          <w:lang w:eastAsia="zh-CN"/>
        </w:rPr>
      </w:pPr>
    </w:p>
    <w:p>
      <w:pPr>
        <w:spacing w:line="600" w:lineRule="exact"/>
        <w:rPr>
          <w:rFonts w:hint="eastAsia" w:ascii="仿宋" w:hAnsi="仿宋" w:eastAsia="仿宋" w:cs="仿宋_GB2312"/>
          <w:b/>
          <w:bCs w:val="0"/>
          <w:sz w:val="32"/>
          <w:szCs w:val="32"/>
          <w:lang w:eastAsia="zh-CN"/>
        </w:rPr>
      </w:pPr>
    </w:p>
    <w:p>
      <w:pPr>
        <w:spacing w:line="600" w:lineRule="exact"/>
        <w:rPr>
          <w:rFonts w:hint="eastAsia" w:ascii="仿宋" w:hAnsi="仿宋" w:eastAsia="仿宋" w:cs="仿宋_GB2312"/>
          <w:b/>
          <w:bCs w:val="0"/>
          <w:sz w:val="32"/>
          <w:szCs w:val="32"/>
          <w:lang w:eastAsia="zh-CN"/>
        </w:rPr>
      </w:pPr>
    </w:p>
    <w:p>
      <w:pPr>
        <w:spacing w:line="600" w:lineRule="exact"/>
        <w:rPr>
          <w:rFonts w:hint="eastAsia" w:ascii="仿宋" w:hAnsi="仿宋" w:eastAsia="仿宋" w:cs="仿宋_GB2312"/>
          <w:b/>
          <w:bCs w:val="0"/>
          <w:sz w:val="32"/>
          <w:szCs w:val="32"/>
          <w:lang w:eastAsia="zh-CN"/>
        </w:rPr>
      </w:pPr>
    </w:p>
    <w:p>
      <w:pPr>
        <w:spacing w:line="600" w:lineRule="exact"/>
        <w:rPr>
          <w:rFonts w:hint="eastAsia" w:ascii="仿宋" w:hAnsi="仿宋" w:eastAsia="仿宋" w:cs="仿宋_GB2312"/>
          <w:b/>
          <w:bCs w:val="0"/>
          <w:sz w:val="32"/>
          <w:szCs w:val="32"/>
          <w:lang w:eastAsia="zh-CN"/>
        </w:rPr>
      </w:pPr>
    </w:p>
    <w:p>
      <w:pPr>
        <w:spacing w:line="600" w:lineRule="exact"/>
        <w:rPr>
          <w:rFonts w:hint="eastAsia" w:ascii="仿宋" w:hAnsi="仿宋" w:eastAsia="仿宋" w:cs="仿宋_GB2312"/>
          <w:b/>
          <w:bCs w:val="0"/>
          <w:sz w:val="32"/>
          <w:szCs w:val="32"/>
          <w:lang w:eastAsia="zh-CN"/>
        </w:rPr>
      </w:pPr>
    </w:p>
    <w:p>
      <w:pPr>
        <w:spacing w:line="600" w:lineRule="exact"/>
        <w:rPr>
          <w:rFonts w:hint="eastAsia" w:ascii="仿宋" w:hAnsi="仿宋" w:eastAsia="仿宋" w:cs="仿宋_GB2312"/>
          <w:b/>
          <w:bCs w:val="0"/>
          <w:sz w:val="32"/>
          <w:szCs w:val="32"/>
          <w:lang w:eastAsia="zh-CN"/>
        </w:rPr>
      </w:pPr>
    </w:p>
    <w:p>
      <w:pPr>
        <w:spacing w:line="600" w:lineRule="exact"/>
        <w:rPr>
          <w:rFonts w:hint="eastAsia" w:ascii="Courier New" w:hAnsi="Courier New" w:eastAsia="宋体" w:cs="Courier New"/>
          <w:b/>
          <w:bCs/>
          <w:color w:val="000000"/>
          <w:kern w:val="0"/>
          <w:sz w:val="32"/>
          <w:szCs w:val="32"/>
        </w:rPr>
      </w:pPr>
      <w:r>
        <w:rPr>
          <w:rFonts w:hint="eastAsia" w:ascii="仿宋" w:hAnsi="仿宋" w:eastAsia="仿宋" w:cs="仿宋_GB2312"/>
          <w:b/>
          <w:bCs w:val="0"/>
          <w:sz w:val="32"/>
          <w:szCs w:val="32"/>
          <w:lang w:eastAsia="zh-CN"/>
        </w:rPr>
        <w:br w:type="page"/>
      </w:r>
      <w:r>
        <w:rPr>
          <w:rFonts w:hint="eastAsia" w:ascii="仿宋" w:hAnsi="仿宋" w:eastAsia="仿宋" w:cs="仿宋_GB2312"/>
          <w:b/>
          <w:bCs w:val="0"/>
          <w:sz w:val="32"/>
          <w:szCs w:val="32"/>
          <w:lang w:eastAsia="zh-CN"/>
        </w:rPr>
        <w:t>附件</w:t>
      </w:r>
      <w:r>
        <w:rPr>
          <w:rFonts w:hint="eastAsia" w:ascii="仿宋" w:hAnsi="仿宋" w:eastAsia="仿宋" w:cs="仿宋_GB2312"/>
          <w:b/>
          <w:bCs w:val="0"/>
          <w:sz w:val="32"/>
          <w:szCs w:val="32"/>
          <w:lang w:val="en-US" w:eastAsia="zh-CN"/>
        </w:rPr>
        <w:t xml:space="preserve">1 </w:t>
      </w:r>
      <w:r>
        <w:rPr>
          <w:rFonts w:hint="eastAsia" w:ascii="Courier New" w:hAnsi="Courier New" w:eastAsia="宋体" w:cs="Courier New"/>
          <w:b/>
          <w:bCs/>
          <w:color w:val="000000"/>
          <w:kern w:val="0"/>
          <w:sz w:val="32"/>
          <w:szCs w:val="32"/>
          <w:lang w:val="en-US" w:eastAsia="zh-CN"/>
        </w:rPr>
        <w:t xml:space="preserve">  </w:t>
      </w:r>
      <w:r>
        <w:rPr>
          <w:rFonts w:hint="eastAsia" w:ascii="Courier New" w:hAnsi="Courier New" w:eastAsia="宋体" w:cs="Courier New"/>
          <w:b/>
          <w:bCs/>
          <w:color w:val="000000"/>
          <w:kern w:val="0"/>
          <w:sz w:val="32"/>
          <w:szCs w:val="32"/>
        </w:rPr>
        <w:t>山西省房屋建筑和市政基础设施工程建设项目</w:t>
      </w:r>
    </w:p>
    <w:p>
      <w:pPr>
        <w:spacing w:line="630" w:lineRule="exact"/>
        <w:jc w:val="center"/>
        <w:rPr>
          <w:rFonts w:hint="eastAsia" w:ascii="Courier New" w:hAnsi="Courier New" w:eastAsia="宋体" w:cs="Courier New"/>
          <w:b/>
          <w:bCs/>
          <w:color w:val="000000"/>
          <w:kern w:val="0"/>
          <w:sz w:val="32"/>
          <w:szCs w:val="32"/>
        </w:rPr>
      </w:pPr>
      <w:r>
        <w:rPr>
          <w:rFonts w:hint="eastAsia" w:ascii="Courier New" w:hAnsi="Courier New" w:eastAsia="宋体" w:cs="Courier New"/>
          <w:b/>
          <w:bCs/>
          <w:color w:val="000000"/>
          <w:kern w:val="0"/>
          <w:sz w:val="32"/>
          <w:szCs w:val="32"/>
          <w:lang w:val="en-US" w:eastAsia="zh-CN"/>
        </w:rPr>
        <w:t xml:space="preserve">    </w:t>
      </w:r>
      <w:r>
        <w:rPr>
          <w:rFonts w:hint="eastAsia" w:ascii="Courier New" w:hAnsi="Courier New" w:eastAsia="宋体" w:cs="Courier New"/>
          <w:b/>
          <w:bCs/>
          <w:color w:val="000000"/>
          <w:kern w:val="0"/>
          <w:sz w:val="32"/>
          <w:szCs w:val="32"/>
        </w:rPr>
        <w:t>现场管理人员配备标准</w:t>
      </w:r>
    </w:p>
    <w:p>
      <w:pPr>
        <w:spacing w:line="200" w:lineRule="exact"/>
        <w:jc w:val="center"/>
        <w:rPr>
          <w:rFonts w:hint="eastAsia" w:ascii="方正小标宋简体" w:eastAsia="方正小标宋简体"/>
          <w:sz w:val="44"/>
          <w:szCs w:val="44"/>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1050"/>
        <w:gridCol w:w="2565"/>
        <w:gridCol w:w="4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jc w:val="center"/>
        </w:trPr>
        <w:tc>
          <w:tcPr>
            <w:tcW w:w="8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b/>
                <w:szCs w:val="21"/>
              </w:rPr>
            </w:pPr>
            <w:r>
              <w:rPr>
                <w:rFonts w:hint="eastAsia" w:ascii="仿宋_GB2312"/>
                <w:b/>
                <w:szCs w:val="21"/>
              </w:rPr>
              <w:t>工程</w:t>
            </w:r>
          </w:p>
          <w:p>
            <w:pPr>
              <w:jc w:val="center"/>
              <w:rPr>
                <w:rFonts w:hint="eastAsia" w:ascii="仿宋_GB2312"/>
                <w:b/>
                <w:szCs w:val="21"/>
              </w:rPr>
            </w:pPr>
            <w:r>
              <w:rPr>
                <w:rFonts w:hint="eastAsia" w:ascii="仿宋_GB2312"/>
                <w:b/>
                <w:szCs w:val="21"/>
              </w:rPr>
              <w:t>类别</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b/>
                <w:szCs w:val="21"/>
              </w:rPr>
            </w:pPr>
            <w:r>
              <w:rPr>
                <w:rFonts w:hint="eastAsia" w:ascii="仿宋_GB2312"/>
                <w:b/>
                <w:szCs w:val="21"/>
              </w:rPr>
              <w:t>工程</w:t>
            </w:r>
          </w:p>
          <w:p>
            <w:pPr>
              <w:jc w:val="center"/>
              <w:rPr>
                <w:rFonts w:hint="eastAsia" w:ascii="仿宋_GB2312"/>
                <w:b/>
                <w:szCs w:val="21"/>
              </w:rPr>
            </w:pPr>
            <w:r>
              <w:rPr>
                <w:rFonts w:hint="eastAsia" w:ascii="仿宋_GB2312"/>
                <w:b/>
                <w:szCs w:val="21"/>
              </w:rPr>
              <w:t>规模</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b/>
                <w:szCs w:val="21"/>
              </w:rPr>
            </w:pPr>
            <w:r>
              <w:rPr>
                <w:rFonts w:hint="eastAsia" w:ascii="仿宋_GB2312"/>
                <w:b/>
                <w:szCs w:val="21"/>
              </w:rPr>
              <w:t>施工阶段管理人员</w:t>
            </w:r>
          </w:p>
          <w:p>
            <w:pPr>
              <w:jc w:val="center"/>
              <w:rPr>
                <w:rFonts w:hint="eastAsia" w:ascii="仿宋_GB2312"/>
                <w:b/>
                <w:szCs w:val="21"/>
              </w:rPr>
            </w:pPr>
            <w:r>
              <w:rPr>
                <w:rFonts w:hint="eastAsia" w:ascii="仿宋_GB2312"/>
                <w:b/>
                <w:szCs w:val="21"/>
                <w:lang w:val="en-US" w:eastAsia="zh-CN"/>
              </w:rPr>
              <w:t xml:space="preserve">  </w:t>
            </w:r>
            <w:r>
              <w:rPr>
                <w:rFonts w:hint="eastAsia" w:ascii="仿宋_GB2312"/>
                <w:b/>
                <w:szCs w:val="21"/>
              </w:rPr>
              <w:t>配备最低标准（人）</w:t>
            </w:r>
          </w:p>
        </w:tc>
        <w:tc>
          <w:tcPr>
            <w:tcW w:w="45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b/>
                <w:szCs w:val="21"/>
              </w:rPr>
            </w:pPr>
            <w:r>
              <w:rPr>
                <w:rFonts w:hint="eastAsia" w:ascii="仿宋_GB2312"/>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jc w:val="center"/>
        </w:trPr>
        <w:tc>
          <w:tcPr>
            <w:tcW w:w="868"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房</w:t>
            </w:r>
          </w:p>
          <w:p>
            <w:pPr>
              <w:jc w:val="center"/>
              <w:rPr>
                <w:rFonts w:hint="eastAsia" w:ascii="仿宋_GB2312"/>
                <w:szCs w:val="21"/>
              </w:rPr>
            </w:pPr>
            <w:r>
              <w:rPr>
                <w:rFonts w:hint="eastAsia" w:ascii="仿宋_GB2312"/>
                <w:szCs w:val="21"/>
              </w:rPr>
              <w:t>屋</w:t>
            </w:r>
          </w:p>
          <w:p>
            <w:pPr>
              <w:jc w:val="center"/>
              <w:rPr>
                <w:rFonts w:hint="eastAsia" w:ascii="仿宋_GB2312"/>
                <w:szCs w:val="21"/>
              </w:rPr>
            </w:pPr>
            <w:r>
              <w:rPr>
                <w:rFonts w:hint="eastAsia" w:ascii="仿宋_GB2312"/>
                <w:szCs w:val="21"/>
              </w:rPr>
              <w:t>建</w:t>
            </w:r>
          </w:p>
          <w:p>
            <w:pPr>
              <w:jc w:val="center"/>
              <w:rPr>
                <w:rFonts w:hint="eastAsia" w:ascii="仿宋_GB2312"/>
                <w:szCs w:val="21"/>
              </w:rPr>
            </w:pPr>
            <w:r>
              <w:rPr>
                <w:rFonts w:hint="eastAsia" w:ascii="仿宋_GB2312"/>
                <w:szCs w:val="21"/>
              </w:rPr>
              <w:t>筑</w:t>
            </w:r>
          </w:p>
          <w:p>
            <w:pPr>
              <w:jc w:val="center"/>
              <w:rPr>
                <w:rFonts w:hint="eastAsia" w:ascii="仿宋_GB2312"/>
                <w:szCs w:val="21"/>
              </w:rPr>
            </w:pPr>
            <w:r>
              <w:rPr>
                <w:rFonts w:hint="eastAsia" w:ascii="仿宋_GB2312"/>
                <w:szCs w:val="21"/>
              </w:rPr>
              <w:t>工</w:t>
            </w:r>
          </w:p>
          <w:p>
            <w:pPr>
              <w:jc w:val="center"/>
              <w:rPr>
                <w:rFonts w:hint="eastAsia" w:ascii="仿宋_GB2312"/>
                <w:szCs w:val="21"/>
              </w:rPr>
            </w:pPr>
            <w:r>
              <w:rPr>
                <w:rFonts w:hint="eastAsia" w:ascii="仿宋_GB2312"/>
                <w:szCs w:val="21"/>
              </w:rPr>
              <w:t>程</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小型</w:t>
            </w:r>
          </w:p>
          <w:p>
            <w:pPr>
              <w:jc w:val="center"/>
              <w:rPr>
                <w:rFonts w:hint="eastAsia" w:ascii="仿宋_GB2312"/>
                <w:szCs w:val="21"/>
              </w:rPr>
            </w:pPr>
            <w:r>
              <w:rPr>
                <w:rFonts w:hint="eastAsia" w:ascii="仿宋_GB2312"/>
                <w:szCs w:val="21"/>
              </w:rPr>
              <w:t>工程</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≥5</w:t>
            </w:r>
          </w:p>
        </w:tc>
        <w:tc>
          <w:tcPr>
            <w:tcW w:w="45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sz w:val="18"/>
                <w:szCs w:val="18"/>
              </w:rPr>
            </w:pPr>
            <w:r>
              <w:rPr>
                <w:rFonts w:hint="eastAsia" w:ascii="仿宋_GB2312"/>
                <w:sz w:val="18"/>
                <w:szCs w:val="18"/>
              </w:rPr>
              <w:t>5人包括项目负责人1人、项目技术负责人1人、质量员1人、安全员1人、劳务员和施工员等1人。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9" w:hRule="atLeast"/>
          <w:jc w:val="center"/>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pPr>
              <w:rPr>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中型</w:t>
            </w:r>
          </w:p>
          <w:p>
            <w:pPr>
              <w:jc w:val="center"/>
              <w:rPr>
                <w:rFonts w:hint="eastAsia" w:ascii="仿宋_GB2312"/>
                <w:szCs w:val="21"/>
              </w:rPr>
            </w:pPr>
            <w:r>
              <w:rPr>
                <w:rFonts w:hint="eastAsia" w:ascii="仿宋_GB2312"/>
                <w:szCs w:val="21"/>
              </w:rPr>
              <w:t>工程</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≥7</w:t>
            </w:r>
          </w:p>
        </w:tc>
        <w:tc>
          <w:tcPr>
            <w:tcW w:w="45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sz w:val="18"/>
                <w:szCs w:val="18"/>
              </w:rPr>
            </w:pPr>
            <w:r>
              <w:rPr>
                <w:rFonts w:hint="eastAsia" w:ascii="仿宋_GB2312"/>
                <w:sz w:val="18"/>
                <w:szCs w:val="18"/>
              </w:rPr>
              <w:t xml:space="preserve">7人包括项目负责人1人、项目技术负责人1人、施工员2人、质量员1人、安全员1人、劳务员和材料员等1人。 </w:t>
            </w:r>
          </w:p>
          <w:p>
            <w:pPr>
              <w:rPr>
                <w:rFonts w:hint="eastAsia" w:ascii="仿宋_GB2312"/>
                <w:sz w:val="18"/>
                <w:szCs w:val="18"/>
              </w:rPr>
            </w:pPr>
            <w:r>
              <w:rPr>
                <w:rFonts w:hint="eastAsia" w:ascii="仿宋_GB2312"/>
                <w:sz w:val="18"/>
                <w:szCs w:val="18"/>
              </w:rPr>
              <w:t>单体建筑面积≥10000平方米；高度≥60米；</w:t>
            </w:r>
            <w:r>
              <w:rPr>
                <w:rFonts w:hint="eastAsia" w:ascii="仿宋_GB2312"/>
                <w:color w:val="000000"/>
                <w:sz w:val="18"/>
                <w:szCs w:val="18"/>
              </w:rPr>
              <w:t>群体</w:t>
            </w:r>
            <w:r>
              <w:rPr>
                <w:rFonts w:hint="eastAsia" w:ascii="仿宋_GB2312"/>
                <w:sz w:val="18"/>
                <w:szCs w:val="18"/>
              </w:rPr>
              <w:t>建筑</w:t>
            </w:r>
            <w:r>
              <w:rPr>
                <w:rFonts w:hint="eastAsia" w:ascii="仿宋_GB2312"/>
                <w:color w:val="000000"/>
                <w:sz w:val="18"/>
                <w:szCs w:val="18"/>
              </w:rPr>
              <w:t>面积≥50000平方米</w:t>
            </w:r>
            <w:r>
              <w:rPr>
                <w:rFonts w:hint="eastAsia" w:ascii="仿宋_GB2312"/>
                <w:sz w:val="18"/>
                <w:szCs w:val="18"/>
              </w:rPr>
              <w:t>，超过以上条件之一，增加安全员1人。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5" w:hRule="atLeast"/>
          <w:jc w:val="center"/>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pPr>
              <w:rPr>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大型</w:t>
            </w:r>
          </w:p>
          <w:p>
            <w:pPr>
              <w:jc w:val="center"/>
              <w:rPr>
                <w:rFonts w:hint="eastAsia" w:ascii="仿宋_GB2312"/>
                <w:szCs w:val="21"/>
              </w:rPr>
            </w:pPr>
            <w:r>
              <w:rPr>
                <w:rFonts w:hint="eastAsia" w:ascii="仿宋_GB2312"/>
                <w:szCs w:val="21"/>
              </w:rPr>
              <w:t>工程</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≥9</w:t>
            </w:r>
          </w:p>
        </w:tc>
        <w:tc>
          <w:tcPr>
            <w:tcW w:w="45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sz w:val="18"/>
                <w:szCs w:val="18"/>
              </w:rPr>
            </w:pPr>
            <w:r>
              <w:rPr>
                <w:rFonts w:hint="eastAsia" w:ascii="仿宋_GB2312"/>
                <w:sz w:val="18"/>
                <w:szCs w:val="18"/>
              </w:rPr>
              <w:t xml:space="preserve">9人包括项目负责人1人、项目技术负责人1人、施工员2人、质量员1人、安全员2人、机械员1人、劳务员和材料员等1人。 </w:t>
            </w:r>
          </w:p>
          <w:p>
            <w:pPr>
              <w:rPr>
                <w:rFonts w:hint="eastAsia" w:ascii="仿宋_GB2312"/>
                <w:sz w:val="18"/>
                <w:szCs w:val="18"/>
              </w:rPr>
            </w:pPr>
            <w:r>
              <w:rPr>
                <w:rFonts w:hint="eastAsia" w:ascii="仿宋_GB2312"/>
                <w:sz w:val="18"/>
                <w:szCs w:val="18"/>
              </w:rPr>
              <w:t>单体建筑面积≥50000平方米；高度≥150米；</w:t>
            </w:r>
            <w:r>
              <w:rPr>
                <w:rFonts w:hint="eastAsia" w:ascii="仿宋_GB2312"/>
                <w:color w:val="000000"/>
                <w:sz w:val="18"/>
                <w:szCs w:val="18"/>
              </w:rPr>
              <w:t>群体</w:t>
            </w:r>
            <w:r>
              <w:rPr>
                <w:rFonts w:hint="eastAsia" w:ascii="仿宋_GB2312"/>
                <w:sz w:val="18"/>
                <w:szCs w:val="18"/>
              </w:rPr>
              <w:t>建筑</w:t>
            </w:r>
            <w:r>
              <w:rPr>
                <w:rFonts w:hint="eastAsia" w:ascii="仿宋_GB2312"/>
                <w:color w:val="000000"/>
                <w:sz w:val="18"/>
                <w:szCs w:val="18"/>
              </w:rPr>
              <w:t>面积≥150000平方米，超过以上条件之一，增加安全员1人。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exact"/>
          <w:jc w:val="center"/>
        </w:trPr>
        <w:tc>
          <w:tcPr>
            <w:tcW w:w="868"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市</w:t>
            </w:r>
          </w:p>
          <w:p>
            <w:pPr>
              <w:jc w:val="center"/>
              <w:rPr>
                <w:rFonts w:hint="eastAsia" w:ascii="仿宋_GB2312"/>
                <w:szCs w:val="21"/>
              </w:rPr>
            </w:pPr>
            <w:r>
              <w:rPr>
                <w:rFonts w:hint="eastAsia" w:ascii="仿宋_GB2312"/>
                <w:szCs w:val="21"/>
              </w:rPr>
              <w:t>政</w:t>
            </w:r>
          </w:p>
          <w:p>
            <w:pPr>
              <w:jc w:val="center"/>
              <w:rPr>
                <w:rFonts w:hint="eastAsia" w:ascii="仿宋_GB2312"/>
                <w:szCs w:val="21"/>
              </w:rPr>
            </w:pPr>
            <w:r>
              <w:rPr>
                <w:rFonts w:hint="eastAsia" w:ascii="仿宋_GB2312"/>
                <w:szCs w:val="21"/>
              </w:rPr>
              <w:t>基</w:t>
            </w:r>
          </w:p>
          <w:p>
            <w:pPr>
              <w:jc w:val="center"/>
              <w:rPr>
                <w:rFonts w:hint="eastAsia" w:ascii="仿宋_GB2312"/>
                <w:szCs w:val="21"/>
              </w:rPr>
            </w:pPr>
            <w:r>
              <w:rPr>
                <w:rFonts w:hint="eastAsia" w:ascii="仿宋_GB2312"/>
                <w:szCs w:val="21"/>
              </w:rPr>
              <w:t>础</w:t>
            </w:r>
          </w:p>
          <w:p>
            <w:pPr>
              <w:jc w:val="center"/>
              <w:rPr>
                <w:rFonts w:hint="eastAsia" w:ascii="仿宋_GB2312"/>
                <w:szCs w:val="21"/>
              </w:rPr>
            </w:pPr>
            <w:r>
              <w:rPr>
                <w:rFonts w:hint="eastAsia" w:ascii="仿宋_GB2312"/>
                <w:szCs w:val="21"/>
              </w:rPr>
              <w:t>设</w:t>
            </w:r>
          </w:p>
          <w:p>
            <w:pPr>
              <w:jc w:val="center"/>
              <w:rPr>
                <w:rFonts w:hint="eastAsia" w:ascii="仿宋_GB2312"/>
                <w:szCs w:val="21"/>
              </w:rPr>
            </w:pPr>
            <w:r>
              <w:rPr>
                <w:rFonts w:hint="eastAsia" w:ascii="仿宋_GB2312"/>
                <w:szCs w:val="21"/>
              </w:rPr>
              <w:t>施</w:t>
            </w:r>
          </w:p>
          <w:p>
            <w:pPr>
              <w:jc w:val="center"/>
              <w:rPr>
                <w:rFonts w:hint="eastAsia" w:ascii="仿宋_GB2312"/>
                <w:szCs w:val="21"/>
              </w:rPr>
            </w:pPr>
            <w:r>
              <w:rPr>
                <w:rFonts w:hint="eastAsia" w:ascii="仿宋_GB2312"/>
                <w:szCs w:val="21"/>
              </w:rPr>
              <w:t>工</w:t>
            </w:r>
          </w:p>
          <w:p>
            <w:pPr>
              <w:jc w:val="center"/>
              <w:rPr>
                <w:rFonts w:hint="eastAsia" w:ascii="仿宋_GB2312"/>
                <w:szCs w:val="21"/>
              </w:rPr>
            </w:pPr>
            <w:r>
              <w:rPr>
                <w:rFonts w:hint="eastAsia" w:ascii="仿宋_GB2312"/>
                <w:szCs w:val="21"/>
              </w:rPr>
              <w:t>程</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小型</w:t>
            </w:r>
          </w:p>
          <w:p>
            <w:pPr>
              <w:jc w:val="center"/>
              <w:rPr>
                <w:rFonts w:hint="eastAsia" w:ascii="仿宋_GB2312"/>
                <w:szCs w:val="21"/>
              </w:rPr>
            </w:pPr>
            <w:r>
              <w:rPr>
                <w:rFonts w:hint="eastAsia" w:ascii="仿宋_GB2312"/>
                <w:szCs w:val="21"/>
              </w:rPr>
              <w:t>工程</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≥5</w:t>
            </w:r>
          </w:p>
        </w:tc>
        <w:tc>
          <w:tcPr>
            <w:tcW w:w="45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sz w:val="18"/>
                <w:szCs w:val="18"/>
              </w:rPr>
            </w:pPr>
            <w:r>
              <w:rPr>
                <w:rFonts w:hint="eastAsia" w:ascii="仿宋_GB2312"/>
                <w:sz w:val="18"/>
                <w:szCs w:val="18"/>
              </w:rPr>
              <w:t>5人包括项目负责人1人、项目技术负责人1人、市政施工员1人、安全员1人(持机械员证书兼任机械员)，试验员、材料员和劳务员等1人。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8" w:hRule="atLeast"/>
          <w:jc w:val="center"/>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pPr>
              <w:rPr>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中型</w:t>
            </w:r>
          </w:p>
          <w:p>
            <w:pPr>
              <w:jc w:val="center"/>
              <w:rPr>
                <w:rFonts w:hint="eastAsia" w:ascii="仿宋_GB2312"/>
                <w:szCs w:val="21"/>
              </w:rPr>
            </w:pPr>
            <w:r>
              <w:rPr>
                <w:rFonts w:hint="eastAsia" w:ascii="仿宋_GB2312"/>
                <w:szCs w:val="21"/>
              </w:rPr>
              <w:t>工程</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≥7</w:t>
            </w:r>
          </w:p>
        </w:tc>
        <w:tc>
          <w:tcPr>
            <w:tcW w:w="45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sz w:val="18"/>
                <w:szCs w:val="18"/>
              </w:rPr>
            </w:pPr>
            <w:r>
              <w:rPr>
                <w:rFonts w:hint="eastAsia" w:ascii="仿宋_GB2312"/>
                <w:sz w:val="18"/>
                <w:szCs w:val="18"/>
              </w:rPr>
              <w:t>7人包括项目负责人1人、项目技术负责人1人、市政施工员1人、质量员1人、安全员2人(其中1人持机械员证书兼任机械员)、材料员和劳务员等1人。</w:t>
            </w:r>
          </w:p>
          <w:p>
            <w:pPr>
              <w:rPr>
                <w:rFonts w:hint="eastAsia" w:ascii="仿宋_GB2312"/>
                <w:sz w:val="18"/>
                <w:szCs w:val="18"/>
              </w:rPr>
            </w:pPr>
            <w:r>
              <w:rPr>
                <w:rFonts w:hint="eastAsia" w:ascii="仿宋_GB2312"/>
                <w:sz w:val="18"/>
                <w:szCs w:val="18"/>
              </w:rPr>
              <w:t>1、工程造价≥2000万元，增加安全员1人。</w:t>
            </w:r>
          </w:p>
          <w:p>
            <w:pPr>
              <w:rPr>
                <w:rFonts w:hint="eastAsia" w:ascii="仿宋_GB2312"/>
                <w:sz w:val="18"/>
                <w:szCs w:val="18"/>
              </w:rPr>
            </w:pPr>
            <w:r>
              <w:rPr>
                <w:rFonts w:hint="eastAsia" w:ascii="仿宋_GB2312"/>
                <w:sz w:val="18"/>
                <w:szCs w:val="18"/>
              </w:rPr>
              <w:t>2、城市桥梁、地下交通中的隧道工程、轻轨交通中的桥涵工程，可适当增加施工员、安全员人数。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7" w:hRule="atLeast"/>
          <w:jc w:val="center"/>
        </w:trPr>
        <w:tc>
          <w:tcPr>
            <w:tcW w:w="868" w:type="dxa"/>
            <w:vMerge w:val="continue"/>
            <w:tcBorders>
              <w:top w:val="single" w:color="auto" w:sz="4" w:space="0"/>
              <w:left w:val="single" w:color="auto" w:sz="4" w:space="0"/>
              <w:bottom w:val="single" w:color="auto" w:sz="4" w:space="0"/>
              <w:right w:val="single" w:color="auto" w:sz="4" w:space="0"/>
            </w:tcBorders>
            <w:noWrap w:val="0"/>
            <w:vAlign w:val="center"/>
          </w:tcPr>
          <w:p>
            <w:pPr>
              <w:rPr>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大型</w:t>
            </w:r>
          </w:p>
          <w:p>
            <w:pPr>
              <w:jc w:val="center"/>
              <w:rPr>
                <w:rFonts w:hint="eastAsia" w:ascii="仿宋_GB2312"/>
                <w:szCs w:val="21"/>
              </w:rPr>
            </w:pPr>
            <w:r>
              <w:rPr>
                <w:rFonts w:hint="eastAsia" w:ascii="仿宋_GB2312"/>
                <w:szCs w:val="21"/>
              </w:rPr>
              <w:t>工程</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szCs w:val="21"/>
              </w:rPr>
            </w:pPr>
            <w:r>
              <w:rPr>
                <w:rFonts w:hint="eastAsia" w:ascii="仿宋_GB2312"/>
                <w:szCs w:val="21"/>
              </w:rPr>
              <w:t>≥9</w:t>
            </w:r>
          </w:p>
        </w:tc>
        <w:tc>
          <w:tcPr>
            <w:tcW w:w="45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sz w:val="18"/>
                <w:szCs w:val="18"/>
              </w:rPr>
            </w:pPr>
            <w:r>
              <w:rPr>
                <w:rFonts w:hint="eastAsia" w:ascii="仿宋_GB2312"/>
                <w:sz w:val="18"/>
                <w:szCs w:val="18"/>
              </w:rPr>
              <w:t>9人包括项目负责人1人、项目技术负责人1人、市政施工员1人、质量员1人、安全员</w:t>
            </w:r>
            <w:r>
              <w:rPr>
                <w:rFonts w:ascii="仿宋_GB2312"/>
                <w:sz w:val="18"/>
                <w:szCs w:val="18"/>
              </w:rPr>
              <w:t>3</w:t>
            </w:r>
            <w:r>
              <w:rPr>
                <w:rFonts w:hint="eastAsia" w:ascii="仿宋_GB2312"/>
                <w:sz w:val="18"/>
                <w:szCs w:val="18"/>
              </w:rPr>
              <w:t>人(其中1人持机械员证书兼任机械员)、试验员1人、材料员和劳务员等1人。</w:t>
            </w:r>
          </w:p>
          <w:p>
            <w:pPr>
              <w:rPr>
                <w:rFonts w:hint="eastAsia" w:ascii="仿宋_GB2312"/>
                <w:sz w:val="18"/>
                <w:szCs w:val="18"/>
              </w:rPr>
            </w:pPr>
            <w:r>
              <w:rPr>
                <w:rFonts w:hint="eastAsia" w:ascii="仿宋_GB2312"/>
                <w:sz w:val="18"/>
                <w:szCs w:val="18"/>
              </w:rPr>
              <w:t>1、工程造价≥5000万元，增加安全员1人。</w:t>
            </w:r>
          </w:p>
          <w:p>
            <w:pPr>
              <w:rPr>
                <w:rFonts w:hint="eastAsia" w:ascii="仿宋_GB2312"/>
                <w:sz w:val="18"/>
                <w:szCs w:val="18"/>
              </w:rPr>
            </w:pPr>
            <w:r>
              <w:rPr>
                <w:rFonts w:hint="eastAsia" w:ascii="仿宋_GB2312"/>
                <w:sz w:val="18"/>
                <w:szCs w:val="18"/>
              </w:rPr>
              <w:t>2、城市桥梁、地下交通中的隧道工程、轻轨交通中的桥涵工程，可适当增加施工员、安全员人数。</w:t>
            </w:r>
          </w:p>
        </w:tc>
      </w:tr>
    </w:tbl>
    <w:p>
      <w:pPr>
        <w:autoSpaceDE w:val="0"/>
        <w:autoSpaceDN w:val="0"/>
        <w:adjustRightInd w:val="0"/>
        <w:spacing w:line="578" w:lineRule="exact"/>
        <w:ind w:firstLine="560" w:firstLineChars="200"/>
        <w:jc w:val="left"/>
        <w:rPr>
          <w:rFonts w:hint="eastAsia" w:ascii="仿宋" w:hAnsi="仿宋" w:eastAsia="仿宋" w:cs="仿宋_GB2312"/>
          <w:bCs/>
          <w:sz w:val="28"/>
          <w:szCs w:val="32"/>
        </w:rPr>
      </w:pPr>
      <w:r>
        <w:rPr>
          <w:rFonts w:hint="eastAsia" w:ascii="仿宋" w:hAnsi="仿宋" w:eastAsia="仿宋" w:cs="仿宋_GB2312"/>
          <w:bCs/>
          <w:sz w:val="28"/>
          <w:szCs w:val="32"/>
        </w:rPr>
        <w:t>注：此标准为关键岗位人员最低配备标准，对于复杂的综合性工程以及工期较紧、多班施工作业的工程，在以上配备标准基础上应适当增加施工员、质量员、安全员人数。</w:t>
      </w:r>
    </w:p>
    <w:p>
      <w:pPr>
        <w:spacing w:line="630" w:lineRule="exact"/>
        <w:rPr>
          <w:rFonts w:ascii="仿宋" w:hAnsi="仿宋" w:eastAsia="仿宋" w:cs="仿宋_GB2312"/>
          <w:bCs/>
          <w:sz w:val="32"/>
          <w:szCs w:val="32"/>
        </w:rPr>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pPr>
    </w:p>
    <w:p>
      <w:pPr>
        <w:spacing w:line="630" w:lineRule="exact"/>
        <w:jc w:val="center"/>
        <w:rPr>
          <w:rFonts w:hint="eastAsia" w:ascii="仿宋" w:hAnsi="仿宋" w:eastAsia="仿宋" w:cs="黑体"/>
          <w:b/>
          <w:bCs w:val="0"/>
          <w:sz w:val="32"/>
          <w:szCs w:val="32"/>
        </w:rPr>
      </w:pPr>
      <w:r>
        <w:rPr>
          <w:rFonts w:hint="eastAsia" w:ascii="Courier New" w:hAnsi="Courier New" w:eastAsia="宋体" w:cs="Courier New"/>
          <w:b/>
          <w:bCs/>
          <w:color w:val="000000"/>
          <w:kern w:val="0"/>
          <w:sz w:val="32"/>
          <w:szCs w:val="32"/>
          <w:lang w:eastAsia="zh-CN"/>
        </w:rPr>
        <w:t>技能工人</w:t>
      </w:r>
      <w:r>
        <w:rPr>
          <w:rFonts w:hint="eastAsia" w:ascii="Courier New" w:hAnsi="Courier New" w:eastAsia="宋体" w:cs="Courier New"/>
          <w:b/>
          <w:bCs/>
          <w:color w:val="000000"/>
          <w:kern w:val="0"/>
          <w:sz w:val="32"/>
          <w:szCs w:val="32"/>
        </w:rPr>
        <w:t>各工种中、高级工基本配备</w:t>
      </w:r>
      <w:r>
        <w:rPr>
          <w:rFonts w:hint="eastAsia" w:ascii="Courier New" w:hAnsi="Courier New" w:eastAsia="宋体" w:cs="Courier New"/>
          <w:b/>
          <w:bCs/>
          <w:color w:val="000000"/>
          <w:kern w:val="0"/>
          <w:sz w:val="32"/>
          <w:szCs w:val="32"/>
          <w:lang w:eastAsia="zh-CN"/>
        </w:rPr>
        <w:t>标准</w:t>
      </w:r>
      <w:r>
        <w:rPr>
          <w:rFonts w:hint="eastAsia" w:ascii="Courier New" w:hAnsi="Courier New" w:eastAsia="宋体" w:cs="Courier New"/>
          <w:b/>
          <w:bCs/>
          <w:color w:val="000000"/>
          <w:kern w:val="0"/>
          <w:sz w:val="32"/>
          <w:szCs w:val="32"/>
        </w:rPr>
        <w:t>（%）</w:t>
      </w:r>
    </w:p>
    <w:tbl>
      <w:tblPr>
        <w:tblStyle w:val="9"/>
        <w:tblW w:w="132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17" w:type="dxa"/>
          <w:left w:w="17" w:type="dxa"/>
          <w:bottom w:w="17" w:type="dxa"/>
          <w:right w:w="17" w:type="dxa"/>
        </w:tblCellMar>
      </w:tblPr>
      <w:tblGrid>
        <w:gridCol w:w="1486"/>
        <w:gridCol w:w="670"/>
        <w:gridCol w:w="568"/>
        <w:gridCol w:w="569"/>
        <w:gridCol w:w="569"/>
        <w:gridCol w:w="569"/>
        <w:gridCol w:w="569"/>
        <w:gridCol w:w="569"/>
        <w:gridCol w:w="569"/>
        <w:gridCol w:w="569"/>
        <w:gridCol w:w="569"/>
        <w:gridCol w:w="569"/>
        <w:gridCol w:w="569"/>
        <w:gridCol w:w="569"/>
        <w:gridCol w:w="569"/>
        <w:gridCol w:w="567"/>
        <w:gridCol w:w="567"/>
        <w:gridCol w:w="700"/>
        <w:gridCol w:w="681"/>
        <w:gridCol w:w="567"/>
        <w:gridCol w:w="5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17" w:type="dxa"/>
            <w:left w:w="17" w:type="dxa"/>
            <w:bottom w:w="17" w:type="dxa"/>
            <w:right w:w="17" w:type="dxa"/>
          </w:tblCellMar>
        </w:tblPrEx>
        <w:trPr>
          <w:trHeight w:val="382" w:hRule="atLeast"/>
          <w:jc w:val="center"/>
        </w:trPr>
        <w:tc>
          <w:tcPr>
            <w:tcW w:w="2156" w:type="dxa"/>
            <w:gridSpan w:val="2"/>
            <w:vMerge w:val="restart"/>
            <w:tcBorders>
              <w:tl2br w:val="single" w:color="auto" w:sz="4" w:space="0"/>
            </w:tcBorders>
            <w:noWrap w:val="0"/>
            <w:vAlign w:val="top"/>
          </w:tcPr>
          <w:p>
            <w:pPr>
              <w:autoSpaceDE w:val="0"/>
              <w:autoSpaceDN w:val="0"/>
              <w:adjustRightInd w:val="0"/>
              <w:spacing w:line="280" w:lineRule="exact"/>
              <w:jc w:val="left"/>
              <w:rPr>
                <w:rFonts w:hint="eastAsia" w:ascii="宋体" w:hAnsi="宋体" w:eastAsia="宋体" w:cs="宋体"/>
                <w:sz w:val="21"/>
                <w:szCs w:val="21"/>
              </w:rPr>
            </w:pPr>
            <w:r>
              <w:rPr>
                <w:rFonts w:hint="eastAsia" w:ascii="宋体" w:hAnsi="宋体" w:eastAsia="宋体" w:cs="宋体"/>
                <w:sz w:val="21"/>
                <w:szCs w:val="21"/>
              </w:rPr>
              <w:t xml:space="preserve">         工种</w:t>
            </w:r>
          </w:p>
          <w:p>
            <w:pPr>
              <w:autoSpaceDE w:val="0"/>
              <w:autoSpaceDN w:val="0"/>
              <w:adjustRightInd w:val="0"/>
              <w:spacing w:line="280" w:lineRule="exact"/>
              <w:jc w:val="left"/>
              <w:rPr>
                <w:rFonts w:hint="eastAsia" w:ascii="宋体" w:hAnsi="宋体" w:eastAsia="宋体" w:cs="宋体"/>
                <w:sz w:val="21"/>
                <w:szCs w:val="21"/>
              </w:rPr>
            </w:pPr>
          </w:p>
          <w:p>
            <w:pPr>
              <w:autoSpaceDE w:val="0"/>
              <w:autoSpaceDN w:val="0"/>
              <w:adjustRightInd w:val="0"/>
              <w:spacing w:line="280" w:lineRule="exact"/>
              <w:jc w:val="left"/>
              <w:rPr>
                <w:rFonts w:hint="eastAsia" w:ascii="宋体" w:hAnsi="宋体" w:eastAsia="宋体" w:cs="宋体"/>
                <w:sz w:val="21"/>
                <w:szCs w:val="21"/>
              </w:rPr>
            </w:pPr>
          </w:p>
          <w:p>
            <w:pPr>
              <w:autoSpaceDE w:val="0"/>
              <w:autoSpaceDN w:val="0"/>
              <w:adjustRightInd w:val="0"/>
              <w:spacing w:line="280" w:lineRule="exact"/>
              <w:jc w:val="left"/>
              <w:rPr>
                <w:rFonts w:hint="eastAsia" w:ascii="宋体" w:hAnsi="宋体" w:eastAsia="宋体" w:cs="宋体"/>
                <w:sz w:val="21"/>
                <w:szCs w:val="21"/>
              </w:rPr>
            </w:pPr>
            <w:r>
              <w:rPr>
                <w:rFonts w:hint="eastAsia" w:ascii="宋体" w:hAnsi="宋体" w:eastAsia="宋体" w:cs="宋体"/>
                <w:sz w:val="21"/>
                <w:szCs w:val="21"/>
              </w:rPr>
              <w:t>工程类别</w:t>
            </w:r>
          </w:p>
        </w:tc>
        <w:tc>
          <w:tcPr>
            <w:tcW w:w="11045" w:type="dxa"/>
            <w:gridSpan w:val="19"/>
            <w:noWrap w:val="0"/>
            <w:vAlign w:val="top"/>
          </w:tcPr>
          <w:p>
            <w:pPr>
              <w:spacing w:line="280" w:lineRule="exact"/>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技能工人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17" w:type="dxa"/>
            <w:left w:w="17" w:type="dxa"/>
            <w:bottom w:w="17" w:type="dxa"/>
            <w:right w:w="17" w:type="dxa"/>
          </w:tblCellMar>
        </w:tblPrEx>
        <w:trPr>
          <w:trHeight w:val="1471" w:hRule="atLeast"/>
          <w:jc w:val="center"/>
        </w:trPr>
        <w:tc>
          <w:tcPr>
            <w:tcW w:w="2156" w:type="dxa"/>
            <w:gridSpan w:val="2"/>
            <w:vMerge w:val="continue"/>
            <w:tcBorders>
              <w:tl2br w:val="single" w:color="auto" w:sz="4" w:space="0"/>
            </w:tcBorders>
            <w:noWrap w:val="0"/>
            <w:vAlign w:val="top"/>
          </w:tcPr>
          <w:p>
            <w:pPr>
              <w:autoSpaceDE w:val="0"/>
              <w:autoSpaceDN w:val="0"/>
              <w:adjustRightInd w:val="0"/>
              <w:spacing w:line="280" w:lineRule="exact"/>
              <w:jc w:val="left"/>
              <w:rPr>
                <w:rFonts w:hint="eastAsia" w:ascii="宋体" w:hAnsi="宋体" w:eastAsia="宋体" w:cs="宋体"/>
                <w:sz w:val="21"/>
                <w:szCs w:val="21"/>
              </w:rPr>
            </w:pPr>
          </w:p>
        </w:tc>
        <w:tc>
          <w:tcPr>
            <w:tcW w:w="568"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钢</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筋</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工</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砌筑工</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混凝土</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模板工</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木工</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焊工</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装饰装修工</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石工</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管</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工</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防水工</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抹灰工</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测量工</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防腐保温工</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筑路工</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桥隧工</w:t>
            </w:r>
          </w:p>
        </w:tc>
        <w:tc>
          <w:tcPr>
            <w:tcW w:w="700"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电气设备安装工</w:t>
            </w:r>
          </w:p>
        </w:tc>
        <w:tc>
          <w:tcPr>
            <w:tcW w:w="681"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建筑门窗幕墙安装工</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绿化工</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桩机操作工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17" w:type="dxa"/>
            <w:left w:w="17" w:type="dxa"/>
            <w:bottom w:w="17" w:type="dxa"/>
            <w:right w:w="17" w:type="dxa"/>
          </w:tblCellMar>
        </w:tblPrEx>
        <w:trPr>
          <w:trHeight w:val="1474" w:hRule="atLeast"/>
          <w:jc w:val="center"/>
        </w:trPr>
        <w:tc>
          <w:tcPr>
            <w:tcW w:w="1486" w:type="dxa"/>
            <w:noWrap w:val="0"/>
            <w:vAlign w:val="center"/>
          </w:tcPr>
          <w:p>
            <w:pPr>
              <w:autoSpaceDE w:val="0"/>
              <w:autoSpaceDN w:val="0"/>
              <w:adjustRightInd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房屋建筑及市政基础设施工程</w:t>
            </w:r>
          </w:p>
        </w:tc>
        <w:tc>
          <w:tcPr>
            <w:tcW w:w="670"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大型</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工程</w:t>
            </w:r>
          </w:p>
        </w:tc>
        <w:tc>
          <w:tcPr>
            <w:tcW w:w="568"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700"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681"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≥3</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≥15</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17" w:type="dxa"/>
            <w:left w:w="17" w:type="dxa"/>
            <w:bottom w:w="17" w:type="dxa"/>
            <w:right w:w="17" w:type="dxa"/>
          </w:tblCellMar>
        </w:tblPrEx>
        <w:trPr>
          <w:trHeight w:val="1468" w:hRule="atLeast"/>
          <w:jc w:val="center"/>
        </w:trPr>
        <w:tc>
          <w:tcPr>
            <w:tcW w:w="1486" w:type="dxa"/>
            <w:noWrap w:val="0"/>
            <w:vAlign w:val="center"/>
          </w:tcPr>
          <w:p>
            <w:pPr>
              <w:autoSpaceDE w:val="0"/>
              <w:autoSpaceDN w:val="0"/>
              <w:adjustRightInd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房屋建筑及市政基础设施工程</w:t>
            </w:r>
          </w:p>
        </w:tc>
        <w:tc>
          <w:tcPr>
            <w:tcW w:w="670"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中型</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工程</w:t>
            </w:r>
          </w:p>
        </w:tc>
        <w:tc>
          <w:tcPr>
            <w:tcW w:w="568"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700"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681"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≥2</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高级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≥1</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或</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17" w:type="dxa"/>
            <w:left w:w="17" w:type="dxa"/>
            <w:bottom w:w="17" w:type="dxa"/>
            <w:right w:w="17" w:type="dxa"/>
          </w:tblCellMar>
        </w:tblPrEx>
        <w:trPr>
          <w:trHeight w:val="883" w:hRule="atLeast"/>
          <w:jc w:val="center"/>
        </w:trPr>
        <w:tc>
          <w:tcPr>
            <w:tcW w:w="1486" w:type="dxa"/>
            <w:noWrap w:val="0"/>
            <w:vAlign w:val="center"/>
          </w:tcPr>
          <w:p>
            <w:pPr>
              <w:autoSpaceDE w:val="0"/>
              <w:autoSpaceDN w:val="0"/>
              <w:adjustRightInd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房屋建筑及市政基础设施工程</w:t>
            </w:r>
          </w:p>
        </w:tc>
        <w:tc>
          <w:tcPr>
            <w:tcW w:w="670"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小型</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工程</w:t>
            </w:r>
          </w:p>
        </w:tc>
        <w:tc>
          <w:tcPr>
            <w:tcW w:w="568"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9"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700"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681"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567" w:type="dxa"/>
            <w:noWrap w:val="0"/>
            <w:vAlign w:val="center"/>
          </w:tcPr>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中级</w:t>
            </w:r>
          </w:p>
          <w:p>
            <w:pPr>
              <w:spacing w:line="280" w:lineRule="exact"/>
              <w:jc w:val="center"/>
              <w:rPr>
                <w:rFonts w:hint="eastAsia" w:ascii="宋体" w:hAnsi="宋体" w:eastAsia="宋体" w:cs="宋体"/>
                <w:sz w:val="21"/>
                <w:szCs w:val="21"/>
              </w:rPr>
            </w:pPr>
            <w:r>
              <w:rPr>
                <w:rFonts w:hint="eastAsia" w:ascii="宋体" w:hAnsi="宋体" w:eastAsia="宋体" w:cs="宋体"/>
                <w:sz w:val="21"/>
                <w:szCs w:val="21"/>
              </w:rPr>
              <w:t>≥5</w:t>
            </w:r>
          </w:p>
        </w:tc>
      </w:tr>
    </w:tbl>
    <w:p>
      <w:pPr>
        <w:keepNext w:val="0"/>
        <w:keepLines w:val="0"/>
        <w:pageBreakBefore w:val="0"/>
        <w:widowControl w:val="0"/>
        <w:kinsoku/>
        <w:wordWrap/>
        <w:overflowPunct/>
        <w:topLinePunct w:val="0"/>
        <w:autoSpaceDE w:val="0"/>
        <w:autoSpaceDN w:val="0"/>
        <w:bidi w:val="0"/>
        <w:adjustRightInd w:val="0"/>
        <w:snapToGrid/>
        <w:spacing w:line="400" w:lineRule="exact"/>
        <w:ind w:firstLine="481" w:firstLineChars="200"/>
        <w:textAlignment w:val="auto"/>
        <w:rPr>
          <w:rFonts w:ascii="仿宋" w:hAnsi="仿宋" w:eastAsia="仿宋" w:cs="仿宋_GB2312"/>
          <w:bCs/>
          <w:color w:val="auto"/>
          <w:kern w:val="0"/>
          <w:sz w:val="24"/>
          <w:szCs w:val="28"/>
        </w:rPr>
      </w:pPr>
      <w:r>
        <w:rPr>
          <w:rFonts w:hint="eastAsia" w:ascii="仿宋" w:hAnsi="仿宋" w:eastAsia="仿宋" w:cs="仿宋_GB2312"/>
          <w:b/>
          <w:bCs w:val="0"/>
          <w:sz w:val="24"/>
          <w:szCs w:val="28"/>
        </w:rPr>
        <w:t>注：</w:t>
      </w:r>
      <w:r>
        <w:rPr>
          <w:rFonts w:hint="eastAsia" w:ascii="仿宋" w:hAnsi="仿宋" w:eastAsia="仿宋" w:cs="仿宋_GB2312"/>
          <w:bCs/>
          <w:color w:val="auto"/>
          <w:sz w:val="24"/>
          <w:szCs w:val="28"/>
        </w:rPr>
        <w:t>1.各类工程项目现场</w:t>
      </w:r>
      <w:r>
        <w:rPr>
          <w:rFonts w:hint="eastAsia" w:ascii="仿宋" w:hAnsi="仿宋" w:eastAsia="仿宋" w:cs="宋体"/>
          <w:color w:val="auto"/>
          <w:kern w:val="0"/>
          <w:sz w:val="24"/>
          <w:szCs w:val="28"/>
          <w:lang w:eastAsia="zh-CN"/>
        </w:rPr>
        <w:t>技能工人、</w:t>
      </w:r>
      <w:r>
        <w:rPr>
          <w:rFonts w:hint="eastAsia" w:ascii="仿宋" w:hAnsi="仿宋" w:eastAsia="仿宋" w:cs="仿宋_GB2312"/>
          <w:bCs/>
          <w:color w:val="auto"/>
          <w:sz w:val="24"/>
          <w:szCs w:val="28"/>
        </w:rPr>
        <w:t>特种作业人员</w:t>
      </w:r>
      <w:r>
        <w:rPr>
          <w:rFonts w:hint="eastAsia" w:ascii="仿宋" w:hAnsi="仿宋" w:eastAsia="仿宋" w:cs="仿宋_GB2312"/>
          <w:bCs/>
          <w:color w:val="auto"/>
          <w:sz w:val="24"/>
          <w:szCs w:val="28"/>
          <w:lang w:eastAsia="zh-CN"/>
        </w:rPr>
        <w:t>应</w:t>
      </w:r>
      <w:r>
        <w:rPr>
          <w:rFonts w:hint="eastAsia" w:ascii="仿宋" w:hAnsi="仿宋" w:eastAsia="仿宋" w:cs="仿宋_GB2312"/>
          <w:bCs/>
          <w:color w:val="auto"/>
          <w:sz w:val="24"/>
          <w:szCs w:val="28"/>
        </w:rPr>
        <w:t>100%的持证上岗，其中中级</w:t>
      </w:r>
      <w:r>
        <w:rPr>
          <w:rFonts w:hint="eastAsia" w:ascii="仿宋" w:hAnsi="仿宋" w:eastAsia="仿宋" w:cs="仿宋_GB2312"/>
          <w:bCs/>
          <w:color w:val="auto"/>
          <w:sz w:val="24"/>
          <w:szCs w:val="28"/>
          <w:lang w:eastAsia="zh-CN"/>
        </w:rPr>
        <w:t>技能工人</w:t>
      </w:r>
      <w:r>
        <w:rPr>
          <w:rFonts w:hint="eastAsia" w:ascii="仿宋" w:hAnsi="仿宋" w:eastAsia="仿宋" w:cs="仿宋_GB2312"/>
          <w:bCs/>
          <w:color w:val="auto"/>
          <w:sz w:val="24"/>
          <w:szCs w:val="28"/>
        </w:rPr>
        <w:t>占</w:t>
      </w:r>
      <w:r>
        <w:rPr>
          <w:rFonts w:hint="eastAsia" w:ascii="仿宋" w:hAnsi="仿宋" w:eastAsia="仿宋" w:cs="仿宋_GB2312"/>
          <w:bCs/>
          <w:color w:val="auto"/>
          <w:sz w:val="24"/>
          <w:szCs w:val="28"/>
          <w:lang w:eastAsia="zh-CN"/>
        </w:rPr>
        <w:t>技能工人</w:t>
      </w:r>
      <w:r>
        <w:rPr>
          <w:rFonts w:hint="eastAsia" w:ascii="仿宋" w:hAnsi="仿宋" w:eastAsia="仿宋" w:cs="仿宋_GB2312"/>
          <w:bCs/>
          <w:color w:val="auto"/>
          <w:sz w:val="24"/>
          <w:szCs w:val="28"/>
        </w:rPr>
        <w:t>总数比例应不低于20%，高级工</w:t>
      </w:r>
      <w:r>
        <w:rPr>
          <w:rFonts w:hint="eastAsia" w:ascii="仿宋" w:hAnsi="仿宋" w:eastAsia="仿宋" w:cs="仿宋_GB2312"/>
          <w:bCs/>
          <w:color w:val="auto"/>
          <w:sz w:val="24"/>
          <w:szCs w:val="28"/>
          <w:lang w:eastAsia="zh-CN"/>
        </w:rPr>
        <w:t>及以上等级</w:t>
      </w:r>
      <w:r>
        <w:rPr>
          <w:rFonts w:hint="eastAsia" w:ascii="仿宋" w:hAnsi="仿宋" w:eastAsia="仿宋" w:cs="仿宋_GB2312"/>
          <w:bCs/>
          <w:color w:val="auto"/>
          <w:sz w:val="24"/>
          <w:szCs w:val="28"/>
        </w:rPr>
        <w:t>应不低于5%。</w:t>
      </w:r>
    </w:p>
    <w:p>
      <w:pPr>
        <w:keepNext w:val="0"/>
        <w:keepLines w:val="0"/>
        <w:pageBreakBefore w:val="0"/>
        <w:widowControl w:val="0"/>
        <w:numPr>
          <w:ilvl w:val="0"/>
          <w:numId w:val="2"/>
        </w:numPr>
        <w:kinsoku/>
        <w:wordWrap/>
        <w:overflowPunct/>
        <w:topLinePunct w:val="0"/>
        <w:bidi w:val="0"/>
        <w:snapToGrid/>
        <w:spacing w:line="400" w:lineRule="exact"/>
        <w:ind w:firstLine="480" w:firstLineChars="200"/>
        <w:textAlignment w:val="auto"/>
        <w:rPr>
          <w:rFonts w:ascii="仿宋" w:hAnsi="仿宋" w:eastAsia="仿宋" w:cs="仿宋_GB2312"/>
          <w:bCs/>
          <w:color w:val="auto"/>
          <w:sz w:val="24"/>
          <w:szCs w:val="28"/>
        </w:rPr>
      </w:pPr>
      <w:r>
        <w:rPr>
          <w:rFonts w:hint="eastAsia" w:ascii="仿宋" w:hAnsi="仿宋" w:eastAsia="仿宋" w:cs="仿宋_GB2312"/>
          <w:bCs/>
          <w:color w:val="auto"/>
          <w:sz w:val="24"/>
          <w:szCs w:val="28"/>
        </w:rPr>
        <w:t>技能人员应根据不同的施工内容、施工阶段及相关专业进行配备。各级别工人比例计算以相应工种的工人总数为基数，不足一人按一人计算。</w:t>
      </w:r>
    </w:p>
    <w:p>
      <w:pPr>
        <w:keepNext w:val="0"/>
        <w:keepLines w:val="0"/>
        <w:pageBreakBefore w:val="0"/>
        <w:widowControl w:val="0"/>
        <w:numPr>
          <w:ilvl w:val="0"/>
          <w:numId w:val="2"/>
        </w:numPr>
        <w:kinsoku/>
        <w:wordWrap/>
        <w:overflowPunct/>
        <w:topLinePunct w:val="0"/>
        <w:bidi w:val="0"/>
        <w:snapToGrid/>
        <w:spacing w:line="400" w:lineRule="exact"/>
        <w:ind w:firstLine="480" w:firstLineChars="200"/>
        <w:textAlignment w:val="auto"/>
        <w:rPr>
          <w:rFonts w:ascii="仿宋" w:hAnsi="仿宋" w:eastAsia="仿宋" w:cs="仿宋_GB2312"/>
          <w:bCs/>
          <w:color w:val="auto"/>
          <w:sz w:val="24"/>
          <w:szCs w:val="28"/>
        </w:rPr>
      </w:pPr>
      <w:r>
        <w:rPr>
          <w:rFonts w:hint="eastAsia" w:ascii="仿宋" w:hAnsi="仿宋" w:eastAsia="仿宋" w:cs="仿宋_GB2312"/>
          <w:bCs/>
          <w:color w:val="auto"/>
          <w:sz w:val="24"/>
          <w:szCs w:val="28"/>
          <w:lang w:eastAsia="zh-CN"/>
        </w:rPr>
        <w:t>依据《人力资源社会保障部关于健全完善新时代技能人才职业技能等级制度的意见（试行）》文件，高级工还包括技师、高级技师、特级技师、首席技师。</w:t>
      </w:r>
    </w:p>
    <w:p>
      <w:pPr>
        <w:rPr>
          <w:rFonts w:hint="eastAsia"/>
          <w:lang w:val="en-US" w:eastAsia="zh-CN"/>
        </w:rPr>
      </w:pPr>
    </w:p>
    <w:tbl>
      <w:tblPr>
        <w:tblStyle w:val="9"/>
        <w:tblpPr w:leftFromText="180" w:rightFromText="180" w:vertAnchor="page" w:horzAnchor="margin" w:tblpXSpec="center" w:tblpY="422"/>
        <w:tblW w:w="0" w:type="auto"/>
        <w:tblInd w:w="0" w:type="dxa"/>
        <w:tblLayout w:type="fixed"/>
        <w:tblCellMar>
          <w:top w:w="0" w:type="dxa"/>
          <w:left w:w="108" w:type="dxa"/>
          <w:bottom w:w="0" w:type="dxa"/>
          <w:right w:w="108" w:type="dxa"/>
        </w:tblCellMar>
      </w:tblPr>
      <w:tblGrid>
        <w:gridCol w:w="640"/>
        <w:gridCol w:w="2020"/>
        <w:gridCol w:w="2980"/>
        <w:gridCol w:w="940"/>
        <w:gridCol w:w="1960"/>
        <w:gridCol w:w="1960"/>
        <w:gridCol w:w="1960"/>
        <w:gridCol w:w="2120"/>
      </w:tblGrid>
      <w:tr>
        <w:tblPrEx>
          <w:tblCellMar>
            <w:top w:w="0" w:type="dxa"/>
            <w:left w:w="108" w:type="dxa"/>
            <w:bottom w:w="0" w:type="dxa"/>
            <w:right w:w="108" w:type="dxa"/>
          </w:tblCellMar>
        </w:tblPrEx>
        <w:trPr>
          <w:trHeight w:val="390" w:hRule="atLeast"/>
        </w:trPr>
        <w:tc>
          <w:tcPr>
            <w:tcW w:w="14580" w:type="dxa"/>
            <w:gridSpan w:val="8"/>
            <w:tcBorders>
              <w:top w:val="nil"/>
              <w:left w:val="nil"/>
              <w:bottom w:val="nil"/>
              <w:right w:val="nil"/>
            </w:tcBorders>
            <w:noWrap w:val="0"/>
            <w:vAlign w:val="center"/>
          </w:tcPr>
          <w:p>
            <w:pPr>
              <w:widowControl/>
              <w:rPr>
                <w:rFonts w:hint="eastAsia" w:ascii="Courier New" w:hAnsi="Courier New" w:cs="Courier New"/>
                <w:b/>
                <w:bCs/>
                <w:color w:val="000000"/>
                <w:kern w:val="0"/>
                <w:sz w:val="28"/>
                <w:szCs w:val="32"/>
              </w:rPr>
            </w:pPr>
            <w:bookmarkStart w:id="10" w:name="_Toc339559010"/>
            <w:bookmarkStart w:id="11" w:name="_Toc338984757"/>
            <w:bookmarkStart w:id="12" w:name="_Toc339728181"/>
          </w:p>
          <w:p>
            <w:pPr>
              <w:widowControl/>
              <w:jc w:val="both"/>
              <w:rPr>
                <w:rFonts w:ascii="Courier New" w:hAnsi="Courier New" w:cs="Courier New"/>
                <w:b/>
                <w:bCs/>
                <w:color w:val="000000"/>
                <w:kern w:val="0"/>
                <w:sz w:val="32"/>
                <w:szCs w:val="32"/>
              </w:rPr>
            </w:pPr>
            <w:r>
              <w:rPr>
                <w:rFonts w:hint="eastAsia" w:ascii="Courier New" w:hAnsi="Courier New" w:cs="Courier New"/>
                <w:b w:val="0"/>
                <w:bCs w:val="0"/>
                <w:color w:val="000000"/>
                <w:kern w:val="0"/>
                <w:sz w:val="32"/>
                <w:szCs w:val="32"/>
                <w:lang w:eastAsia="zh-CN"/>
              </w:rPr>
              <w:t>附件</w:t>
            </w:r>
            <w:r>
              <w:rPr>
                <w:rFonts w:hint="eastAsia" w:ascii="Courier New" w:hAnsi="Courier New" w:cs="Courier New"/>
                <w:b w:val="0"/>
                <w:bCs w:val="0"/>
                <w:color w:val="000000"/>
                <w:kern w:val="0"/>
                <w:sz w:val="32"/>
                <w:szCs w:val="32"/>
                <w:lang w:val="en-US" w:eastAsia="zh-CN"/>
              </w:rPr>
              <w:t xml:space="preserve">2 </w:t>
            </w:r>
            <w:r>
              <w:rPr>
                <w:rFonts w:hint="eastAsia" w:ascii="Courier New" w:hAnsi="Courier New" w:cs="Courier New"/>
                <w:b/>
                <w:bCs/>
                <w:color w:val="000000"/>
                <w:kern w:val="0"/>
                <w:sz w:val="32"/>
                <w:szCs w:val="32"/>
                <w:lang w:val="en-US" w:eastAsia="zh-CN"/>
              </w:rPr>
              <w:t xml:space="preserve">                           </w:t>
            </w:r>
            <w:r>
              <w:rPr>
                <w:rFonts w:ascii="Courier New" w:hAnsi="Courier New" w:cs="Courier New"/>
                <w:b/>
                <w:bCs/>
                <w:color w:val="000000"/>
                <w:kern w:val="0"/>
                <w:sz w:val="32"/>
                <w:szCs w:val="32"/>
              </w:rPr>
              <w:t>房屋建筑工程</w:t>
            </w:r>
            <w:r>
              <w:rPr>
                <w:rFonts w:hint="eastAsia" w:ascii="Courier New" w:hAnsi="Courier New" w:cs="Courier New"/>
                <w:b/>
                <w:bCs/>
                <w:color w:val="000000"/>
                <w:kern w:val="0"/>
                <w:sz w:val="32"/>
                <w:szCs w:val="32"/>
              </w:rPr>
              <w:t>建设</w:t>
            </w:r>
            <w:r>
              <w:rPr>
                <w:rFonts w:ascii="Courier New" w:hAnsi="Courier New" w:cs="Courier New"/>
                <w:b/>
                <w:bCs/>
                <w:color w:val="000000"/>
                <w:kern w:val="0"/>
                <w:sz w:val="32"/>
                <w:szCs w:val="32"/>
              </w:rPr>
              <w:t>规模标准</w:t>
            </w:r>
          </w:p>
        </w:tc>
      </w:tr>
      <w:tr>
        <w:tblPrEx>
          <w:tblCellMar>
            <w:top w:w="0" w:type="dxa"/>
            <w:left w:w="108" w:type="dxa"/>
            <w:bottom w:w="0" w:type="dxa"/>
            <w:right w:w="108" w:type="dxa"/>
          </w:tblCellMar>
        </w:tblPrEx>
        <w:trPr>
          <w:trHeight w:val="285" w:hRule="atLeast"/>
        </w:trPr>
        <w:tc>
          <w:tcPr>
            <w:tcW w:w="640" w:type="dxa"/>
            <w:vMerge w:val="restart"/>
            <w:tcBorders>
              <w:top w:val="single" w:color="auto" w:sz="8" w:space="0"/>
              <w:left w:val="single" w:color="auto" w:sz="4" w:space="0"/>
              <w:bottom w:val="single" w:color="auto" w:sz="8" w:space="0"/>
              <w:right w:val="single" w:color="auto" w:sz="4" w:space="0"/>
            </w:tcBorders>
            <w:noWrap w:val="0"/>
            <w:vAlign w:val="center"/>
          </w:tcPr>
          <w:p>
            <w:pPr>
              <w:widowControl/>
              <w:jc w:val="center"/>
              <w:rPr>
                <w:rFonts w:ascii="Courier New" w:hAnsi="Courier New" w:cs="Courier New"/>
                <w:b/>
                <w:bCs/>
                <w:color w:val="000000"/>
                <w:kern w:val="0"/>
                <w:sz w:val="24"/>
                <w:szCs w:val="24"/>
              </w:rPr>
            </w:pPr>
            <w:r>
              <w:rPr>
                <w:rFonts w:ascii="Courier New" w:hAnsi="Courier New" w:cs="Courier New"/>
                <w:b/>
                <w:bCs/>
                <w:color w:val="000000"/>
                <w:kern w:val="0"/>
                <w:sz w:val="24"/>
                <w:szCs w:val="24"/>
              </w:rPr>
              <w:t>序号</w:t>
            </w:r>
          </w:p>
        </w:tc>
        <w:tc>
          <w:tcPr>
            <w:tcW w:w="2020" w:type="dxa"/>
            <w:vMerge w:val="restart"/>
            <w:tcBorders>
              <w:top w:val="single" w:color="auto" w:sz="8" w:space="0"/>
              <w:left w:val="single" w:color="auto" w:sz="4" w:space="0"/>
              <w:bottom w:val="single" w:color="auto" w:sz="8" w:space="0"/>
              <w:right w:val="single" w:color="auto" w:sz="4" w:space="0"/>
            </w:tcBorders>
            <w:noWrap w:val="0"/>
            <w:vAlign w:val="center"/>
          </w:tcPr>
          <w:p>
            <w:pPr>
              <w:widowControl/>
              <w:jc w:val="center"/>
              <w:rPr>
                <w:rFonts w:ascii="Courier New" w:hAnsi="Courier New" w:cs="Courier New"/>
                <w:b/>
                <w:bCs/>
                <w:color w:val="000000"/>
                <w:kern w:val="0"/>
                <w:sz w:val="24"/>
                <w:szCs w:val="24"/>
              </w:rPr>
            </w:pPr>
            <w:r>
              <w:rPr>
                <w:rFonts w:ascii="Courier New" w:hAnsi="Courier New" w:cs="Courier New"/>
                <w:b/>
                <w:bCs/>
                <w:color w:val="000000"/>
                <w:kern w:val="0"/>
                <w:sz w:val="24"/>
                <w:szCs w:val="24"/>
              </w:rPr>
              <w:t>工程类别</w:t>
            </w:r>
          </w:p>
        </w:tc>
        <w:tc>
          <w:tcPr>
            <w:tcW w:w="2980" w:type="dxa"/>
            <w:vMerge w:val="restart"/>
            <w:tcBorders>
              <w:top w:val="single" w:color="auto" w:sz="8" w:space="0"/>
              <w:left w:val="single" w:color="auto" w:sz="4" w:space="0"/>
              <w:bottom w:val="single" w:color="auto" w:sz="8" w:space="0"/>
              <w:right w:val="single" w:color="auto" w:sz="4" w:space="0"/>
            </w:tcBorders>
            <w:noWrap w:val="0"/>
            <w:vAlign w:val="center"/>
          </w:tcPr>
          <w:p>
            <w:pPr>
              <w:widowControl/>
              <w:jc w:val="center"/>
              <w:rPr>
                <w:rFonts w:ascii="Courier New" w:hAnsi="Courier New" w:cs="Courier New"/>
                <w:b/>
                <w:bCs/>
                <w:color w:val="000000"/>
                <w:kern w:val="0"/>
                <w:sz w:val="24"/>
                <w:szCs w:val="24"/>
              </w:rPr>
            </w:pPr>
            <w:r>
              <w:rPr>
                <w:rFonts w:ascii="Courier New" w:hAnsi="Courier New" w:cs="Courier New"/>
                <w:b/>
                <w:bCs/>
                <w:color w:val="000000"/>
                <w:kern w:val="0"/>
                <w:sz w:val="24"/>
                <w:szCs w:val="24"/>
              </w:rPr>
              <w:t>项目名称</w:t>
            </w:r>
          </w:p>
        </w:tc>
        <w:tc>
          <w:tcPr>
            <w:tcW w:w="940" w:type="dxa"/>
            <w:vMerge w:val="restart"/>
            <w:tcBorders>
              <w:top w:val="single" w:color="auto" w:sz="8" w:space="0"/>
              <w:left w:val="single" w:color="auto" w:sz="4" w:space="0"/>
              <w:bottom w:val="single" w:color="auto" w:sz="8" w:space="0"/>
              <w:right w:val="single" w:color="auto" w:sz="4" w:space="0"/>
            </w:tcBorders>
            <w:noWrap w:val="0"/>
            <w:vAlign w:val="center"/>
          </w:tcPr>
          <w:p>
            <w:pPr>
              <w:widowControl/>
              <w:jc w:val="center"/>
              <w:rPr>
                <w:rFonts w:ascii="Courier New" w:hAnsi="Courier New" w:cs="Courier New"/>
                <w:b/>
                <w:bCs/>
                <w:color w:val="000000"/>
                <w:kern w:val="0"/>
                <w:sz w:val="24"/>
                <w:szCs w:val="24"/>
              </w:rPr>
            </w:pPr>
            <w:r>
              <w:rPr>
                <w:rFonts w:ascii="Courier New" w:hAnsi="Courier New" w:cs="Courier New"/>
                <w:b/>
                <w:bCs/>
                <w:color w:val="000000"/>
                <w:kern w:val="0"/>
                <w:sz w:val="24"/>
                <w:szCs w:val="24"/>
              </w:rPr>
              <w:t>单位</w:t>
            </w:r>
          </w:p>
        </w:tc>
        <w:tc>
          <w:tcPr>
            <w:tcW w:w="5880" w:type="dxa"/>
            <w:gridSpan w:val="3"/>
            <w:tcBorders>
              <w:top w:val="single" w:color="auto" w:sz="8" w:space="0"/>
              <w:left w:val="nil"/>
              <w:bottom w:val="single" w:color="auto" w:sz="8" w:space="0"/>
              <w:right w:val="single" w:color="auto" w:sz="4" w:space="0"/>
            </w:tcBorders>
            <w:noWrap w:val="0"/>
            <w:vAlign w:val="center"/>
          </w:tcPr>
          <w:p>
            <w:pPr>
              <w:widowControl/>
              <w:jc w:val="center"/>
              <w:rPr>
                <w:rFonts w:ascii="Courier New" w:hAnsi="Courier New" w:cs="Courier New"/>
                <w:b/>
                <w:bCs/>
                <w:color w:val="000000"/>
                <w:kern w:val="0"/>
                <w:sz w:val="24"/>
                <w:szCs w:val="24"/>
              </w:rPr>
            </w:pPr>
            <w:r>
              <w:rPr>
                <w:rFonts w:ascii="Courier New" w:hAnsi="Courier New" w:cs="Courier New"/>
                <w:b/>
                <w:bCs/>
                <w:color w:val="000000"/>
                <w:kern w:val="0"/>
                <w:sz w:val="24"/>
                <w:szCs w:val="24"/>
              </w:rPr>
              <w:t>规     模</w:t>
            </w:r>
          </w:p>
        </w:tc>
        <w:tc>
          <w:tcPr>
            <w:tcW w:w="2120" w:type="dxa"/>
            <w:vMerge w:val="restart"/>
            <w:tcBorders>
              <w:top w:val="single" w:color="auto" w:sz="8" w:space="0"/>
              <w:left w:val="single" w:color="auto" w:sz="4" w:space="0"/>
              <w:bottom w:val="single" w:color="auto" w:sz="8" w:space="0"/>
              <w:right w:val="single" w:color="auto" w:sz="4" w:space="0"/>
            </w:tcBorders>
            <w:noWrap w:val="0"/>
            <w:vAlign w:val="center"/>
          </w:tcPr>
          <w:p>
            <w:pPr>
              <w:widowControl/>
              <w:jc w:val="center"/>
              <w:rPr>
                <w:rFonts w:ascii="Courier New" w:hAnsi="Courier New" w:cs="Courier New"/>
                <w:b/>
                <w:bCs/>
                <w:color w:val="000000"/>
                <w:kern w:val="0"/>
                <w:sz w:val="24"/>
                <w:szCs w:val="24"/>
              </w:rPr>
            </w:pPr>
            <w:r>
              <w:rPr>
                <w:rFonts w:ascii="Courier New" w:hAnsi="Courier New" w:cs="Courier New"/>
                <w:b/>
                <w:bCs/>
                <w:color w:val="000000"/>
                <w:kern w:val="0"/>
                <w:sz w:val="24"/>
                <w:szCs w:val="24"/>
              </w:rPr>
              <w:t>备   注</w:t>
            </w:r>
          </w:p>
        </w:tc>
      </w:tr>
      <w:tr>
        <w:tblPrEx>
          <w:tblCellMar>
            <w:top w:w="0" w:type="dxa"/>
            <w:left w:w="108" w:type="dxa"/>
            <w:bottom w:w="0" w:type="dxa"/>
            <w:right w:w="108" w:type="dxa"/>
          </w:tblCellMar>
        </w:tblPrEx>
        <w:trPr>
          <w:trHeight w:val="285" w:hRule="atLeast"/>
        </w:trPr>
        <w:tc>
          <w:tcPr>
            <w:tcW w:w="640" w:type="dxa"/>
            <w:vMerge w:val="continue"/>
            <w:tcBorders>
              <w:top w:val="single" w:color="auto" w:sz="8" w:space="0"/>
              <w:left w:val="single" w:color="auto" w:sz="4" w:space="0"/>
              <w:bottom w:val="single" w:color="auto" w:sz="4" w:space="0"/>
              <w:right w:val="single" w:color="auto" w:sz="4" w:space="0"/>
            </w:tcBorders>
            <w:noWrap w:val="0"/>
            <w:vAlign w:val="center"/>
          </w:tcPr>
          <w:p>
            <w:pPr>
              <w:widowControl/>
              <w:jc w:val="left"/>
              <w:rPr>
                <w:rFonts w:ascii="Courier New" w:hAnsi="Courier New" w:cs="Courier New"/>
                <w:b/>
                <w:bCs/>
                <w:color w:val="000000"/>
                <w:kern w:val="0"/>
                <w:sz w:val="24"/>
                <w:szCs w:val="24"/>
              </w:rPr>
            </w:pPr>
          </w:p>
        </w:tc>
        <w:tc>
          <w:tcPr>
            <w:tcW w:w="2020" w:type="dxa"/>
            <w:vMerge w:val="continue"/>
            <w:tcBorders>
              <w:top w:val="single" w:color="auto" w:sz="8" w:space="0"/>
              <w:left w:val="single" w:color="auto" w:sz="4" w:space="0"/>
              <w:bottom w:val="single" w:color="auto" w:sz="4" w:space="0"/>
              <w:right w:val="single" w:color="auto" w:sz="4" w:space="0"/>
            </w:tcBorders>
            <w:noWrap w:val="0"/>
            <w:vAlign w:val="center"/>
          </w:tcPr>
          <w:p>
            <w:pPr>
              <w:widowControl/>
              <w:jc w:val="left"/>
              <w:rPr>
                <w:rFonts w:ascii="Courier New" w:hAnsi="Courier New" w:cs="Courier New"/>
                <w:b/>
                <w:bCs/>
                <w:color w:val="000000"/>
                <w:kern w:val="0"/>
                <w:sz w:val="24"/>
                <w:szCs w:val="24"/>
              </w:rPr>
            </w:pPr>
          </w:p>
        </w:tc>
        <w:tc>
          <w:tcPr>
            <w:tcW w:w="2980" w:type="dxa"/>
            <w:vMerge w:val="continue"/>
            <w:tcBorders>
              <w:top w:val="single" w:color="auto" w:sz="8" w:space="0"/>
              <w:left w:val="single" w:color="auto" w:sz="4" w:space="0"/>
              <w:bottom w:val="single" w:color="auto" w:sz="4" w:space="0"/>
              <w:right w:val="single" w:color="auto" w:sz="4" w:space="0"/>
            </w:tcBorders>
            <w:noWrap w:val="0"/>
            <w:vAlign w:val="center"/>
          </w:tcPr>
          <w:p>
            <w:pPr>
              <w:widowControl/>
              <w:jc w:val="left"/>
              <w:rPr>
                <w:rFonts w:ascii="Courier New" w:hAnsi="Courier New" w:cs="Courier New"/>
                <w:b/>
                <w:bCs/>
                <w:color w:val="000000"/>
                <w:kern w:val="0"/>
                <w:sz w:val="24"/>
                <w:szCs w:val="24"/>
              </w:rPr>
            </w:pPr>
          </w:p>
        </w:tc>
        <w:tc>
          <w:tcPr>
            <w:tcW w:w="940" w:type="dxa"/>
            <w:vMerge w:val="continue"/>
            <w:tcBorders>
              <w:top w:val="single" w:color="auto" w:sz="8" w:space="0"/>
              <w:left w:val="single" w:color="auto" w:sz="4" w:space="0"/>
              <w:bottom w:val="single" w:color="auto" w:sz="4" w:space="0"/>
              <w:right w:val="single" w:color="auto" w:sz="4" w:space="0"/>
            </w:tcBorders>
            <w:noWrap w:val="0"/>
            <w:vAlign w:val="center"/>
          </w:tcPr>
          <w:p>
            <w:pPr>
              <w:widowControl/>
              <w:jc w:val="left"/>
              <w:rPr>
                <w:rFonts w:ascii="Courier New" w:hAnsi="Courier New" w:cs="Courier New"/>
                <w:b/>
                <w:bCs/>
                <w:color w:val="000000"/>
                <w:kern w:val="0"/>
                <w:sz w:val="24"/>
                <w:szCs w:val="24"/>
              </w:rPr>
            </w:pPr>
          </w:p>
        </w:tc>
        <w:tc>
          <w:tcPr>
            <w:tcW w:w="1960" w:type="dxa"/>
            <w:tcBorders>
              <w:top w:val="single" w:color="auto" w:sz="8" w:space="0"/>
              <w:left w:val="nil"/>
              <w:bottom w:val="single" w:color="auto" w:sz="4" w:space="0"/>
              <w:right w:val="single" w:color="auto" w:sz="4" w:space="0"/>
            </w:tcBorders>
            <w:noWrap w:val="0"/>
            <w:vAlign w:val="center"/>
          </w:tcPr>
          <w:p>
            <w:pPr>
              <w:widowControl/>
              <w:jc w:val="center"/>
              <w:rPr>
                <w:rFonts w:ascii="Courier New" w:hAnsi="Courier New" w:cs="Courier New"/>
                <w:b/>
                <w:bCs/>
                <w:color w:val="000000"/>
                <w:kern w:val="0"/>
                <w:sz w:val="24"/>
                <w:szCs w:val="24"/>
              </w:rPr>
            </w:pPr>
            <w:r>
              <w:rPr>
                <w:rFonts w:ascii="Courier New" w:hAnsi="Courier New" w:cs="Courier New"/>
                <w:b/>
                <w:bCs/>
                <w:color w:val="000000"/>
                <w:kern w:val="0"/>
                <w:sz w:val="24"/>
                <w:szCs w:val="24"/>
              </w:rPr>
              <w:t>大型</w:t>
            </w:r>
          </w:p>
        </w:tc>
        <w:tc>
          <w:tcPr>
            <w:tcW w:w="1960" w:type="dxa"/>
            <w:tcBorders>
              <w:top w:val="single" w:color="auto" w:sz="8" w:space="0"/>
              <w:left w:val="nil"/>
              <w:bottom w:val="single" w:color="auto" w:sz="4" w:space="0"/>
              <w:right w:val="single" w:color="auto" w:sz="4" w:space="0"/>
            </w:tcBorders>
            <w:noWrap w:val="0"/>
            <w:vAlign w:val="center"/>
          </w:tcPr>
          <w:p>
            <w:pPr>
              <w:widowControl/>
              <w:jc w:val="center"/>
              <w:rPr>
                <w:rFonts w:ascii="Courier New" w:hAnsi="Courier New" w:cs="Courier New"/>
                <w:b/>
                <w:bCs/>
                <w:color w:val="000000"/>
                <w:kern w:val="0"/>
                <w:sz w:val="24"/>
                <w:szCs w:val="24"/>
              </w:rPr>
            </w:pPr>
            <w:r>
              <w:rPr>
                <w:rFonts w:ascii="Courier New" w:hAnsi="Courier New" w:cs="Courier New"/>
                <w:b/>
                <w:bCs/>
                <w:color w:val="000000"/>
                <w:kern w:val="0"/>
                <w:sz w:val="24"/>
                <w:szCs w:val="24"/>
              </w:rPr>
              <w:t>中型</w:t>
            </w:r>
          </w:p>
        </w:tc>
        <w:tc>
          <w:tcPr>
            <w:tcW w:w="1960" w:type="dxa"/>
            <w:tcBorders>
              <w:top w:val="single" w:color="auto" w:sz="8" w:space="0"/>
              <w:left w:val="nil"/>
              <w:bottom w:val="single" w:color="auto" w:sz="4" w:space="0"/>
              <w:right w:val="single" w:color="auto" w:sz="4" w:space="0"/>
            </w:tcBorders>
            <w:noWrap w:val="0"/>
            <w:vAlign w:val="center"/>
          </w:tcPr>
          <w:p>
            <w:pPr>
              <w:widowControl/>
              <w:jc w:val="center"/>
              <w:rPr>
                <w:rFonts w:ascii="Courier New" w:hAnsi="Courier New" w:cs="Courier New"/>
                <w:b/>
                <w:bCs/>
                <w:color w:val="000000"/>
                <w:kern w:val="0"/>
                <w:sz w:val="24"/>
                <w:szCs w:val="24"/>
              </w:rPr>
            </w:pPr>
            <w:r>
              <w:rPr>
                <w:rFonts w:ascii="Courier New" w:hAnsi="Courier New" w:cs="Courier New"/>
                <w:b/>
                <w:bCs/>
                <w:color w:val="000000"/>
                <w:kern w:val="0"/>
                <w:sz w:val="24"/>
                <w:szCs w:val="24"/>
              </w:rPr>
              <w:t>小型</w:t>
            </w:r>
          </w:p>
        </w:tc>
        <w:tc>
          <w:tcPr>
            <w:tcW w:w="2120" w:type="dxa"/>
            <w:vMerge w:val="continue"/>
            <w:tcBorders>
              <w:top w:val="single" w:color="auto" w:sz="8" w:space="0"/>
              <w:left w:val="single" w:color="auto" w:sz="4" w:space="0"/>
              <w:bottom w:val="single" w:color="auto" w:sz="4" w:space="0"/>
              <w:right w:val="single" w:color="auto" w:sz="4" w:space="0"/>
            </w:tcBorders>
            <w:noWrap w:val="0"/>
            <w:vAlign w:val="center"/>
          </w:tcPr>
          <w:p>
            <w:pPr>
              <w:widowControl/>
              <w:jc w:val="left"/>
              <w:rPr>
                <w:rFonts w:ascii="Courier New" w:hAnsi="Courier New" w:cs="Courier New"/>
                <w:b/>
                <w:bCs/>
                <w:color w:val="000000"/>
                <w:kern w:val="0"/>
                <w:sz w:val="24"/>
                <w:szCs w:val="24"/>
              </w:rPr>
            </w:pPr>
          </w:p>
        </w:tc>
      </w:tr>
      <w:tr>
        <w:tblPrEx>
          <w:tblCellMar>
            <w:top w:w="0" w:type="dxa"/>
            <w:left w:w="108" w:type="dxa"/>
            <w:bottom w:w="0" w:type="dxa"/>
            <w:right w:w="108" w:type="dxa"/>
          </w:tblCellMar>
        </w:tblPrEx>
        <w:trPr>
          <w:trHeight w:val="285" w:hRule="atLeast"/>
        </w:trPr>
        <w:tc>
          <w:tcPr>
            <w:tcW w:w="64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w:t>
            </w:r>
          </w:p>
        </w:tc>
        <w:tc>
          <w:tcPr>
            <w:tcW w:w="202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 xml:space="preserve"> 一般房屋建筑工程</w:t>
            </w:r>
          </w:p>
        </w:tc>
        <w:tc>
          <w:tcPr>
            <w:tcW w:w="298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工业、民用与公共建筑工程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层</w:t>
            </w:r>
          </w:p>
        </w:tc>
        <w:tc>
          <w:tcPr>
            <w:tcW w:w="1960" w:type="dxa"/>
            <w:tcBorders>
              <w:top w:val="nil"/>
              <w:left w:val="nil"/>
              <w:bottom w:val="single" w:color="auto" w:sz="4" w:space="0"/>
              <w:right w:val="single" w:color="auto" w:sz="4" w:space="0"/>
            </w:tcBorders>
            <w:noWrap w:val="0"/>
            <w:vAlign w:val="center"/>
          </w:tcPr>
          <w:p>
            <w:pPr>
              <w:widowControl/>
              <w:jc w:val="center"/>
              <w:rPr>
                <w:rFonts w:hint="default" w:ascii="Courier New" w:hAnsi="Courier New" w:eastAsia="宋体" w:cs="Courier New"/>
                <w:color w:val="000000"/>
                <w:kern w:val="0"/>
                <w:sz w:val="20"/>
                <w:lang w:val="en-US" w:eastAsia="zh-CN"/>
              </w:rPr>
            </w:pPr>
            <w:r>
              <w:rPr>
                <w:rFonts w:ascii="Courier New" w:hAnsi="Courier New" w:cs="Courier New"/>
                <w:color w:val="000000"/>
                <w:kern w:val="0"/>
                <w:sz w:val="20"/>
              </w:rPr>
              <w:t>≥</w:t>
            </w:r>
            <w:r>
              <w:rPr>
                <w:rFonts w:hint="eastAsia" w:ascii="Courier New" w:hAnsi="Courier New" w:cs="Courier New"/>
                <w:color w:val="000000"/>
                <w:kern w:val="0"/>
                <w:sz w:val="20"/>
                <w:lang w:val="en-US" w:eastAsia="zh-CN"/>
              </w:rPr>
              <w:t>30</w:t>
            </w:r>
          </w:p>
        </w:tc>
        <w:tc>
          <w:tcPr>
            <w:tcW w:w="1960" w:type="dxa"/>
            <w:tcBorders>
              <w:top w:val="nil"/>
              <w:left w:val="nil"/>
              <w:bottom w:val="single" w:color="auto" w:sz="4" w:space="0"/>
              <w:right w:val="single" w:color="auto" w:sz="4" w:space="0"/>
            </w:tcBorders>
            <w:noWrap w:val="0"/>
            <w:vAlign w:val="center"/>
          </w:tcPr>
          <w:p>
            <w:pPr>
              <w:widowControl/>
              <w:jc w:val="center"/>
              <w:rPr>
                <w:rFonts w:hint="default" w:ascii="Courier New" w:hAnsi="Courier New" w:eastAsia="宋体" w:cs="Courier New"/>
                <w:color w:val="000000"/>
                <w:kern w:val="0"/>
                <w:sz w:val="20"/>
                <w:lang w:val="en-US" w:eastAsia="zh-CN"/>
              </w:rPr>
            </w:pPr>
            <w:r>
              <w:rPr>
                <w:rFonts w:hint="eastAsia" w:ascii="Courier New" w:hAnsi="Courier New" w:cs="Courier New"/>
                <w:color w:val="000000"/>
                <w:kern w:val="0"/>
                <w:sz w:val="20"/>
                <w:lang w:val="en-US" w:eastAsia="zh-CN"/>
              </w:rPr>
              <w:t>6</w:t>
            </w:r>
            <w:r>
              <w:rPr>
                <w:rFonts w:ascii="Courier New" w:hAnsi="Courier New" w:cs="Courier New"/>
                <w:color w:val="000000"/>
                <w:kern w:val="0"/>
                <w:sz w:val="20"/>
              </w:rPr>
              <w:t>～</w:t>
            </w:r>
            <w:r>
              <w:rPr>
                <w:rFonts w:hint="eastAsia" w:ascii="Courier New" w:hAnsi="Courier New" w:cs="Courier New"/>
                <w:color w:val="000000"/>
                <w:kern w:val="0"/>
                <w:sz w:val="20"/>
                <w:lang w:val="en-US" w:eastAsia="zh-CN"/>
              </w:rPr>
              <w:t>30</w:t>
            </w:r>
          </w:p>
        </w:tc>
        <w:tc>
          <w:tcPr>
            <w:tcW w:w="1960" w:type="dxa"/>
            <w:tcBorders>
              <w:top w:val="nil"/>
              <w:left w:val="nil"/>
              <w:bottom w:val="single" w:color="auto" w:sz="4" w:space="0"/>
              <w:right w:val="single" w:color="auto" w:sz="4" w:space="0"/>
            </w:tcBorders>
            <w:noWrap w:val="0"/>
            <w:vAlign w:val="center"/>
          </w:tcPr>
          <w:p>
            <w:pPr>
              <w:widowControl/>
              <w:jc w:val="center"/>
              <w:rPr>
                <w:rFonts w:hint="eastAsia" w:ascii="Courier New" w:hAnsi="Courier New" w:eastAsia="宋体" w:cs="Courier New"/>
                <w:color w:val="000000"/>
                <w:kern w:val="0"/>
                <w:sz w:val="20"/>
                <w:lang w:val="en-US" w:eastAsia="zh-CN"/>
              </w:rPr>
            </w:pPr>
            <w:r>
              <w:rPr>
                <w:rFonts w:ascii="Courier New" w:hAnsi="Courier New" w:cs="Courier New"/>
                <w:color w:val="000000"/>
                <w:kern w:val="0"/>
                <w:sz w:val="20"/>
              </w:rPr>
              <w:t>&lt;</w:t>
            </w:r>
            <w:r>
              <w:rPr>
                <w:rFonts w:hint="eastAsia" w:ascii="Courier New" w:hAnsi="Courier New" w:cs="Courier New"/>
                <w:color w:val="000000"/>
                <w:kern w:val="0"/>
                <w:sz w:val="20"/>
                <w:lang w:val="en-US" w:eastAsia="zh-CN"/>
              </w:rPr>
              <w:t>6</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建筑物层数</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hint="eastAsia" w:ascii="Courier New" w:hAnsi="Courier New" w:cs="Courier New"/>
                <w:color w:val="000000"/>
                <w:kern w:val="0"/>
                <w:sz w:val="20"/>
                <w:lang w:val="en-US" w:eastAsia="zh-CN"/>
              </w:rPr>
              <w:t>20</w:t>
            </w:r>
            <w:r>
              <w:rPr>
                <w:rFonts w:ascii="Courier New" w:hAnsi="Courier New" w:cs="Courier New"/>
                <w:color w:val="000000"/>
                <w:kern w:val="0"/>
                <w:sz w:val="20"/>
              </w:rPr>
              <w:t>～100</w:t>
            </w:r>
          </w:p>
        </w:tc>
        <w:tc>
          <w:tcPr>
            <w:tcW w:w="1960" w:type="dxa"/>
            <w:tcBorders>
              <w:top w:val="nil"/>
              <w:left w:val="nil"/>
              <w:bottom w:val="single" w:color="auto" w:sz="4" w:space="0"/>
              <w:right w:val="single" w:color="auto" w:sz="4" w:space="0"/>
            </w:tcBorders>
            <w:noWrap w:val="0"/>
            <w:vAlign w:val="center"/>
          </w:tcPr>
          <w:p>
            <w:pPr>
              <w:widowControl/>
              <w:jc w:val="center"/>
              <w:rPr>
                <w:rFonts w:hint="default" w:ascii="Courier New" w:hAnsi="Courier New" w:eastAsia="宋体" w:cs="Courier New"/>
                <w:color w:val="000000"/>
                <w:kern w:val="0"/>
                <w:sz w:val="20"/>
                <w:lang w:val="en-US" w:eastAsia="zh-CN"/>
              </w:rPr>
            </w:pPr>
            <w:r>
              <w:rPr>
                <w:rFonts w:ascii="Courier New" w:hAnsi="Courier New" w:cs="Courier New"/>
                <w:color w:val="000000"/>
                <w:kern w:val="0"/>
                <w:sz w:val="20"/>
              </w:rPr>
              <w:t>&lt;</w:t>
            </w:r>
            <w:r>
              <w:rPr>
                <w:rFonts w:hint="eastAsia" w:ascii="Courier New" w:hAnsi="Courier New" w:cs="Courier New"/>
                <w:color w:val="000000"/>
                <w:kern w:val="0"/>
                <w:sz w:val="20"/>
                <w:lang w:val="en-US" w:eastAsia="zh-CN"/>
              </w:rPr>
              <w:t>20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建筑物高度</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15～30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&lt;15</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单跨跨度</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平方米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3000～30000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&lt;3000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单体建筑面积</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住宅小区或建筑群体工程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平方米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w:t>
            </w:r>
            <w:r>
              <w:rPr>
                <w:rFonts w:hint="eastAsia" w:ascii="Courier New" w:hAnsi="Courier New" w:cs="Courier New"/>
                <w:color w:val="000000"/>
                <w:kern w:val="0"/>
                <w:sz w:val="20"/>
                <w:lang w:val="en-US" w:eastAsia="zh-CN"/>
              </w:rPr>
              <w:t>5</w:t>
            </w:r>
            <w:r>
              <w:rPr>
                <w:rFonts w:ascii="Courier New" w:hAnsi="Courier New" w:cs="Courier New"/>
                <w:color w:val="000000"/>
                <w:kern w:val="0"/>
                <w:sz w:val="20"/>
              </w:rPr>
              <w:t>0000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hint="eastAsia" w:ascii="Courier New" w:hAnsi="Courier New" w:cs="Courier New"/>
                <w:color w:val="000000"/>
                <w:kern w:val="0"/>
                <w:sz w:val="20"/>
                <w:lang w:val="en-US" w:eastAsia="zh-CN"/>
              </w:rPr>
              <w:t>10</w:t>
            </w:r>
            <w:r>
              <w:rPr>
                <w:rFonts w:ascii="Courier New" w:hAnsi="Courier New" w:cs="Courier New"/>
                <w:color w:val="000000"/>
                <w:kern w:val="0"/>
                <w:sz w:val="20"/>
              </w:rPr>
              <w:t>000～1</w:t>
            </w:r>
            <w:r>
              <w:rPr>
                <w:rFonts w:hint="eastAsia" w:ascii="Courier New" w:hAnsi="Courier New" w:cs="Courier New"/>
                <w:color w:val="000000"/>
                <w:kern w:val="0"/>
                <w:sz w:val="20"/>
                <w:lang w:val="en-US" w:eastAsia="zh-CN"/>
              </w:rPr>
              <w:t>5</w:t>
            </w:r>
            <w:r>
              <w:rPr>
                <w:rFonts w:ascii="Courier New" w:hAnsi="Courier New" w:cs="Courier New"/>
                <w:color w:val="000000"/>
                <w:kern w:val="0"/>
                <w:sz w:val="20"/>
              </w:rPr>
              <w:t>0000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w:t>
            </w:r>
            <w:r>
              <w:rPr>
                <w:rFonts w:hint="eastAsia" w:ascii="Courier New" w:hAnsi="Courier New" w:cs="Courier New"/>
                <w:color w:val="000000"/>
                <w:kern w:val="0"/>
                <w:sz w:val="20"/>
                <w:lang w:val="en-US" w:eastAsia="zh-CN"/>
              </w:rPr>
              <w:t>10</w:t>
            </w:r>
            <w:r>
              <w:rPr>
                <w:rFonts w:ascii="Courier New" w:hAnsi="Courier New" w:cs="Courier New"/>
                <w:color w:val="000000"/>
                <w:kern w:val="0"/>
                <w:sz w:val="20"/>
              </w:rPr>
              <w:t>000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建筑群建筑面积</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其他一般房屋建筑工程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300～3000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&lt;300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 xml:space="preserve">单项工程合同额 </w:t>
            </w:r>
          </w:p>
        </w:tc>
      </w:tr>
      <w:tr>
        <w:tblPrEx>
          <w:tblCellMar>
            <w:top w:w="0" w:type="dxa"/>
            <w:left w:w="108" w:type="dxa"/>
            <w:bottom w:w="0" w:type="dxa"/>
            <w:right w:w="108" w:type="dxa"/>
          </w:tblCellMar>
        </w:tblPrEx>
        <w:trPr>
          <w:trHeight w:val="285" w:hRule="atLeast"/>
        </w:trPr>
        <w:tc>
          <w:tcPr>
            <w:tcW w:w="64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w:t>
            </w:r>
          </w:p>
        </w:tc>
        <w:tc>
          <w:tcPr>
            <w:tcW w:w="202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高耸构筑物工程</w:t>
            </w: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冷却塔及附属工程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平方米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&gt;3500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2000～3500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&lt;2000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淋水面积</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高耸构筑物工程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≥120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25～120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&lt;25</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构筑物高度</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其他高耸构筑物工程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300～3000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&lt;300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r>
        <w:tblPrEx>
          <w:tblCellMar>
            <w:top w:w="0" w:type="dxa"/>
            <w:left w:w="108" w:type="dxa"/>
            <w:bottom w:w="0" w:type="dxa"/>
            <w:right w:w="108" w:type="dxa"/>
          </w:tblCellMar>
        </w:tblPrEx>
        <w:trPr>
          <w:trHeight w:val="285" w:hRule="atLeast"/>
        </w:trPr>
        <w:tc>
          <w:tcPr>
            <w:tcW w:w="64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w:t>
            </w:r>
          </w:p>
        </w:tc>
        <w:tc>
          <w:tcPr>
            <w:tcW w:w="202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地基与基础工程</w:t>
            </w: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房屋建筑地基与基础工程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层</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≥25</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5～25</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&lt;5</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建筑物层数</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构筑物地基与基础工程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25～100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&lt;25</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构筑物高度</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基坑围护工程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≥8</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3～8</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&lt;3</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基坑深度</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软弱地基处理工程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≥13</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4～13</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&lt;4</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地基处理深度</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其他地基与基础工程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100～1000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 xml:space="preserve">&lt;100 </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 xml:space="preserve">单项工程合同额 </w:t>
            </w:r>
          </w:p>
        </w:tc>
      </w:tr>
      <w:tr>
        <w:tblPrEx>
          <w:tblCellMar>
            <w:top w:w="0" w:type="dxa"/>
            <w:left w:w="108" w:type="dxa"/>
            <w:bottom w:w="0" w:type="dxa"/>
            <w:right w:w="108" w:type="dxa"/>
          </w:tblCellMar>
        </w:tblPrEx>
        <w:trPr>
          <w:trHeight w:val="285" w:hRule="atLeast"/>
        </w:trPr>
        <w:tc>
          <w:tcPr>
            <w:tcW w:w="64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4</w:t>
            </w:r>
          </w:p>
        </w:tc>
        <w:tc>
          <w:tcPr>
            <w:tcW w:w="202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土石方工程</w:t>
            </w: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挖方或填方工程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万立</w:t>
            </w:r>
          </w:p>
          <w:p>
            <w:pPr>
              <w:widowControl/>
              <w:jc w:val="center"/>
              <w:rPr>
                <w:rFonts w:ascii="Courier New" w:hAnsi="Courier New" w:cs="Courier New"/>
                <w:color w:val="000000"/>
                <w:kern w:val="0"/>
                <w:sz w:val="20"/>
              </w:rPr>
            </w:pPr>
            <w:r>
              <w:rPr>
                <w:rFonts w:ascii="Courier New" w:hAnsi="Courier New" w:cs="Courier New"/>
                <w:color w:val="000000"/>
                <w:kern w:val="0"/>
                <w:sz w:val="20"/>
              </w:rPr>
              <w:t>方米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≥60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15～60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&lt;15</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土石方量</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其它挖方或填方工程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300～3000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&lt;300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r>
        <w:tblPrEx>
          <w:tblCellMar>
            <w:top w:w="0" w:type="dxa"/>
            <w:left w:w="108" w:type="dxa"/>
            <w:bottom w:w="0" w:type="dxa"/>
            <w:right w:w="108" w:type="dxa"/>
          </w:tblCellMar>
        </w:tblPrEx>
        <w:trPr>
          <w:trHeight w:val="510" w:hRule="atLeast"/>
        </w:trPr>
        <w:tc>
          <w:tcPr>
            <w:tcW w:w="64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5</w:t>
            </w:r>
          </w:p>
        </w:tc>
        <w:tc>
          <w:tcPr>
            <w:tcW w:w="202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园林古建筑工程</w:t>
            </w: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仿古建筑工程、园林建筑工程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平方米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≥800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200～800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&lt;200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单体建筑面积</w:t>
            </w:r>
          </w:p>
        </w:tc>
      </w:tr>
      <w:tr>
        <w:tblPrEx>
          <w:tblCellMar>
            <w:top w:w="0" w:type="dxa"/>
            <w:left w:w="108" w:type="dxa"/>
            <w:bottom w:w="0" w:type="dxa"/>
            <w:right w:w="108" w:type="dxa"/>
          </w:tblCellMar>
        </w:tblPrEx>
        <w:trPr>
          <w:trHeight w:val="480"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国家级重点文物保护单位的古建筑修缮工程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平方米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&lt;200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无</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修缮建筑面积</w:t>
            </w:r>
          </w:p>
        </w:tc>
      </w:tr>
      <w:tr>
        <w:tblPrEx>
          <w:tblCellMar>
            <w:top w:w="0" w:type="dxa"/>
            <w:left w:w="108" w:type="dxa"/>
            <w:bottom w:w="0" w:type="dxa"/>
            <w:right w:w="108" w:type="dxa"/>
          </w:tblCellMar>
        </w:tblPrEx>
        <w:trPr>
          <w:trHeight w:val="480"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省级重点文物保护单位的古建筑修缮工程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平方米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100～300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修缮建筑面积</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 xml:space="preserve">其它园林古建筑工程 </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200～1000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&lt;200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r>
        <w:tblPrEx>
          <w:tblCellMar>
            <w:top w:w="0" w:type="dxa"/>
            <w:left w:w="108" w:type="dxa"/>
            <w:bottom w:w="0" w:type="dxa"/>
            <w:right w:w="108" w:type="dxa"/>
          </w:tblCellMar>
        </w:tblPrEx>
        <w:trPr>
          <w:trHeight w:val="285" w:hRule="atLeast"/>
        </w:trPr>
        <w:tc>
          <w:tcPr>
            <w:tcW w:w="64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6</w:t>
            </w:r>
          </w:p>
        </w:tc>
        <w:tc>
          <w:tcPr>
            <w:tcW w:w="202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钢结构工程</w:t>
            </w:r>
          </w:p>
        </w:tc>
        <w:tc>
          <w:tcPr>
            <w:tcW w:w="298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钢结构建筑物或构筑物工程（包括轻钢结构工程）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10～30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钢结构跨度</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吨</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100～1000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总重量</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平方米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≥20000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3000～20000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&lt;3000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单体建筑面积</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网架结构的制作安装工程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≥70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10～70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网架工程边长</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吨</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50～300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&lt;50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总重量</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平方米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≥6000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200～6000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&lt;200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单体建筑面积</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其他钢结构工程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300～3000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&lt;300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r>
        <w:tblPrEx>
          <w:tblCellMar>
            <w:top w:w="0" w:type="dxa"/>
            <w:left w:w="108" w:type="dxa"/>
            <w:bottom w:w="0" w:type="dxa"/>
            <w:right w:w="108" w:type="dxa"/>
          </w:tblCellMar>
        </w:tblPrEx>
        <w:trPr>
          <w:trHeight w:val="285" w:hRule="atLeast"/>
        </w:trPr>
        <w:tc>
          <w:tcPr>
            <w:tcW w:w="640" w:type="dxa"/>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7</w:t>
            </w:r>
          </w:p>
        </w:tc>
        <w:tc>
          <w:tcPr>
            <w:tcW w:w="20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建筑防水工程</w:t>
            </w: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各类房屋建筑防水工程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50～200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&lt;50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r>
        <w:tblPrEx>
          <w:tblCellMar>
            <w:top w:w="0" w:type="dxa"/>
            <w:left w:w="108" w:type="dxa"/>
            <w:bottom w:w="0" w:type="dxa"/>
            <w:right w:w="108" w:type="dxa"/>
          </w:tblCellMar>
        </w:tblPrEx>
        <w:trPr>
          <w:trHeight w:val="285" w:hRule="atLeast"/>
        </w:trPr>
        <w:tc>
          <w:tcPr>
            <w:tcW w:w="640" w:type="dxa"/>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8</w:t>
            </w:r>
          </w:p>
        </w:tc>
        <w:tc>
          <w:tcPr>
            <w:tcW w:w="20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防腐保温工程</w:t>
            </w: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各类防腐保温工程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50～200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&lt;50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r>
        <w:tblPrEx>
          <w:tblCellMar>
            <w:top w:w="0" w:type="dxa"/>
            <w:left w:w="108" w:type="dxa"/>
            <w:bottom w:w="0" w:type="dxa"/>
            <w:right w:w="108" w:type="dxa"/>
          </w:tblCellMar>
        </w:tblPrEx>
        <w:trPr>
          <w:trHeight w:val="480" w:hRule="atLeast"/>
        </w:trPr>
        <w:tc>
          <w:tcPr>
            <w:tcW w:w="640" w:type="dxa"/>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9</w:t>
            </w:r>
          </w:p>
        </w:tc>
        <w:tc>
          <w:tcPr>
            <w:tcW w:w="20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附着升降脚手架</w:t>
            </w: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各类附着升降脚手架设计、制作、安装工程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≥80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15～80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&lt;15</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高度</w:t>
            </w:r>
          </w:p>
        </w:tc>
      </w:tr>
      <w:tr>
        <w:tblPrEx>
          <w:tblCellMar>
            <w:top w:w="0" w:type="dxa"/>
            <w:left w:w="108" w:type="dxa"/>
            <w:bottom w:w="0" w:type="dxa"/>
            <w:right w:w="108" w:type="dxa"/>
          </w:tblCellMar>
        </w:tblPrEx>
        <w:trPr>
          <w:trHeight w:val="285" w:hRule="atLeast"/>
        </w:trPr>
        <w:tc>
          <w:tcPr>
            <w:tcW w:w="64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w:t>
            </w:r>
          </w:p>
        </w:tc>
        <w:tc>
          <w:tcPr>
            <w:tcW w:w="202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金属门窗工程</w:t>
            </w:r>
          </w:p>
        </w:tc>
        <w:tc>
          <w:tcPr>
            <w:tcW w:w="298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铝合金、塑钢等金属门窗工程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层</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≥25</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 xml:space="preserve"> 5～25</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&lt;5</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建筑物层数</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 xml:space="preserve"> ≥80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 xml:space="preserve"> 15～80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&lt;15</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建筑物高度</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平方米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≥8000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1000～8000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&lt;1000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单体建筑面积</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≥500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100～500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r>
        <w:tblPrEx>
          <w:tblCellMar>
            <w:top w:w="0" w:type="dxa"/>
            <w:left w:w="108" w:type="dxa"/>
            <w:bottom w:w="0" w:type="dxa"/>
            <w:right w:w="108" w:type="dxa"/>
          </w:tblCellMar>
        </w:tblPrEx>
        <w:trPr>
          <w:trHeight w:val="285" w:hRule="atLeast"/>
        </w:trPr>
        <w:tc>
          <w:tcPr>
            <w:tcW w:w="64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11</w:t>
            </w:r>
          </w:p>
        </w:tc>
        <w:tc>
          <w:tcPr>
            <w:tcW w:w="202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预应力工程</w:t>
            </w:r>
          </w:p>
        </w:tc>
        <w:tc>
          <w:tcPr>
            <w:tcW w:w="298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各类房屋建筑预应力工程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10～30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跨度</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≥800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100～800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r>
        <w:tblPrEx>
          <w:tblCellMar>
            <w:top w:w="0" w:type="dxa"/>
            <w:left w:w="108" w:type="dxa"/>
            <w:bottom w:w="0" w:type="dxa"/>
            <w:right w:w="108" w:type="dxa"/>
          </w:tblCellMar>
        </w:tblPrEx>
        <w:trPr>
          <w:trHeight w:val="285" w:hRule="atLeast"/>
        </w:trPr>
        <w:tc>
          <w:tcPr>
            <w:tcW w:w="64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12</w:t>
            </w:r>
          </w:p>
        </w:tc>
        <w:tc>
          <w:tcPr>
            <w:tcW w:w="202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爆破与拆除工程</w:t>
            </w: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大爆破工程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级</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≥C</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D～C</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&lt;D</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爆破等级</w:t>
            </w:r>
          </w:p>
        </w:tc>
      </w:tr>
      <w:tr>
        <w:tblPrEx>
          <w:tblCellMar>
            <w:top w:w="0" w:type="dxa"/>
            <w:left w:w="108" w:type="dxa"/>
            <w:bottom w:w="0" w:type="dxa"/>
            <w:right w:w="108" w:type="dxa"/>
          </w:tblCellMar>
        </w:tblPrEx>
        <w:trPr>
          <w:trHeight w:val="720"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复杂环境深孔爆破、拆除爆破及城市控制爆破及其他爆破与拆除工程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级</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≥B</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D～B</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&lt;D</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爆破等级</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机械和人工拆除工程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≥500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200～500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&lt;200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r>
        <w:tblPrEx>
          <w:tblCellMar>
            <w:top w:w="0" w:type="dxa"/>
            <w:left w:w="108" w:type="dxa"/>
            <w:bottom w:w="0" w:type="dxa"/>
            <w:right w:w="108" w:type="dxa"/>
          </w:tblCellMar>
        </w:tblPrEx>
        <w:trPr>
          <w:trHeight w:val="285" w:hRule="atLeast"/>
        </w:trPr>
        <w:tc>
          <w:tcPr>
            <w:tcW w:w="64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13</w:t>
            </w:r>
          </w:p>
        </w:tc>
        <w:tc>
          <w:tcPr>
            <w:tcW w:w="202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体育场地设施工程</w:t>
            </w:r>
          </w:p>
        </w:tc>
        <w:tc>
          <w:tcPr>
            <w:tcW w:w="298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高尔夫球场、室内外迷你高尔夫球场和练习场工程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公顷</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≥55</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25～55</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&lt;25</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单项工程占地面积</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≥3200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300～3200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&lt;300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洞</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≥18</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9～18</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&lt;9</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洞数</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体育场田径场地设施工程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万人</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0.5～2</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&lt;0.5</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 xml:space="preserve">容纳人数 </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300～1000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&lt;300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r>
        <w:tblPrEx>
          <w:tblCellMar>
            <w:top w:w="0" w:type="dxa"/>
            <w:left w:w="108" w:type="dxa"/>
            <w:bottom w:w="0" w:type="dxa"/>
            <w:right w:w="108" w:type="dxa"/>
          </w:tblCellMar>
        </w:tblPrEx>
        <w:trPr>
          <w:trHeight w:val="5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体育馆（包括游泳馆、冬季项目馆）设施工程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人</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≥5000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300～5000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&lt;300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容纳人数</w:t>
            </w:r>
          </w:p>
        </w:tc>
      </w:tr>
      <w:tr>
        <w:tblPrEx>
          <w:tblCellMar>
            <w:top w:w="0" w:type="dxa"/>
            <w:left w:w="108" w:type="dxa"/>
            <w:bottom w:w="0" w:type="dxa"/>
            <w:right w:w="108" w:type="dxa"/>
          </w:tblCellMar>
        </w:tblPrEx>
        <w:trPr>
          <w:trHeight w:val="540"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合成面层网球、篮球、排球场地设施工程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平方米</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≥7000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2000～7000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&lt;2000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建筑面积</w:t>
            </w:r>
          </w:p>
        </w:tc>
      </w:tr>
      <w:tr>
        <w:tblPrEx>
          <w:tblCellMar>
            <w:top w:w="0" w:type="dxa"/>
            <w:left w:w="108" w:type="dxa"/>
            <w:bottom w:w="0" w:type="dxa"/>
            <w:right w:w="108" w:type="dxa"/>
          </w:tblCellMar>
        </w:tblPrEx>
        <w:trPr>
          <w:trHeight w:val="2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其他体育场地设施工程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≥800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150～800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&lt;150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r>
        <w:tblPrEx>
          <w:tblCellMar>
            <w:top w:w="0" w:type="dxa"/>
            <w:left w:w="108" w:type="dxa"/>
            <w:bottom w:w="0" w:type="dxa"/>
            <w:right w:w="108" w:type="dxa"/>
          </w:tblCellMar>
        </w:tblPrEx>
        <w:trPr>
          <w:trHeight w:val="285" w:hRule="atLeast"/>
        </w:trPr>
        <w:tc>
          <w:tcPr>
            <w:tcW w:w="64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14</w:t>
            </w:r>
          </w:p>
        </w:tc>
        <w:tc>
          <w:tcPr>
            <w:tcW w:w="2020"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特种专业工程</w:t>
            </w: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建筑物纠偏和平移等工程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≥500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100～500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&lt;100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r>
        <w:tblPrEx>
          <w:tblCellMar>
            <w:top w:w="0" w:type="dxa"/>
            <w:left w:w="108" w:type="dxa"/>
            <w:bottom w:w="0" w:type="dxa"/>
            <w:right w:w="108" w:type="dxa"/>
          </w:tblCellMar>
        </w:tblPrEx>
        <w:trPr>
          <w:trHeight w:val="55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02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p>
        </w:tc>
        <w:tc>
          <w:tcPr>
            <w:tcW w:w="298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结构补强、特殊设备的起重吊装、特种防雷技术等工程</w:t>
            </w:r>
          </w:p>
        </w:tc>
        <w:tc>
          <w:tcPr>
            <w:tcW w:w="94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万元</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≥200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50～200</w:t>
            </w:r>
          </w:p>
        </w:tc>
        <w:tc>
          <w:tcPr>
            <w:tcW w:w="1960"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color w:val="000000"/>
                <w:kern w:val="0"/>
                <w:sz w:val="20"/>
              </w:rPr>
            </w:pPr>
            <w:r>
              <w:rPr>
                <w:rFonts w:ascii="Courier New" w:hAnsi="Courier New" w:cs="Courier New"/>
                <w:color w:val="000000"/>
                <w:kern w:val="0"/>
                <w:sz w:val="20"/>
              </w:rPr>
              <w:t>&lt;50</w:t>
            </w:r>
          </w:p>
        </w:tc>
        <w:tc>
          <w:tcPr>
            <w:tcW w:w="2120"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color w:val="000000"/>
                <w:kern w:val="0"/>
                <w:sz w:val="20"/>
              </w:rPr>
            </w:pPr>
            <w:r>
              <w:rPr>
                <w:rFonts w:ascii="Courier New" w:hAnsi="Courier New" w:cs="Courier New"/>
                <w:color w:val="000000"/>
                <w:kern w:val="0"/>
                <w:sz w:val="20"/>
              </w:rPr>
              <w:t>单项工程合同额</w:t>
            </w:r>
          </w:p>
        </w:tc>
      </w:tr>
    </w:tbl>
    <w:p>
      <w:pPr>
        <w:spacing w:line="360" w:lineRule="auto"/>
        <w:rPr>
          <w:rFonts w:hint="eastAsia" w:ascii="宋体" w:hAnsi="宋体"/>
          <w:sz w:val="24"/>
        </w:rPr>
        <w:sectPr>
          <w:pgSz w:w="15840" w:h="12240" w:orient="landscape"/>
          <w:pgMar w:top="1080" w:right="1440" w:bottom="1080" w:left="1440" w:header="720" w:footer="720" w:gutter="0"/>
          <w:pgNumType w:fmt="numberInDash"/>
          <w:cols w:space="720" w:num="1"/>
          <w:docGrid w:type="lines" w:linePitch="286" w:charSpace="0"/>
        </w:sectPr>
      </w:pPr>
    </w:p>
    <w:tbl>
      <w:tblPr>
        <w:tblStyle w:val="9"/>
        <w:tblpPr w:leftFromText="180" w:rightFromText="180" w:vertAnchor="text" w:horzAnchor="margin" w:tblpXSpec="center" w:tblpY="-197"/>
        <w:tblW w:w="0" w:type="auto"/>
        <w:tblInd w:w="0" w:type="dxa"/>
        <w:tblLayout w:type="fixed"/>
        <w:tblCellMar>
          <w:top w:w="0" w:type="dxa"/>
          <w:left w:w="108" w:type="dxa"/>
          <w:bottom w:w="0" w:type="dxa"/>
          <w:right w:w="108" w:type="dxa"/>
        </w:tblCellMar>
      </w:tblPr>
      <w:tblGrid>
        <w:gridCol w:w="672"/>
        <w:gridCol w:w="1816"/>
        <w:gridCol w:w="2095"/>
        <w:gridCol w:w="672"/>
        <w:gridCol w:w="2418"/>
        <w:gridCol w:w="2566"/>
        <w:gridCol w:w="2417"/>
        <w:gridCol w:w="1944"/>
      </w:tblGrid>
      <w:tr>
        <w:tblPrEx>
          <w:tblCellMar>
            <w:top w:w="0" w:type="dxa"/>
            <w:left w:w="108" w:type="dxa"/>
            <w:bottom w:w="0" w:type="dxa"/>
            <w:right w:w="108" w:type="dxa"/>
          </w:tblCellMar>
        </w:tblPrEx>
        <w:trPr>
          <w:trHeight w:val="405" w:hRule="atLeast"/>
        </w:trPr>
        <w:tc>
          <w:tcPr>
            <w:tcW w:w="14600" w:type="dxa"/>
            <w:gridSpan w:val="8"/>
            <w:tcBorders>
              <w:top w:val="nil"/>
              <w:left w:val="nil"/>
              <w:bottom w:val="nil"/>
              <w:right w:val="nil"/>
            </w:tcBorders>
            <w:noWrap w:val="0"/>
            <w:vAlign w:val="center"/>
          </w:tcPr>
          <w:p>
            <w:pPr>
              <w:widowControl/>
              <w:jc w:val="center"/>
              <w:rPr>
                <w:rFonts w:ascii="Courier New" w:hAnsi="Courier New" w:cs="Courier New"/>
                <w:b/>
                <w:bCs/>
                <w:kern w:val="0"/>
                <w:sz w:val="32"/>
                <w:szCs w:val="32"/>
              </w:rPr>
            </w:pPr>
            <w:r>
              <w:rPr>
                <w:rFonts w:ascii="Courier New" w:hAnsi="Courier New" w:cs="Courier New"/>
                <w:b/>
                <w:bCs/>
                <w:kern w:val="0"/>
                <w:sz w:val="32"/>
                <w:szCs w:val="32"/>
              </w:rPr>
              <w:t>市政</w:t>
            </w:r>
            <w:r>
              <w:rPr>
                <w:rFonts w:hint="eastAsia" w:ascii="Courier New" w:hAnsi="Courier New" w:cs="Courier New"/>
                <w:b/>
                <w:bCs/>
                <w:kern w:val="0"/>
                <w:sz w:val="32"/>
                <w:szCs w:val="32"/>
                <w:lang w:eastAsia="zh-CN"/>
              </w:rPr>
              <w:t>基础设施</w:t>
            </w:r>
            <w:r>
              <w:rPr>
                <w:rFonts w:ascii="Courier New" w:hAnsi="Courier New" w:cs="Courier New"/>
                <w:b/>
                <w:bCs/>
                <w:kern w:val="0"/>
                <w:sz w:val="32"/>
                <w:szCs w:val="32"/>
              </w:rPr>
              <w:t>工程</w:t>
            </w:r>
            <w:r>
              <w:rPr>
                <w:rFonts w:hint="eastAsia" w:ascii="Courier New" w:hAnsi="Courier New" w:cs="Courier New"/>
                <w:b/>
                <w:bCs/>
                <w:kern w:val="0"/>
                <w:sz w:val="32"/>
                <w:szCs w:val="32"/>
              </w:rPr>
              <w:t>建设规模标准</w:t>
            </w:r>
          </w:p>
        </w:tc>
      </w:tr>
      <w:tr>
        <w:tblPrEx>
          <w:tblCellMar>
            <w:top w:w="0" w:type="dxa"/>
            <w:left w:w="108" w:type="dxa"/>
            <w:bottom w:w="0" w:type="dxa"/>
            <w:right w:w="108" w:type="dxa"/>
          </w:tblCellMar>
        </w:tblPrEx>
        <w:trPr>
          <w:trHeight w:val="285" w:hRule="atLeast"/>
        </w:trPr>
        <w:tc>
          <w:tcPr>
            <w:tcW w:w="67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Courier New" w:hAnsi="Courier New" w:cs="Courier New"/>
                <w:b/>
                <w:bCs/>
                <w:kern w:val="0"/>
                <w:sz w:val="24"/>
                <w:szCs w:val="24"/>
              </w:rPr>
            </w:pPr>
            <w:r>
              <w:rPr>
                <w:rFonts w:ascii="Courier New" w:hAnsi="Courier New" w:cs="Courier New"/>
                <w:b/>
                <w:bCs/>
                <w:kern w:val="0"/>
                <w:sz w:val="24"/>
                <w:szCs w:val="24"/>
              </w:rPr>
              <w:t>序号</w:t>
            </w:r>
          </w:p>
        </w:tc>
        <w:tc>
          <w:tcPr>
            <w:tcW w:w="18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Courier New" w:hAnsi="Courier New" w:cs="Courier New"/>
                <w:b/>
                <w:bCs/>
                <w:kern w:val="0"/>
                <w:sz w:val="24"/>
                <w:szCs w:val="24"/>
              </w:rPr>
            </w:pPr>
            <w:r>
              <w:rPr>
                <w:rFonts w:ascii="Courier New" w:hAnsi="Courier New" w:cs="Courier New"/>
                <w:b/>
                <w:bCs/>
                <w:kern w:val="0"/>
                <w:sz w:val="24"/>
                <w:szCs w:val="24"/>
              </w:rPr>
              <w:t>工程类别</w:t>
            </w:r>
          </w:p>
        </w:tc>
        <w:tc>
          <w:tcPr>
            <w:tcW w:w="20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Courier New" w:hAnsi="Courier New" w:cs="Courier New"/>
                <w:b/>
                <w:bCs/>
                <w:kern w:val="0"/>
                <w:sz w:val="24"/>
                <w:szCs w:val="24"/>
              </w:rPr>
            </w:pPr>
            <w:r>
              <w:rPr>
                <w:rFonts w:ascii="Courier New" w:hAnsi="Courier New" w:cs="Courier New"/>
                <w:b/>
                <w:bCs/>
                <w:kern w:val="0"/>
                <w:sz w:val="24"/>
                <w:szCs w:val="24"/>
              </w:rPr>
              <w:t>项目名称</w:t>
            </w:r>
          </w:p>
        </w:tc>
        <w:tc>
          <w:tcPr>
            <w:tcW w:w="67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Courier New" w:hAnsi="Courier New" w:cs="Courier New"/>
                <w:b/>
                <w:bCs/>
                <w:kern w:val="0"/>
                <w:sz w:val="24"/>
                <w:szCs w:val="24"/>
              </w:rPr>
            </w:pPr>
            <w:r>
              <w:rPr>
                <w:rFonts w:ascii="Courier New" w:hAnsi="Courier New" w:cs="Courier New"/>
                <w:b/>
                <w:bCs/>
                <w:kern w:val="0"/>
                <w:sz w:val="24"/>
                <w:szCs w:val="24"/>
              </w:rPr>
              <w:t>单位</w:t>
            </w:r>
          </w:p>
        </w:tc>
        <w:tc>
          <w:tcPr>
            <w:tcW w:w="7401"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Courier New" w:hAnsi="Courier New" w:cs="Courier New"/>
                <w:b/>
                <w:bCs/>
                <w:kern w:val="0"/>
                <w:sz w:val="24"/>
                <w:szCs w:val="24"/>
              </w:rPr>
            </w:pPr>
            <w:r>
              <w:rPr>
                <w:rFonts w:ascii="Courier New" w:hAnsi="Courier New" w:cs="Courier New"/>
                <w:b/>
                <w:bCs/>
                <w:kern w:val="0"/>
                <w:sz w:val="24"/>
                <w:szCs w:val="24"/>
              </w:rPr>
              <w:t>规     模</w:t>
            </w:r>
          </w:p>
        </w:tc>
        <w:tc>
          <w:tcPr>
            <w:tcW w:w="194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Courier New" w:hAnsi="Courier New" w:cs="Courier New"/>
                <w:b/>
                <w:bCs/>
                <w:kern w:val="0"/>
                <w:sz w:val="24"/>
                <w:szCs w:val="24"/>
              </w:rPr>
            </w:pPr>
            <w:r>
              <w:rPr>
                <w:rFonts w:ascii="Courier New" w:hAnsi="Courier New" w:cs="Courier New"/>
                <w:b/>
                <w:bCs/>
                <w:kern w:val="0"/>
                <w:sz w:val="24"/>
                <w:szCs w:val="24"/>
              </w:rPr>
              <w:t>备   注</w:t>
            </w:r>
          </w:p>
        </w:tc>
      </w:tr>
      <w:tr>
        <w:tblPrEx>
          <w:tblCellMar>
            <w:top w:w="0" w:type="dxa"/>
            <w:left w:w="108" w:type="dxa"/>
            <w:bottom w:w="0" w:type="dxa"/>
            <w:right w:w="108" w:type="dxa"/>
          </w:tblCellMar>
        </w:tblPrEx>
        <w:trPr>
          <w:trHeight w:val="285" w:hRule="atLeast"/>
        </w:trPr>
        <w:tc>
          <w:tcPr>
            <w:tcW w:w="67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Courier New" w:hAnsi="Courier New" w:cs="Courier New"/>
                <w:b/>
                <w:bCs/>
                <w:kern w:val="0"/>
                <w:sz w:val="24"/>
                <w:szCs w:val="24"/>
              </w:rPr>
            </w:pPr>
          </w:p>
        </w:tc>
        <w:tc>
          <w:tcPr>
            <w:tcW w:w="181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Courier New" w:hAnsi="Courier New" w:cs="Courier New"/>
                <w:b/>
                <w:bCs/>
                <w:kern w:val="0"/>
                <w:sz w:val="24"/>
                <w:szCs w:val="24"/>
              </w:rPr>
            </w:pPr>
          </w:p>
        </w:tc>
        <w:tc>
          <w:tcPr>
            <w:tcW w:w="20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Courier New" w:hAnsi="Courier New" w:cs="Courier New"/>
                <w:b/>
                <w:bCs/>
                <w:kern w:val="0"/>
                <w:sz w:val="24"/>
                <w:szCs w:val="24"/>
              </w:rPr>
            </w:pPr>
          </w:p>
        </w:tc>
        <w:tc>
          <w:tcPr>
            <w:tcW w:w="67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Courier New" w:hAnsi="Courier New" w:cs="Courier New"/>
                <w:b/>
                <w:bCs/>
                <w:kern w:val="0"/>
                <w:sz w:val="24"/>
                <w:szCs w:val="24"/>
              </w:rPr>
            </w:pPr>
          </w:p>
        </w:tc>
        <w:tc>
          <w:tcPr>
            <w:tcW w:w="2418"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b/>
                <w:bCs/>
                <w:kern w:val="0"/>
                <w:sz w:val="24"/>
                <w:szCs w:val="24"/>
              </w:rPr>
            </w:pPr>
            <w:r>
              <w:rPr>
                <w:rFonts w:ascii="Courier New" w:hAnsi="Courier New" w:cs="Courier New"/>
                <w:b/>
                <w:bCs/>
                <w:kern w:val="0"/>
                <w:sz w:val="24"/>
                <w:szCs w:val="24"/>
              </w:rPr>
              <w:t>大型</w:t>
            </w:r>
          </w:p>
        </w:tc>
        <w:tc>
          <w:tcPr>
            <w:tcW w:w="2566"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b/>
                <w:bCs/>
                <w:kern w:val="0"/>
                <w:sz w:val="24"/>
                <w:szCs w:val="24"/>
              </w:rPr>
            </w:pPr>
            <w:r>
              <w:rPr>
                <w:rFonts w:ascii="Courier New" w:hAnsi="Courier New" w:cs="Courier New"/>
                <w:b/>
                <w:bCs/>
                <w:kern w:val="0"/>
                <w:sz w:val="24"/>
                <w:szCs w:val="24"/>
              </w:rPr>
              <w:t>中型</w:t>
            </w:r>
          </w:p>
        </w:tc>
        <w:tc>
          <w:tcPr>
            <w:tcW w:w="2417"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b/>
                <w:bCs/>
                <w:kern w:val="0"/>
                <w:sz w:val="24"/>
                <w:szCs w:val="24"/>
              </w:rPr>
            </w:pPr>
            <w:r>
              <w:rPr>
                <w:rFonts w:ascii="Courier New" w:hAnsi="Courier New" w:cs="Courier New"/>
                <w:b/>
                <w:bCs/>
                <w:kern w:val="0"/>
                <w:sz w:val="24"/>
                <w:szCs w:val="24"/>
              </w:rPr>
              <w:t>小型</w:t>
            </w:r>
          </w:p>
        </w:tc>
        <w:tc>
          <w:tcPr>
            <w:tcW w:w="19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Courier New" w:hAnsi="Courier New" w:cs="Courier New"/>
                <w:b/>
                <w:bCs/>
                <w:kern w:val="0"/>
                <w:sz w:val="24"/>
                <w:szCs w:val="24"/>
              </w:rPr>
            </w:pPr>
          </w:p>
        </w:tc>
      </w:tr>
      <w:tr>
        <w:tblPrEx>
          <w:tblCellMar>
            <w:top w:w="0" w:type="dxa"/>
            <w:left w:w="108" w:type="dxa"/>
            <w:bottom w:w="0" w:type="dxa"/>
            <w:right w:w="108" w:type="dxa"/>
          </w:tblCellMar>
        </w:tblPrEx>
        <w:trPr>
          <w:trHeight w:val="1155" w:hRule="atLeast"/>
        </w:trPr>
        <w:tc>
          <w:tcPr>
            <w:tcW w:w="672"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18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城市道路</w:t>
            </w: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路基工程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城市快速路、主干道路基工程≥5千米,单项工程合同额≥3000万元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城市快速路、主（次）干道路基工程2～5千米,单项工程合同额1000～3000万元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城市次干道路基工程＜2千米，单项工程合同额＜1000万元</w:t>
            </w:r>
          </w:p>
        </w:tc>
        <w:tc>
          <w:tcPr>
            <w:tcW w:w="194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含城市快速路、城市环路，不含城际间公路</w:t>
            </w:r>
          </w:p>
        </w:tc>
      </w:tr>
      <w:tr>
        <w:tblPrEx>
          <w:tblCellMar>
            <w:top w:w="0" w:type="dxa"/>
            <w:left w:w="108" w:type="dxa"/>
            <w:bottom w:w="0" w:type="dxa"/>
            <w:right w:w="108" w:type="dxa"/>
          </w:tblCellMar>
        </w:tblPrEx>
        <w:trPr>
          <w:trHeight w:val="780" w:hRule="atLeast"/>
        </w:trPr>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8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路面工程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高等级路面≥10万平方米，单项工程合同额≥3000万元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高等级路面5～10 万平方米,单项工程合同额1000～3000万元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次高等级路面，单项工程合同额＜1000万元</w:t>
            </w:r>
          </w:p>
        </w:tc>
        <w:tc>
          <w:tcPr>
            <w:tcW w:w="194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r>
      <w:tr>
        <w:tblPrEx>
          <w:tblCellMar>
            <w:top w:w="0" w:type="dxa"/>
            <w:left w:w="108" w:type="dxa"/>
            <w:bottom w:w="0" w:type="dxa"/>
            <w:right w:w="108" w:type="dxa"/>
          </w:tblCellMar>
        </w:tblPrEx>
        <w:trPr>
          <w:trHeight w:val="705" w:hRule="atLeast"/>
        </w:trPr>
        <w:tc>
          <w:tcPr>
            <w:tcW w:w="672"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181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城市公共广场</w:t>
            </w: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广场工程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广场面积≥5万平方米,单项工程合同额≥3000万元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广场面积2～5万平方米,单项工程合同额1000～3000万元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单项工程合同额＜1000万元</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含体育场</w:t>
            </w:r>
          </w:p>
        </w:tc>
      </w:tr>
      <w:tr>
        <w:tblPrEx>
          <w:tblCellMar>
            <w:top w:w="0" w:type="dxa"/>
            <w:left w:w="108" w:type="dxa"/>
            <w:bottom w:w="0" w:type="dxa"/>
            <w:right w:w="108" w:type="dxa"/>
          </w:tblCellMar>
        </w:tblPrEx>
        <w:trPr>
          <w:trHeight w:val="1050" w:hRule="atLeast"/>
        </w:trPr>
        <w:tc>
          <w:tcPr>
            <w:tcW w:w="672"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181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城市桥梁</w:t>
            </w: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桥梁工程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单跨跨度≥40米;单项工程合同额≥3000万元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单跨的跨度20～40米;单项工程合同额1000～3000万元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单跨跨度＜20米;单项工程合同额＜1000万元</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含过街天桥</w:t>
            </w:r>
          </w:p>
        </w:tc>
      </w:tr>
      <w:tr>
        <w:tblPrEx>
          <w:tblCellMar>
            <w:top w:w="0" w:type="dxa"/>
            <w:left w:w="108" w:type="dxa"/>
            <w:bottom w:w="0" w:type="dxa"/>
            <w:right w:w="108" w:type="dxa"/>
          </w:tblCellMar>
        </w:tblPrEx>
        <w:trPr>
          <w:trHeight w:val="1020" w:hRule="atLeast"/>
        </w:trPr>
        <w:tc>
          <w:tcPr>
            <w:tcW w:w="672"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18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地下交通</w:t>
            </w: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隧道工程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内径（宽或高）≥5米或单洞洞长单洞洞长≥1000米，单项工程合同额≥3000万元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内径（宽或高）3～5米，单项工程合同额1000～3000万元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内径（宽或高）＜3米，单项工程合同额＜1000万元</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含地下过街通道；小型工程不含盾构施工</w:t>
            </w:r>
          </w:p>
        </w:tc>
      </w:tr>
      <w:tr>
        <w:tblPrEx>
          <w:tblCellMar>
            <w:top w:w="0" w:type="dxa"/>
            <w:left w:w="108" w:type="dxa"/>
            <w:bottom w:w="0" w:type="dxa"/>
            <w:right w:w="108" w:type="dxa"/>
          </w:tblCellMar>
        </w:tblPrEx>
        <w:trPr>
          <w:trHeight w:val="285" w:hRule="atLeast"/>
        </w:trPr>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8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车站工程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单项工程合同≥3000万元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单项工程合同＜3000万元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　</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小型工程不含车站工程</w:t>
            </w:r>
          </w:p>
        </w:tc>
      </w:tr>
      <w:tr>
        <w:tblPrEx>
          <w:tblCellMar>
            <w:top w:w="0" w:type="dxa"/>
            <w:left w:w="108" w:type="dxa"/>
            <w:bottom w:w="0" w:type="dxa"/>
            <w:right w:w="108" w:type="dxa"/>
          </w:tblCellMar>
        </w:tblPrEx>
        <w:trPr>
          <w:trHeight w:val="735" w:hRule="atLeast"/>
        </w:trPr>
        <w:tc>
          <w:tcPr>
            <w:tcW w:w="672"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18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城市供水</w:t>
            </w: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供水厂</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日处理量≥5万吨，单项工程合同额≥3000万元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日处理量3～5万吨，单项工程合同额1000～3000万元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日处理量＜3 万吨，单项工程合同额＜1000 万元</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含中水工程，加压站工程</w:t>
            </w:r>
          </w:p>
        </w:tc>
      </w:tr>
      <w:tr>
        <w:tblPrEx>
          <w:tblCellMar>
            <w:top w:w="0" w:type="dxa"/>
            <w:left w:w="108" w:type="dxa"/>
            <w:bottom w:w="0" w:type="dxa"/>
            <w:right w:w="108" w:type="dxa"/>
          </w:tblCellMar>
        </w:tblPrEx>
        <w:trPr>
          <w:trHeight w:val="480" w:hRule="atLeast"/>
        </w:trPr>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8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供水管道</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管径≥1.5米，单项工程合同额≥3000万元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管径0.8～1.5米，单项工程合同额1000～3000万元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管径＜0.8米，单项工程合同额＜1000万元</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含中水工程，本表中的管径为公称直径DN</w:t>
            </w:r>
          </w:p>
        </w:tc>
      </w:tr>
      <w:tr>
        <w:tblPrEx>
          <w:tblCellMar>
            <w:top w:w="0" w:type="dxa"/>
            <w:left w:w="108" w:type="dxa"/>
            <w:bottom w:w="0" w:type="dxa"/>
            <w:right w:w="108" w:type="dxa"/>
          </w:tblCellMar>
        </w:tblPrEx>
        <w:trPr>
          <w:trHeight w:val="480" w:hRule="atLeast"/>
        </w:trPr>
        <w:tc>
          <w:tcPr>
            <w:tcW w:w="672"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6</w:t>
            </w:r>
          </w:p>
        </w:tc>
        <w:tc>
          <w:tcPr>
            <w:tcW w:w="18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城市排水</w:t>
            </w: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污水处理厂</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日处理量≥5万吨，单项工程合同额≥3000万元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日处理量3～5万吨，单项工程合同额1000～3000万元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日处理量＜3万吨，单项工程合同额＜1000万元</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含泵站</w:t>
            </w:r>
          </w:p>
        </w:tc>
      </w:tr>
      <w:tr>
        <w:tblPrEx>
          <w:tblCellMar>
            <w:top w:w="0" w:type="dxa"/>
            <w:left w:w="108" w:type="dxa"/>
            <w:bottom w:w="0" w:type="dxa"/>
            <w:right w:w="108" w:type="dxa"/>
          </w:tblCellMar>
        </w:tblPrEx>
        <w:trPr>
          <w:trHeight w:val="480" w:hRule="atLeast"/>
        </w:trPr>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8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排水管道工程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管径≥1.5米，单项工程合同额≥3000万元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管径0.8～1.5米，单项工程合同额1000～3000万元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管径＜0.8米,单项工程合同额＜1000万元</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含小型泵站，本表中的管径为公称直径DN</w:t>
            </w:r>
          </w:p>
        </w:tc>
      </w:tr>
      <w:tr>
        <w:tblPrEx>
          <w:tblCellMar>
            <w:top w:w="0" w:type="dxa"/>
            <w:left w:w="108" w:type="dxa"/>
            <w:bottom w:w="0" w:type="dxa"/>
            <w:right w:w="108" w:type="dxa"/>
          </w:tblCellMar>
        </w:tblPrEx>
        <w:trPr>
          <w:trHeight w:val="825" w:hRule="atLeast"/>
        </w:trPr>
        <w:tc>
          <w:tcPr>
            <w:tcW w:w="672"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18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城市供气</w:t>
            </w: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燃气源工程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日产气量≥30万立方米，单项工程合同额≥3000万元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日产气量10～30万立方米，单项工程合同额1000～3000万元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日产气量＜10万立方米，单项工程合同额＜1000万元</w:t>
            </w:r>
          </w:p>
        </w:tc>
        <w:tc>
          <w:tcPr>
            <w:tcW w:w="194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　</w:t>
            </w:r>
          </w:p>
        </w:tc>
      </w:tr>
      <w:tr>
        <w:tblPrEx>
          <w:tblCellMar>
            <w:top w:w="0" w:type="dxa"/>
            <w:left w:w="108" w:type="dxa"/>
            <w:bottom w:w="0" w:type="dxa"/>
            <w:right w:w="108" w:type="dxa"/>
          </w:tblCellMar>
        </w:tblPrEx>
        <w:trPr>
          <w:trHeight w:val="855" w:hRule="atLeast"/>
        </w:trPr>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8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燃气管道工程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高压以上管道， 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次高压管道，单项工程合同额1000～3000万元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 xml:space="preserve">中压以下管道，单项工程合同额＜1000万元 </w:t>
            </w:r>
          </w:p>
        </w:tc>
        <w:tc>
          <w:tcPr>
            <w:tcW w:w="194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r>
      <w:tr>
        <w:tblPrEx>
          <w:tblCellMar>
            <w:top w:w="0" w:type="dxa"/>
            <w:left w:w="108" w:type="dxa"/>
            <w:bottom w:w="0" w:type="dxa"/>
            <w:right w:w="108" w:type="dxa"/>
          </w:tblCellMar>
        </w:tblPrEx>
        <w:trPr>
          <w:trHeight w:val="570" w:hRule="atLeast"/>
        </w:trPr>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8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095"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储备厂（站）工程</w:t>
            </w:r>
          </w:p>
        </w:tc>
        <w:tc>
          <w:tcPr>
            <w:tcW w:w="672"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设计压力＞2.5兆帕或总贮存容积＞1000立方米的液化石油气或 ＞400立方米的液化天然气贮罐厂（站）或供气规模＞15万立方米/日的燃气工程，单项合同额≥3000万元的工程</w:t>
            </w:r>
          </w:p>
        </w:tc>
        <w:tc>
          <w:tcPr>
            <w:tcW w:w="256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设计压力2.0～2.5兆帕或总贮存容积500～1000立方米的液化石油气或200～400立方米的液化天然气贮罐厂（站）或供气规模5～15万立方米/日的燃气工程，单项合同额≥1000～3000万元工程</w:t>
            </w:r>
          </w:p>
        </w:tc>
        <w:tc>
          <w:tcPr>
            <w:tcW w:w="2417"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设计压力＜2.0兆帕或总贮存容积＜500的立方米液化石油气或＜200立方米的液化天然气贮罐厂（站）或供气规模＜5万立方米/日的燃气工程，单项合同额＜1000万元的工程</w:t>
            </w:r>
          </w:p>
        </w:tc>
        <w:tc>
          <w:tcPr>
            <w:tcW w:w="194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含调压站、混气站、气化站、压缩天然气站、汽车加气站等</w:t>
            </w:r>
          </w:p>
        </w:tc>
      </w:tr>
      <w:tr>
        <w:tblPrEx>
          <w:tblCellMar>
            <w:top w:w="0" w:type="dxa"/>
            <w:left w:w="108" w:type="dxa"/>
            <w:bottom w:w="0" w:type="dxa"/>
            <w:right w:w="108" w:type="dxa"/>
          </w:tblCellMar>
        </w:tblPrEx>
        <w:trPr>
          <w:trHeight w:val="570" w:hRule="atLeast"/>
        </w:trPr>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8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09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41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56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417"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194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r>
      <w:tr>
        <w:tblPrEx>
          <w:tblCellMar>
            <w:top w:w="0" w:type="dxa"/>
            <w:left w:w="108" w:type="dxa"/>
            <w:bottom w:w="0" w:type="dxa"/>
            <w:right w:w="108" w:type="dxa"/>
          </w:tblCellMar>
        </w:tblPrEx>
        <w:trPr>
          <w:trHeight w:val="570" w:hRule="atLeast"/>
        </w:trPr>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8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09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41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56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417"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194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r>
      <w:tr>
        <w:tblPrEx>
          <w:tblCellMar>
            <w:top w:w="0" w:type="dxa"/>
            <w:left w:w="108" w:type="dxa"/>
            <w:bottom w:w="0" w:type="dxa"/>
            <w:right w:w="108" w:type="dxa"/>
          </w:tblCellMar>
        </w:tblPrEx>
        <w:trPr>
          <w:trHeight w:val="570" w:hRule="atLeast"/>
        </w:trPr>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8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09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41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56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417"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194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r>
      <w:tr>
        <w:tblPrEx>
          <w:tblCellMar>
            <w:top w:w="0" w:type="dxa"/>
            <w:left w:w="108" w:type="dxa"/>
            <w:bottom w:w="0" w:type="dxa"/>
            <w:right w:w="108" w:type="dxa"/>
          </w:tblCellMar>
        </w:tblPrEx>
        <w:trPr>
          <w:trHeight w:val="352" w:hRule="atLeast"/>
        </w:trPr>
        <w:tc>
          <w:tcPr>
            <w:tcW w:w="672"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8</w:t>
            </w:r>
          </w:p>
        </w:tc>
        <w:tc>
          <w:tcPr>
            <w:tcW w:w="18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城市供热</w:t>
            </w: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热源工程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产热量≥250吨/小时或供热面积＞30万平方米，单项工程合同额≥3000万元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产热量80～250吨/小时或供热面积10～30万平方米，单项工程合同额1000～3000万元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产热量＜80吨/小时或供热面积＜10万平方米，单项工程合同额＜1000万元</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　</w:t>
            </w:r>
          </w:p>
        </w:tc>
      </w:tr>
      <w:tr>
        <w:tblPrEx>
          <w:tblCellMar>
            <w:top w:w="0" w:type="dxa"/>
            <w:left w:w="108" w:type="dxa"/>
            <w:bottom w:w="0" w:type="dxa"/>
            <w:right w:w="108" w:type="dxa"/>
          </w:tblCellMar>
        </w:tblPrEx>
        <w:trPr>
          <w:trHeight w:val="705" w:hRule="atLeast"/>
        </w:trPr>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8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管道工程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管径≥500毫米, 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管径200～500毫米，单项工程合同额1000～3000万元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管径＜200毫米，单项工程合同额＜1000万元</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本表中的管径为公称直径DN</w:t>
            </w:r>
          </w:p>
        </w:tc>
      </w:tr>
      <w:tr>
        <w:tblPrEx>
          <w:tblCellMar>
            <w:top w:w="0" w:type="dxa"/>
            <w:left w:w="108" w:type="dxa"/>
            <w:bottom w:w="0" w:type="dxa"/>
            <w:right w:w="108" w:type="dxa"/>
          </w:tblCellMar>
        </w:tblPrEx>
        <w:trPr>
          <w:trHeight w:val="765" w:hRule="atLeast"/>
        </w:trPr>
        <w:tc>
          <w:tcPr>
            <w:tcW w:w="672"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18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生活垃圾</w:t>
            </w: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填埋场工程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日处理量≥800吨，单项工程合同额≥3000万元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日处理量400～800吨，单项工程合同额1000～3000万元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日处理量＜400吨，单项工程合同额＜1000万元</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填埋面积应折成处理量计</w:t>
            </w:r>
          </w:p>
        </w:tc>
      </w:tr>
      <w:tr>
        <w:tblPrEx>
          <w:tblCellMar>
            <w:top w:w="0" w:type="dxa"/>
            <w:left w:w="108" w:type="dxa"/>
            <w:bottom w:w="0" w:type="dxa"/>
            <w:right w:w="108" w:type="dxa"/>
          </w:tblCellMar>
        </w:tblPrEx>
        <w:trPr>
          <w:trHeight w:val="810" w:hRule="atLeast"/>
        </w:trPr>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8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焚烧厂工程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日处理量≥300吨，单项工程合同额≥3000万元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日处理量100～300吨，单项工程合同额1000～3000万元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日处理量＜100吨，单项工程合同额＜1000万元</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　</w:t>
            </w:r>
          </w:p>
        </w:tc>
      </w:tr>
      <w:tr>
        <w:tblPrEx>
          <w:tblCellMar>
            <w:top w:w="0" w:type="dxa"/>
            <w:left w:w="108" w:type="dxa"/>
            <w:bottom w:w="0" w:type="dxa"/>
            <w:right w:w="108" w:type="dxa"/>
          </w:tblCellMar>
        </w:tblPrEx>
        <w:trPr>
          <w:trHeight w:val="480" w:hRule="atLeast"/>
        </w:trPr>
        <w:tc>
          <w:tcPr>
            <w:tcW w:w="672"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81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交通安全设施</w:t>
            </w: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交通安全防护工程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单项工程合同额≥500万元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单项工程合同额200～500万元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 xml:space="preserve">单项工程合同额＜200万元 </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含护栏、隔离带，防护墩</w:t>
            </w:r>
          </w:p>
        </w:tc>
      </w:tr>
      <w:tr>
        <w:tblPrEx>
          <w:tblCellMar>
            <w:top w:w="0" w:type="dxa"/>
            <w:left w:w="108" w:type="dxa"/>
            <w:bottom w:w="0" w:type="dxa"/>
            <w:right w:w="108" w:type="dxa"/>
          </w:tblCellMar>
        </w:tblPrEx>
        <w:trPr>
          <w:trHeight w:val="480" w:hRule="atLeast"/>
        </w:trPr>
        <w:tc>
          <w:tcPr>
            <w:tcW w:w="672"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11</w:t>
            </w:r>
          </w:p>
        </w:tc>
        <w:tc>
          <w:tcPr>
            <w:tcW w:w="181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机电系统</w:t>
            </w: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机电设备安装工程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单项工程合同≥1000万元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单项工程合同额500～1000万元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 xml:space="preserve">单项工程合同额＜500万元 </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　</w:t>
            </w:r>
          </w:p>
        </w:tc>
      </w:tr>
      <w:tr>
        <w:tblPrEx>
          <w:tblCellMar>
            <w:top w:w="0" w:type="dxa"/>
            <w:left w:w="108" w:type="dxa"/>
            <w:bottom w:w="0" w:type="dxa"/>
            <w:right w:w="108" w:type="dxa"/>
          </w:tblCellMar>
        </w:tblPrEx>
        <w:trPr>
          <w:trHeight w:val="690" w:hRule="atLeast"/>
        </w:trPr>
        <w:tc>
          <w:tcPr>
            <w:tcW w:w="672"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c>
          <w:tcPr>
            <w:tcW w:w="18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轻轨交通</w:t>
            </w: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路基工程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路基工程≥2千米，单项工程合同额≥3000万元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路基工程1～2千米，单项工程合同1000～3000万元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路基工程＜1千米，单项工程合同额＜1000万元</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不含轨道铺设</w:t>
            </w:r>
          </w:p>
        </w:tc>
      </w:tr>
      <w:tr>
        <w:tblPrEx>
          <w:tblCellMar>
            <w:top w:w="0" w:type="dxa"/>
            <w:left w:w="108" w:type="dxa"/>
            <w:bottom w:w="0" w:type="dxa"/>
            <w:right w:w="108" w:type="dxa"/>
          </w:tblCellMar>
        </w:tblPrEx>
        <w:trPr>
          <w:trHeight w:val="1140" w:hRule="atLeast"/>
        </w:trPr>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8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桥涵工程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单跨跨度≥40米，单项工程合同额≥3000万元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单跨的跨度20～40米，单项工程合同额1000～3000万元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单跨跨度＜20米，单项工程合同额＜1000万元</w:t>
            </w:r>
          </w:p>
        </w:tc>
        <w:tc>
          <w:tcPr>
            <w:tcW w:w="1944"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不含轨道铺设</w:t>
            </w:r>
          </w:p>
        </w:tc>
      </w:tr>
      <w:tr>
        <w:tblPrEx>
          <w:tblCellMar>
            <w:top w:w="0" w:type="dxa"/>
            <w:left w:w="108" w:type="dxa"/>
            <w:bottom w:w="0" w:type="dxa"/>
            <w:right w:w="108" w:type="dxa"/>
          </w:tblCellMar>
        </w:tblPrEx>
        <w:trPr>
          <w:trHeight w:val="480" w:hRule="atLeast"/>
        </w:trPr>
        <w:tc>
          <w:tcPr>
            <w:tcW w:w="672"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13</w:t>
            </w:r>
          </w:p>
        </w:tc>
        <w:tc>
          <w:tcPr>
            <w:tcW w:w="18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城市园林</w:t>
            </w: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庭院工程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单项工程合同额≥1000万元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单项工程合同额500～1000万元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单项工程合同额＜500万元</w:t>
            </w:r>
          </w:p>
        </w:tc>
        <w:tc>
          <w:tcPr>
            <w:tcW w:w="194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含厅阁、走廊、假山、草坪、广场，绿化、景观</w:t>
            </w:r>
          </w:p>
        </w:tc>
      </w:tr>
      <w:tr>
        <w:tblPrEx>
          <w:tblCellMar>
            <w:top w:w="0" w:type="dxa"/>
            <w:left w:w="108" w:type="dxa"/>
            <w:bottom w:w="0" w:type="dxa"/>
            <w:right w:w="108" w:type="dxa"/>
          </w:tblCellMar>
        </w:tblPrEx>
        <w:trPr>
          <w:trHeight w:val="480" w:hRule="atLeast"/>
        </w:trPr>
        <w:tc>
          <w:tcPr>
            <w:tcW w:w="67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8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c>
          <w:tcPr>
            <w:tcW w:w="2095"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绿化工程</w:t>
            </w:r>
          </w:p>
        </w:tc>
        <w:tc>
          <w:tcPr>
            <w:tcW w:w="672" w:type="dxa"/>
            <w:tcBorders>
              <w:top w:val="nil"/>
              <w:left w:val="nil"/>
              <w:bottom w:val="single" w:color="auto" w:sz="4" w:space="0"/>
              <w:right w:val="single" w:color="auto" w:sz="4" w:space="0"/>
            </w:tcBorders>
            <w:noWrap w:val="0"/>
            <w:vAlign w:val="center"/>
          </w:tcPr>
          <w:p>
            <w:pPr>
              <w:widowControl/>
              <w:jc w:val="center"/>
              <w:rPr>
                <w:rFonts w:ascii="Courier New" w:hAnsi="Courier New" w:cs="Courier New"/>
                <w:kern w:val="0"/>
                <w:sz w:val="20"/>
              </w:rPr>
            </w:pPr>
            <w:r>
              <w:rPr>
                <w:rFonts w:ascii="Courier New" w:hAnsi="Courier New" w:cs="Courier New"/>
                <w:kern w:val="0"/>
                <w:sz w:val="20"/>
              </w:rPr>
              <w:t>　</w:t>
            </w:r>
          </w:p>
        </w:tc>
        <w:tc>
          <w:tcPr>
            <w:tcW w:w="2418"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单项工程合同额≥500万元</w:t>
            </w:r>
          </w:p>
        </w:tc>
        <w:tc>
          <w:tcPr>
            <w:tcW w:w="2566"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单项工程合同额300～500万元</w:t>
            </w:r>
          </w:p>
        </w:tc>
        <w:tc>
          <w:tcPr>
            <w:tcW w:w="2417" w:type="dxa"/>
            <w:tcBorders>
              <w:top w:val="nil"/>
              <w:left w:val="nil"/>
              <w:bottom w:val="single" w:color="auto" w:sz="4" w:space="0"/>
              <w:right w:val="single" w:color="auto" w:sz="4" w:space="0"/>
            </w:tcBorders>
            <w:noWrap w:val="0"/>
            <w:vAlign w:val="center"/>
          </w:tcPr>
          <w:p>
            <w:pPr>
              <w:widowControl/>
              <w:jc w:val="left"/>
              <w:rPr>
                <w:rFonts w:ascii="Courier New" w:hAnsi="Courier New" w:cs="Courier New"/>
                <w:kern w:val="0"/>
                <w:sz w:val="20"/>
              </w:rPr>
            </w:pPr>
            <w:r>
              <w:rPr>
                <w:rFonts w:ascii="Courier New" w:hAnsi="Courier New" w:cs="Courier New"/>
                <w:kern w:val="0"/>
                <w:sz w:val="20"/>
              </w:rPr>
              <w:t>单项工程合同额＜300万元</w:t>
            </w:r>
          </w:p>
        </w:tc>
        <w:tc>
          <w:tcPr>
            <w:tcW w:w="194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Courier New" w:hAnsi="Courier New" w:cs="Courier New"/>
                <w:kern w:val="0"/>
                <w:sz w:val="20"/>
              </w:rPr>
            </w:pPr>
          </w:p>
        </w:tc>
      </w:tr>
      <w:bookmarkEnd w:id="10"/>
      <w:bookmarkEnd w:id="11"/>
      <w:bookmarkEnd w:id="12"/>
    </w:tbl>
    <w:p>
      <w:pPr>
        <w:rPr>
          <w:rFonts w:hint="default"/>
          <w:lang w:val="en-US" w:eastAsia="zh-CN"/>
        </w:rPr>
      </w:pPr>
    </w:p>
    <w:sectPr>
      <w:headerReference r:id="rId5" w:type="default"/>
      <w:footerReference r:id="rId6" w:type="default"/>
      <w:pgSz w:w="16838" w:h="11906" w:orient="landscape"/>
      <w:pgMar w:top="1803" w:right="1440" w:bottom="1803" w:left="1440" w:header="851" w:footer="992" w:gutter="0"/>
      <w:paperSrc/>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E0002EFF" w:usb1="C000785B" w:usb2="00000009" w:usb3="00000000" w:csb0="400001FF" w:csb1="FFFF0000"/>
  </w:font>
  <w:font w:name="Cambria">
    <w:altName w:val="Noto Sans Syriac Eastern"/>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华文仿宋">
    <w:altName w:val="汉仪仿宋简"/>
    <w:panose1 w:val="02010600040101010101"/>
    <w:charset w:val="00"/>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ourier New">
    <w:altName w:val="DejaVu Sans"/>
    <w:panose1 w:val="02070309020205020404"/>
    <w:charset w:val="00"/>
    <w:family w:val="modern"/>
    <w:pitch w:val="default"/>
    <w:sig w:usb0="E0002EFF" w:usb1="C0007843"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- 1 -</w:t>
                          </w:r>
                          <w:r>
                            <w:fldChar w:fldCharType="end"/>
                          </w:r>
                        </w:p>
                      </w:txbxContent>
                    </wps:txbx>
                    <wps:bodyPr vert="horz" wrap="none" lIns="0" tIns="0" rIns="0" bIns="0" anchor="t" anchorCtr="false" upright="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tUfgjHAQAAewMAAA4AAAAAAAAA&#10;AQAgAAAANAEAAGRycy9lMm9Eb2MueG1sUEsFBgAAAAAGAAYAWQEAAG0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- 12 -</w:t>
                          </w:r>
                          <w:r>
                            <w:fldChar w:fldCharType="end"/>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sK2W7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q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CsK2W7HAQAAewMAAA4AAAAAAAAA&#10;AQAgAAAANAEAAGRycy9lMm9Eb2MueG1sUEsFBgAAAAAGAAYAWQEAAG0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- 12 -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2"/>
      <w:numFmt w:val="decimal"/>
      <w:suff w:val="nothing"/>
      <w:lvlText w:val="%1."/>
      <w:lvlJc w:val="left"/>
    </w:lvl>
  </w:abstractNum>
  <w:abstractNum w:abstractNumId="1">
    <w:nsid w:val="232904B2"/>
    <w:multiLevelType w:val="singleLevel"/>
    <w:tmpl w:val="232904B2"/>
    <w:lvl w:ilvl="0" w:tentative="0">
      <w:start w:val="1"/>
      <w:numFmt w:val="chineseCounting"/>
      <w:suff w:val="nothing"/>
      <w:lvlText w:val="%1、"/>
      <w:lvlJc w:val="left"/>
      <w:pPr>
        <w:ind w:left="336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7BF"/>
    <w:rsid w:val="00127004"/>
    <w:rsid w:val="001C1038"/>
    <w:rsid w:val="006758AA"/>
    <w:rsid w:val="009A43C0"/>
    <w:rsid w:val="00F327BF"/>
    <w:rsid w:val="0FDFECD5"/>
    <w:rsid w:val="111A3C9F"/>
    <w:rsid w:val="14EB7EAE"/>
    <w:rsid w:val="1CF170BB"/>
    <w:rsid w:val="1FE7E2B4"/>
    <w:rsid w:val="20254CE5"/>
    <w:rsid w:val="21AD4952"/>
    <w:rsid w:val="27F77243"/>
    <w:rsid w:val="285B31A2"/>
    <w:rsid w:val="2E7EA1B3"/>
    <w:rsid w:val="2FFFB2B2"/>
    <w:rsid w:val="308F0B61"/>
    <w:rsid w:val="36E1A35E"/>
    <w:rsid w:val="378F2249"/>
    <w:rsid w:val="3AC018E9"/>
    <w:rsid w:val="3C5F7406"/>
    <w:rsid w:val="471B73D1"/>
    <w:rsid w:val="474B6377"/>
    <w:rsid w:val="49943908"/>
    <w:rsid w:val="53DA352D"/>
    <w:rsid w:val="5A8E0919"/>
    <w:rsid w:val="5AE63799"/>
    <w:rsid w:val="5F336F39"/>
    <w:rsid w:val="648D6FF2"/>
    <w:rsid w:val="6B7F3BE8"/>
    <w:rsid w:val="6BBFB831"/>
    <w:rsid w:val="6EE61372"/>
    <w:rsid w:val="6EFFA4D3"/>
    <w:rsid w:val="6FE68EDE"/>
    <w:rsid w:val="6FFDB4CD"/>
    <w:rsid w:val="73F0B240"/>
    <w:rsid w:val="74EE1B17"/>
    <w:rsid w:val="77F52EC2"/>
    <w:rsid w:val="791F70C0"/>
    <w:rsid w:val="79B5A1BB"/>
    <w:rsid w:val="7A3F6D5F"/>
    <w:rsid w:val="7AF79222"/>
    <w:rsid w:val="7AFA3BD6"/>
    <w:rsid w:val="7BEFC624"/>
    <w:rsid w:val="7C352521"/>
    <w:rsid w:val="7CDC5831"/>
    <w:rsid w:val="7ED9EC29"/>
    <w:rsid w:val="7F2D034F"/>
    <w:rsid w:val="7FAFA533"/>
    <w:rsid w:val="7FBEAAB7"/>
    <w:rsid w:val="7FDF6D69"/>
    <w:rsid w:val="7FEF7450"/>
    <w:rsid w:val="7FF97FA2"/>
    <w:rsid w:val="95D9F488"/>
    <w:rsid w:val="9F2BED77"/>
    <w:rsid w:val="B2DB5F5C"/>
    <w:rsid w:val="B5FA70F6"/>
    <w:rsid w:val="BBF5C412"/>
    <w:rsid w:val="BDF7F924"/>
    <w:rsid w:val="BFBF05A7"/>
    <w:rsid w:val="BFF69F2A"/>
    <w:rsid w:val="BFF7C65D"/>
    <w:rsid w:val="D1FD013C"/>
    <w:rsid w:val="D37F8B78"/>
    <w:rsid w:val="D6BC9A89"/>
    <w:rsid w:val="DFFF74B8"/>
    <w:rsid w:val="E77EBA0B"/>
    <w:rsid w:val="E9FCE2C3"/>
    <w:rsid w:val="EB7FA486"/>
    <w:rsid w:val="EBFC8CAD"/>
    <w:rsid w:val="EDDF1AB4"/>
    <w:rsid w:val="EDFA4F1B"/>
    <w:rsid w:val="EEB9D6A0"/>
    <w:rsid w:val="F572B9EC"/>
    <w:rsid w:val="F7DB3CDC"/>
    <w:rsid w:val="F7F17887"/>
    <w:rsid w:val="F9FF6C97"/>
    <w:rsid w:val="FD6FF649"/>
    <w:rsid w:val="FEF75893"/>
    <w:rsid w:val="FEFE3B90"/>
    <w:rsid w:val="FFB7BE6B"/>
    <w:rsid w:val="FFFFBBE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kern w:val="2"/>
      <w:sz w:val="21"/>
      <w:szCs w:val="22"/>
      <w:lang w:val="en-US" w:eastAsia="zh-CN" w:bidi="ar-SA"/>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character" w:default="1" w:styleId="10">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customStyle="1" w:styleId="2">
    <w:name w:val="table of authorities"/>
    <w:next w:val="1"/>
    <w:qFormat/>
    <w:uiPriority w:val="0"/>
    <w:pPr>
      <w:widowControl w:val="0"/>
      <w:spacing w:before="0" w:beforeLines="0" w:after="0" w:afterLines="0"/>
      <w:ind w:left="420" w:leftChars="200" w:right="0"/>
      <w:jc w:val="both"/>
    </w:pPr>
    <w:rPr>
      <w:rFonts w:ascii="Calibri" w:hAnsi="Calibri" w:eastAsia="宋体" w:cs="Times New Roman"/>
      <w:kern w:val="2"/>
      <w:sz w:val="32"/>
      <w:szCs w:val="32"/>
      <w:lang w:val="en-US" w:eastAsia="zh-CN" w:bidi="ar-SA"/>
    </w:rPr>
  </w:style>
  <w:style w:type="paragraph" w:styleId="4">
    <w:name w:val="annotation text"/>
    <w:basedOn w:val="1"/>
    <w:uiPriority w:val="0"/>
    <w:pPr>
      <w:jc w:val="left"/>
    </w:pPr>
  </w:style>
  <w:style w:type="paragraph" w:styleId="5">
    <w:name w:val="footer"/>
    <w:basedOn w:val="1"/>
    <w:link w:val="12"/>
    <w:unhideWhenUsed/>
    <w:qFormat/>
    <w:uiPriority w:val="0"/>
    <w:pPr>
      <w:tabs>
        <w:tab w:val="center" w:pos="4153"/>
        <w:tab w:val="right" w:pos="8306"/>
      </w:tabs>
      <w:snapToGrid w:val="0"/>
      <w:jc w:val="left"/>
    </w:pPr>
    <w:rPr>
      <w:rFonts w:ascii="Times New Roman" w:hAnsi="Times New Roman"/>
      <w:kern w:val="0"/>
      <w:sz w:val="18"/>
      <w:szCs w:val="18"/>
    </w:rPr>
  </w:style>
  <w:style w:type="paragraph" w:styleId="6">
    <w:name w:val="header"/>
    <w:basedOn w:val="1"/>
    <w:link w:val="13"/>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7">
    <w:name w:val="Normal (Web)"/>
    <w:basedOn w:val="1"/>
    <w:uiPriority w:val="0"/>
    <w:pPr>
      <w:widowControl/>
      <w:spacing w:before="100" w:beforeAutospacing="1" w:after="100" w:afterAutospacing="1"/>
      <w:jc w:val="left"/>
    </w:pPr>
    <w:rPr>
      <w:rFonts w:ascii="宋体" w:hAnsi="宋体" w:cs="宋体"/>
      <w:kern w:val="0"/>
      <w:sz w:val="24"/>
      <w:szCs w:val="24"/>
    </w:rPr>
  </w:style>
  <w:style w:type="paragraph" w:styleId="8">
    <w:name w:val="Title"/>
    <w:basedOn w:val="1"/>
    <w:next w:val="1"/>
    <w:qFormat/>
    <w:uiPriority w:val="0"/>
    <w:pPr>
      <w:spacing w:before="240" w:after="60"/>
      <w:jc w:val="center"/>
      <w:outlineLvl w:val="0"/>
    </w:pPr>
    <w:rPr>
      <w:rFonts w:ascii="Cambria" w:hAnsi="Cambria"/>
      <w:b/>
      <w:bCs/>
      <w:sz w:val="32"/>
      <w:szCs w:val="32"/>
    </w:rPr>
  </w:style>
  <w:style w:type="character" w:styleId="11">
    <w:name w:val="page number"/>
    <w:basedOn w:val="10"/>
    <w:qFormat/>
    <w:uiPriority w:val="0"/>
  </w:style>
  <w:style w:type="character" w:customStyle="1" w:styleId="12">
    <w:name w:val="页脚 Char"/>
    <w:link w:val="5"/>
    <w:qFormat/>
    <w:uiPriority w:val="0"/>
    <w:rPr>
      <w:sz w:val="18"/>
      <w:szCs w:val="18"/>
      <w:lang w:bidi="ar-SA"/>
    </w:rPr>
  </w:style>
  <w:style w:type="character" w:customStyle="1" w:styleId="13">
    <w:name w:val="页眉 Char"/>
    <w:link w:val="6"/>
    <w:semiHidden/>
    <w:qFormat/>
    <w:uiPriority w:val="0"/>
    <w:rPr>
      <w:sz w:val="18"/>
      <w:szCs w:val="18"/>
      <w:lang w:bidi="ar-SA"/>
    </w:rPr>
  </w:style>
  <w:style w:type="character" w:customStyle="1" w:styleId="14">
    <w:name w:val="font31"/>
    <w:qFormat/>
    <w:uiPriority w:val="0"/>
    <w:rPr>
      <w:rFonts w:hint="eastAsia" w:ascii="宋体" w:hAnsi="宋体" w:eastAsia="宋体" w:cs="宋体"/>
      <w:color w:val="000000"/>
      <w:sz w:val="24"/>
      <w:szCs w:val="24"/>
      <w:u w:val="none"/>
    </w:rPr>
  </w:style>
  <w:style w:type="paragraph" w:customStyle="1" w:styleId="15">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
    <w:name w:val="Normal (Web)"/>
    <w:basedOn w:val="1"/>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17</Pages>
  <Words>7417</Words>
  <Characters>8258</Characters>
  <Lines>56</Lines>
  <Paragraphs>15</Paragraphs>
  <TotalTime>8</TotalTime>
  <ScaleCrop>false</ScaleCrop>
  <LinksUpToDate>false</LinksUpToDate>
  <CharactersWithSpaces>8442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2019-06-05T00:46:00Z</dcterms:created>
  <dc:creator>MC SYSTEM</dc:creator>
  <cp:lastModifiedBy>baixin</cp:lastModifiedBy>
  <cp:lastPrinted>2022-04-24T14:46:32Z</cp:lastPrinted>
  <dcterms:modified xsi:type="dcterms:W3CDTF">2022-09-02T09:48:13Z</dcterms:modified>
  <dc:title>山西省住房和城乡建设厅</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C48AD1EB29FF49C7AC2C15B3055A4FD8</vt:lpwstr>
  </property>
</Properties>
</file>