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拟纳入基本医疗保险支付范围中药饮片推荐名单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推荐</w:t>
      </w:r>
      <w:r>
        <w:rPr>
          <w:rFonts w:hint="eastAsia" w:ascii="Times New Roman" w:hAnsi="Times New Roman" w:eastAsia="仿宋_GB2312"/>
          <w:sz w:val="28"/>
          <w:szCs w:val="28"/>
        </w:rPr>
        <w:t xml:space="preserve">单位（加盖公章）：                                 </w:t>
      </w:r>
    </w:p>
    <w:tbl>
      <w:tblPr>
        <w:tblStyle w:val="5"/>
        <w:tblW w:w="1421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508"/>
        <w:gridCol w:w="1079"/>
        <w:gridCol w:w="1220"/>
        <w:gridCol w:w="1221"/>
        <w:gridCol w:w="952"/>
        <w:gridCol w:w="953"/>
        <w:gridCol w:w="952"/>
        <w:gridCol w:w="818"/>
        <w:gridCol w:w="964"/>
        <w:gridCol w:w="851"/>
        <w:gridCol w:w="1559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5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国家医保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0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中药饮片名称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药材名称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炮制方法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功效分类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药材来源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药用部位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性味与归经</w:t>
            </w:r>
          </w:p>
        </w:tc>
        <w:tc>
          <w:tcPr>
            <w:tcW w:w="9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功能与主治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用法与用量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炮制规范及执行标准名称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参考零售价（元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负责人</w:t>
      </w:r>
      <w:r>
        <w:rPr>
          <w:rFonts w:hint="eastAsia" w:ascii="Times New Roman" w:hAnsi="Times New Roman" w:eastAsia="仿宋_GB2312"/>
          <w:sz w:val="28"/>
          <w:szCs w:val="28"/>
        </w:rPr>
        <w:t xml:space="preserve">：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填报人：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rPr>
          <w:rFonts w:ascii="Times New Roman" w:hAnsi="Times New Roman" w:eastAsia="仿宋_GB2312"/>
          <w:bCs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/>
          <w:lang w:eastAsia="zh-CN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  <w:docVar w:name="KSO_WPS_MARK_KEY" w:val="d1205d92-151d-4669-81fe-d003850835e7"/>
  </w:docVars>
  <w:rsids>
    <w:rsidRoot w:val="7AE672D5"/>
    <w:rsid w:val="148748B0"/>
    <w:rsid w:val="7AE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2024-01-23T01:49:00Z</dcterms:created>
  <dc:creator>Administrator</dc:creator>
  <cp:lastModifiedBy>Administrator</cp:lastModifiedBy>
  <dcterms:modified xsi:type="dcterms:W3CDTF">2024-01-23T01:50:49Z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B252F6FCEF3E42ECBF5FF99A402822F0_11</vt:lpwstr>
  </property>
</Properties>
</file>