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adjustRightInd w:val="0"/>
        <w:snapToGrid w:val="0"/>
        <w:spacing w:line="520" w:lineRule="exact"/>
        <w:ind w:firstLine="0" w:firstLineChars="0"/>
        <w:rPr>
          <w:rFonts w:ascii="黑体" w:hAnsi="黑体" w:eastAsia="黑体"/>
          <w:snapToGrid w:val="0"/>
          <w:kern w:val="0"/>
          <w:szCs w:val="28"/>
        </w:rPr>
      </w:pPr>
      <w:r>
        <w:rPr>
          <w:rFonts w:ascii="黑体" w:hAnsi="黑体" w:eastAsia="黑体"/>
          <w:snapToGrid w:val="0"/>
          <w:kern w:val="0"/>
          <w:szCs w:val="28"/>
        </w:rPr>
        <w:t>附件2</w:t>
      </w:r>
    </w:p>
    <w:p>
      <w:pPr>
        <w:pStyle w:val="6"/>
        <w:overflowPunct w:val="0"/>
        <w:adjustRightInd w:val="0"/>
        <w:snapToGrid w:val="0"/>
        <w:spacing w:line="520" w:lineRule="exact"/>
        <w:rPr>
          <w:snapToGrid w:val="0"/>
          <w:kern w:val="0"/>
        </w:rPr>
      </w:pPr>
    </w:p>
    <w:p>
      <w:pPr>
        <w:pStyle w:val="6"/>
        <w:overflowPunct w:val="0"/>
        <w:adjustRightInd w:val="0"/>
        <w:snapToGrid w:val="0"/>
        <w:spacing w:line="520" w:lineRule="exact"/>
        <w:rPr>
          <w:snapToGrid w:val="0"/>
          <w:kern w:val="0"/>
        </w:rPr>
      </w:pPr>
      <w:bookmarkStart w:id="0" w:name="_GoBack"/>
      <w:r>
        <w:rPr>
          <w:rFonts w:hint="eastAsia"/>
          <w:snapToGrid w:val="0"/>
          <w:kern w:val="0"/>
        </w:rPr>
        <w:t>山东省</w:t>
      </w:r>
      <w:r>
        <w:rPr>
          <w:snapToGrid w:val="0"/>
          <w:kern w:val="0"/>
        </w:rPr>
        <w:t>油气矿产矿业权出让收益</w:t>
      </w:r>
    </w:p>
    <w:p>
      <w:pPr>
        <w:pStyle w:val="6"/>
        <w:overflowPunct w:val="0"/>
        <w:adjustRightInd w:val="0"/>
        <w:snapToGrid w:val="0"/>
        <w:spacing w:line="520" w:lineRule="exact"/>
        <w:rPr>
          <w:snapToGrid w:val="0"/>
          <w:kern w:val="0"/>
        </w:rPr>
      </w:pPr>
      <w:r>
        <w:rPr>
          <w:snapToGrid w:val="0"/>
          <w:kern w:val="0"/>
        </w:rPr>
        <w:t>起始价标准</w:t>
      </w:r>
    </w:p>
    <w:bookmarkEnd w:id="0"/>
    <w:p>
      <w:pPr>
        <w:pStyle w:val="6"/>
        <w:overflowPunct w:val="0"/>
        <w:adjustRightInd w:val="0"/>
        <w:snapToGrid w:val="0"/>
        <w:spacing w:line="520" w:lineRule="exact"/>
        <w:rPr>
          <w:snapToGrid w:val="0"/>
          <w:kern w:val="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2475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6" w:type="dxa"/>
            <w:vMerge w:val="restart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出让公告中上一月上海原油期货活跃月份合约月均结算价（元</w:t>
            </w:r>
            <w:r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桶）</w:t>
            </w:r>
          </w:p>
        </w:tc>
        <w:tc>
          <w:tcPr>
            <w:tcW w:w="4626" w:type="dxa"/>
            <w:gridSpan w:val="2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出让收益起始价</w:t>
            </w:r>
          </w:p>
          <w:p>
            <w:pPr>
              <w:overflowPunct w:val="0"/>
              <w:adjustRightInd w:val="0"/>
              <w:snapToGrid w:val="0"/>
              <w:spacing w:line="54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（万元人民币</w:t>
            </w:r>
            <w:r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平方千米）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6" w:type="dxa"/>
            <w:vMerge w:val="continue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560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560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陆域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560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海域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低于</w:t>
            </w: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0.4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300-400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0.5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400-450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0.6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450-550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0.7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550-700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（含）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0.8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6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700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以上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0.9</w:t>
            </w:r>
          </w:p>
        </w:tc>
        <w:tc>
          <w:tcPr>
            <w:tcW w:w="2151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  <w:t>0.7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1B98"/>
    <w:rsid w:val="1C763707"/>
    <w:rsid w:val="4BE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5">
    <w:name w:val="公文正文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</w:rPr>
  </w:style>
  <w:style w:type="paragraph" w:customStyle="1" w:styleId="6">
    <w:name w:val="公文标题"/>
    <w:basedOn w:val="1"/>
    <w:qFormat/>
    <w:uiPriority w:val="0"/>
    <w:pPr>
      <w:spacing w:line="620" w:lineRule="exact"/>
      <w:jc w:val="center"/>
    </w:pPr>
    <w:rPr>
      <w:rFonts w:ascii="方正小标宋简体" w:hAnsi="等线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2023-12-21T02:18:00Z</dcterms:created>
  <dc:creator>Hp</dc:creator>
  <cp:lastModifiedBy>Hp</cp:lastModifiedBy>
  <dcterms:modified xsi:type="dcterms:W3CDTF">2023-12-21T02:41:01Z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