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eastAsia="黑体"/>
          <w:color w:val="auto"/>
          <w:sz w:val="31"/>
          <w:szCs w:val="31"/>
          <w:highlight w:val="none"/>
        </w:rPr>
      </w:pPr>
    </w:p>
    <w:p>
      <w:pPr>
        <w:spacing w:line="440" w:lineRule="exact"/>
        <w:rPr>
          <w:rFonts w:hint="eastAsia" w:eastAsia="黑体"/>
          <w:color w:val="auto"/>
          <w:sz w:val="36"/>
          <w:szCs w:val="36"/>
          <w:highlight w:val="none"/>
        </w:rPr>
      </w:pPr>
      <w:r>
        <w:rPr>
          <w:rFonts w:hint="eastAsia" w:eastAsia="黑体"/>
          <w:color w:val="auto"/>
          <w:sz w:val="36"/>
          <w:szCs w:val="36"/>
          <w:highlight w:val="none"/>
        </w:rPr>
        <w:t>厦门市水运工程电子招标投标示范文本（评定分离版）</w:t>
      </w:r>
    </w:p>
    <w:p>
      <w:pPr>
        <w:spacing w:line="440" w:lineRule="exact"/>
        <w:rPr>
          <w:rFonts w:hint="eastAsia" w:eastAsia="黑体"/>
          <w:color w:val="auto"/>
          <w:sz w:val="36"/>
          <w:szCs w:val="36"/>
          <w:highlight w:val="none"/>
        </w:rPr>
      </w:pPr>
      <w:r>
        <w:rPr>
          <w:rFonts w:hint="eastAsia" w:eastAsia="黑体"/>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5400675" cy="0"/>
                <wp:effectExtent l="0" t="9525" r="9525" b="9525"/>
                <wp:wrapNone/>
                <wp:docPr id="3" name="直线 5"/>
                <wp:cNvGraphicFramePr/>
                <a:graphic xmlns:a="http://schemas.openxmlformats.org/drawingml/2006/main">
                  <a:graphicData uri="http://schemas.microsoft.com/office/word/2010/wordprocessingShape">
                    <wps:wsp>
                      <wps:cNvCnPr/>
                      <wps:spPr>
                        <a:xfrm>
                          <a:off x="0" y="0"/>
                          <a:ext cx="540067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10.6pt;height:0pt;width:425.25pt;z-index:251661312;mso-width-relative:page;mso-height-relative:page;" filled="f" stroked="t" coordsize="21600,21600" o:gfxdata="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2PcHTAAAABgEA&#10;AA8AAAAAAAAAAQAgAAAAOAAAAGRycy9kb3ducmV2LnhtbFBLAQIUABQAAAAIAIdO4kAhroHA0AEA&#10;AJEDAAAOAAAAAAAAAAEAIAAAADgBAABkcnMvZTJvRG9jLnhtbFBLBQYAAAAABgAGAFkBAAB6BQAA&#10;AAA=&#10;">
                <v:fill on="f" focussize="0,0"/>
                <v:stroke weight="1.5pt" color="#000000" joinstyle="round"/>
                <v:imagedata o:title=""/>
                <o:lock v:ext="edit" aspectratio="f"/>
              </v:line>
            </w:pict>
          </mc:Fallback>
        </mc:AlternateContent>
      </w: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施工招标文件</w:t>
      </w:r>
    </w:p>
    <w:p>
      <w:pPr>
        <w:rPr>
          <w:rFonts w:hint="eastAsia" w:ascii="华文中宋" w:hAnsi="华文中宋" w:eastAsia="华文中宋" w:cs="华文中宋"/>
          <w:color w:val="auto"/>
          <w:highlight w:val="none"/>
        </w:rPr>
      </w:pPr>
      <w:bookmarkStart w:id="0" w:name="_Toc235936258"/>
    </w:p>
    <w:p>
      <w:pPr>
        <w:ind w:firstLine="2242" w:firstLineChars="700"/>
        <w:rPr>
          <w:rFonts w:hint="eastAsia" w:ascii="华文中宋" w:hAnsi="华文中宋" w:eastAsia="华文中宋" w:cs="华文中宋"/>
          <w:b/>
          <w:color w:val="auto"/>
          <w:sz w:val="32"/>
          <w:szCs w:val="32"/>
          <w:highlight w:val="none"/>
        </w:rPr>
      </w:pPr>
      <w:bookmarkStart w:id="1" w:name="_Toc256690493"/>
    </w:p>
    <w:p>
      <w:pPr>
        <w:jc w:val="center"/>
        <w:rPr>
          <w:rFonts w:hint="eastAsia" w:ascii="华文中宋" w:hAnsi="华文中宋" w:eastAsia="华文中宋" w:cs="华文中宋"/>
          <w:b/>
          <w:color w:val="auto"/>
          <w:sz w:val="72"/>
          <w:szCs w:val="72"/>
          <w:highlight w:val="none"/>
        </w:rPr>
      </w:pPr>
    </w:p>
    <w:bookmarkEnd w:id="0"/>
    <w:bookmarkEnd w:id="1"/>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厦门市</w:t>
      </w:r>
      <w:r>
        <w:rPr>
          <w:rFonts w:hint="eastAsia" w:ascii="宋体" w:hAnsi="宋体" w:cs="宋体"/>
          <w:b/>
          <w:color w:val="auto"/>
          <w:sz w:val="32"/>
          <w:szCs w:val="32"/>
          <w:highlight w:val="none"/>
          <w:lang w:eastAsia="zh-CN"/>
        </w:rPr>
        <w:t>住房和</w:t>
      </w:r>
      <w:r>
        <w:rPr>
          <w:rFonts w:hint="eastAsia" w:ascii="宋体" w:hAnsi="宋体" w:cs="宋体"/>
          <w:b/>
          <w:color w:val="auto"/>
          <w:sz w:val="32"/>
          <w:szCs w:val="32"/>
          <w:highlight w:val="none"/>
        </w:rPr>
        <w:t>建设局</w:t>
      </w:r>
    </w:p>
    <w:p>
      <w:pPr>
        <w:spacing w:line="360" w:lineRule="auto"/>
        <w:jc w:val="center"/>
        <w:rPr>
          <w:rFonts w:hint="eastAsia" w:ascii="宋体" w:hAnsi="宋体" w:cs="宋体"/>
          <w:b/>
          <w:color w:val="auto"/>
          <w:sz w:val="32"/>
          <w:szCs w:val="32"/>
          <w:highlight w:val="none"/>
        </w:rPr>
        <w:sectPr>
          <w:headerReference r:id="rId4" w:type="default"/>
          <w:headerReference r:id="rId5" w:type="even"/>
          <w:footerReference r:id="rId6" w:type="even"/>
          <w:footnotePr>
            <w:numRestart w:val="eachPage"/>
          </w:footnotePr>
          <w:pgSz w:w="11906" w:h="16838"/>
          <w:pgMar w:top="1418" w:right="1418" w:bottom="1418" w:left="1418" w:header="851" w:footer="992" w:gutter="567"/>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color w:val="auto"/>
          <w:sz w:val="32"/>
          <w:szCs w:val="32"/>
          <w:highlight w:val="none"/>
          <w:lang w:val="en-US" w:eastAsia="zh-CN"/>
        </w:rPr>
        <w:t>2024</w:t>
      </w:r>
      <w:r>
        <w:rPr>
          <w:rFonts w:hint="eastAsia" w:ascii="宋体" w:hAnsi="宋体" w:cs="宋体"/>
          <w:b/>
          <w:color w:val="auto"/>
          <w:sz w:val="32"/>
          <w:szCs w:val="32"/>
          <w:highlight w:val="none"/>
        </w:rPr>
        <w:t xml:space="preserve">年 </w:t>
      </w:r>
      <w:r>
        <w:rPr>
          <w:rFonts w:hint="eastAsia" w:ascii="宋体" w:hAnsi="宋体" w:cs="宋体"/>
          <w:b/>
          <w:color w:val="auto"/>
          <w:sz w:val="32"/>
          <w:szCs w:val="32"/>
          <w:highlight w:val="none"/>
          <w:lang w:val="en-US" w:eastAsia="zh-CN"/>
        </w:rPr>
        <w:t>03</w:t>
      </w:r>
      <w:r>
        <w:rPr>
          <w:rFonts w:hint="eastAsia" w:ascii="宋体" w:hAnsi="宋体" w:cs="宋体"/>
          <w:b/>
          <w:color w:val="auto"/>
          <w:sz w:val="32"/>
          <w:szCs w:val="32"/>
          <w:highlight w:val="none"/>
        </w:rPr>
        <w:t>月</w:t>
      </w:r>
    </w:p>
    <w:p>
      <w:pPr>
        <w:spacing w:line="480" w:lineRule="exact"/>
        <w:jc w:val="center"/>
        <w:rPr>
          <w:rFonts w:hint="eastAsia" w:ascii="宋体" w:hAnsi="宋体"/>
          <w:b/>
          <w:color w:val="auto"/>
          <w:sz w:val="48"/>
          <w:szCs w:val="48"/>
          <w:highlight w:val="none"/>
        </w:rPr>
      </w:pPr>
      <w:r>
        <w:rPr>
          <w:rFonts w:hint="eastAsia" w:ascii="宋体" w:hAnsi="宋体"/>
          <w:b/>
          <w:color w:val="auto"/>
          <w:sz w:val="48"/>
          <w:szCs w:val="48"/>
          <w:highlight w:val="none"/>
        </w:rPr>
        <w:t>总  则</w:t>
      </w:r>
    </w:p>
    <w:p>
      <w:pPr>
        <w:spacing w:line="480" w:lineRule="exact"/>
        <w:rPr>
          <w:rFonts w:hint="eastAsia" w:ascii="宋体" w:hAnsi="宋体"/>
          <w:color w:val="auto"/>
          <w:szCs w:val="21"/>
          <w:highlight w:val="none"/>
        </w:rPr>
      </w:pPr>
    </w:p>
    <w:p>
      <w:pPr>
        <w:widowControl/>
        <w:numPr>
          <w:ilvl w:val="0"/>
          <w:numId w:val="1"/>
        </w:numPr>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《厦门市水运工程施工电子招标文件》（评定分离版）以福建省港航事业发展中心发布《福建省水运工程施工招标文件示范文本》（</w:t>
      </w:r>
      <w:r>
        <w:rPr>
          <w:rFonts w:hint="eastAsia" w:ascii="仿宋" w:hAnsi="仿宋" w:eastAsia="仿宋" w:cs="仿宋"/>
          <w:color w:val="auto"/>
          <w:kern w:val="0"/>
          <w:sz w:val="28"/>
          <w:szCs w:val="28"/>
          <w:highlight w:val="none"/>
          <w:lang w:val="en-US" w:eastAsia="zh-CN"/>
        </w:rPr>
        <w:t>2023</w:t>
      </w:r>
      <w:r>
        <w:rPr>
          <w:rFonts w:hint="eastAsia" w:ascii="仿宋" w:hAnsi="仿宋" w:eastAsia="仿宋" w:cs="仿宋"/>
          <w:color w:val="auto"/>
          <w:kern w:val="0"/>
          <w:sz w:val="28"/>
          <w:szCs w:val="28"/>
          <w:highlight w:val="none"/>
        </w:rPr>
        <w:t>版）（以下简称“省范本”）为基础，以《中华人民共和国招标投标法》、《电子招标投标办法》等法律和部门规章为依据，根据</w:t>
      </w:r>
      <w:r>
        <w:rPr>
          <w:rFonts w:hint="eastAsia" w:ascii="仿宋_GB2312" w:hAnsi="仿宋_GB2312" w:eastAsia="仿宋_GB2312" w:cs="仿宋_GB2312"/>
          <w:color w:val="auto"/>
          <w:sz w:val="30"/>
          <w:szCs w:val="30"/>
          <w:highlight w:val="none"/>
        </w:rPr>
        <w:t>《厦门市建设局关于印发建设工程招投标“评定分离”办法（试行）的通知》（厦建筑〔2022〕51号）</w:t>
      </w:r>
      <w:r>
        <w:rPr>
          <w:rFonts w:hint="eastAsia" w:ascii="仿宋" w:hAnsi="仿宋" w:eastAsia="仿宋" w:cs="仿宋"/>
          <w:color w:val="auto"/>
          <w:kern w:val="0"/>
          <w:sz w:val="28"/>
          <w:szCs w:val="28"/>
          <w:highlight w:val="none"/>
        </w:rPr>
        <w:t>并结合厦门市实际情况进行编制。</w:t>
      </w:r>
    </w:p>
    <w:p>
      <w:pPr>
        <w:wordWrap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招标文件（范本）适用于厦门市行政区域内依法必须进行公开招投标且采用“评定分离”评标定标办法的水运建设项目，包括施工总承包工程、专业工程招标项目。当招标单项合同估算价在3000万元及以下的施工总承包工程，或单项合同估算价在 800万元及以下的施工专业承包工程，可采用简易招标程序。</w:t>
      </w:r>
    </w:p>
    <w:p>
      <w:pPr>
        <w:widowControl/>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本施工招标文件示范文本可适用于全部使用国有资金投资或者国有资金投资占控股或主导地位依法应当公开招标的我省省级及以下有关部门审批、核准和备案的水运工程建设项目（含陆岛交通码头）施工招标，其余水运工程项目施工招标可参照执行。</w:t>
      </w:r>
    </w:p>
    <w:p>
      <w:pPr>
        <w:widowControl/>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招标人在设定投标人资质资格要求时，应严格按照《建筑业企业资质标准（2015版）》中企业资质等级所承接范围的规定设定企业资质，并与招标项目工程建设规模等级相适应，不得设定与项目等级不相应、过高的资质要求。</w:t>
      </w:r>
    </w:p>
    <w:p>
      <w:pPr>
        <w:widowControl/>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第三章评标办法中，分别规定了适用于其他项目的评标办法和适用于简易程序招标项目的评标办法等二类评标办法。招标人只能选择其中一类且所选择的类型应当与招标项目业绩的设置情况相适应，其余类型的评标办法在编制招标文件时应当删除。其他项目指未同时设置类似工程业绩和信用评价作为投标人资格条件的招标项目。</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、联合体参与投标的，只需由联合体牵头单位加盖电子章即可；非联合体牵头单位的资料由各自单位盖单位公章后彩色扫描后统一由联合体牵头方上传。</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、在福建省交通运输厅最新发布的信用考核定级为AA、A级且在有效期限内的单位，资格审查阶段，当其他条件满足时，其履约信誉可免于审查，直接通过资格审查。</w:t>
      </w:r>
    </w:p>
    <w:p>
      <w:pPr>
        <w:widowControl/>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、范本中以空格下划线标示的，由招标人编制招标文件或投标人编制投标文件时填入具体内容,不需要填写时应在空格处用“/”标示，其余部分应不加修改的引用。</w:t>
      </w:r>
    </w:p>
    <w:p>
      <w:pPr>
        <w:widowControl/>
        <w:spacing w:line="52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9、招标人设定最高投标限价可结合有关计价依据、工程特点、市场要素价格水平等，并贴近市场实际。</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、水运工程施工招标文件的编制除应符合本示范文本规定外，还应符合国家现行有关法律、法规、标准的规定。</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、各单位在使用本招标文件（范本）时，有任何意见和建议，请及时反馈厦门市建设工程招投标中心，以便进一步修改和完善。参加编制主要单位和人员名单如下：</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①厦门市建设工程招投标中心 白晓东、沈毅敏、</w:t>
      </w:r>
      <w:r>
        <w:rPr>
          <w:rFonts w:hint="eastAsia" w:ascii="仿宋" w:hAnsi="仿宋" w:eastAsia="仿宋" w:cs="仿宋"/>
          <w:color w:val="auto"/>
          <w:kern w:val="0"/>
          <w:sz w:val="28"/>
          <w:szCs w:val="28"/>
          <w:highlight w:val="none"/>
          <w:lang w:eastAsia="zh-CN"/>
        </w:rPr>
        <w:t>何财宁</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王东一、郑永生、朱妍歆</w:t>
      </w:r>
      <w:r>
        <w:rPr>
          <w:rFonts w:hint="eastAsia" w:ascii="仿宋" w:hAnsi="仿宋" w:eastAsia="仿宋" w:cs="仿宋"/>
          <w:color w:val="auto"/>
          <w:kern w:val="0"/>
          <w:sz w:val="28"/>
          <w:szCs w:val="28"/>
          <w:highlight w:val="none"/>
        </w:rPr>
        <w:t>；</w:t>
      </w:r>
    </w:p>
    <w:p>
      <w:pPr>
        <w:widowControl/>
        <w:tabs>
          <w:tab w:val="left" w:pos="480"/>
        </w:tabs>
        <w:spacing w:line="5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②福建中融合项目管理有限公司 </w:t>
      </w:r>
      <w:r>
        <w:rPr>
          <w:rFonts w:hint="eastAsia" w:ascii="仿宋" w:hAnsi="仿宋" w:eastAsia="仿宋" w:cs="仿宋"/>
          <w:color w:val="auto"/>
          <w:kern w:val="0"/>
          <w:sz w:val="28"/>
          <w:szCs w:val="28"/>
          <w:highlight w:val="none"/>
          <w:lang w:eastAsia="zh-CN"/>
        </w:rPr>
        <w:t>叶俊斌</w:t>
      </w:r>
      <w:r>
        <w:rPr>
          <w:rFonts w:hint="eastAsia" w:ascii="仿宋" w:hAnsi="仿宋" w:eastAsia="仿宋" w:cs="仿宋"/>
          <w:color w:val="auto"/>
          <w:kern w:val="0"/>
          <w:sz w:val="28"/>
          <w:szCs w:val="28"/>
          <w:highlight w:val="none"/>
        </w:rPr>
        <w:t>。</w:t>
      </w:r>
    </w:p>
    <w:p>
      <w:pPr>
        <w:pStyle w:val="2"/>
        <w:rPr>
          <w:rFonts w:hint="eastAsia"/>
          <w:color w:val="auto"/>
          <w:highlight w:val="none"/>
        </w:rPr>
      </w:pPr>
    </w:p>
    <w:p>
      <w:pPr>
        <w:widowControl/>
        <w:tabs>
          <w:tab w:val="left" w:pos="480"/>
        </w:tabs>
        <w:spacing w:line="520" w:lineRule="exact"/>
        <w:rPr>
          <w:rFonts w:ascii="仿宋" w:hAnsi="仿宋" w:eastAsia="仿宋" w:cs="仿宋"/>
          <w:color w:val="auto"/>
          <w:kern w:val="0"/>
          <w:sz w:val="28"/>
          <w:szCs w:val="28"/>
          <w:highlight w:val="none"/>
        </w:rPr>
      </w:pPr>
    </w:p>
    <w:p>
      <w:pPr>
        <w:rPr>
          <w:rFonts w:ascii="宋体" w:hAnsi="宋体"/>
          <w:color w:val="auto"/>
          <w:highlight w:val="none"/>
        </w:rPr>
      </w:pPr>
      <w:r>
        <w:rPr>
          <w:rFonts w:hint="eastAsia" w:ascii="宋体" w:hAnsi="宋体"/>
          <w:color w:val="auto"/>
          <w:highlight w:val="none"/>
        </w:rPr>
        <w:t xml:space="preserve">  </w:t>
      </w: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r>
        <w:rPr>
          <w:rFonts w:hint="eastAsia" w:ascii="华文中宋" w:hAnsi="华文中宋" w:eastAsia="华文中宋" w:cs="华文中宋"/>
          <w:b/>
          <w:color w:val="auto"/>
          <w:sz w:val="52"/>
          <w:szCs w:val="52"/>
          <w:highlight w:val="none"/>
        </w:rPr>
        <w:t>电子招标投标</w:t>
      </w: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施工招标文件</w:t>
      </w:r>
    </w:p>
    <w:p>
      <w:pPr>
        <w:rPr>
          <w:rFonts w:hint="eastAsia" w:ascii="华文中宋" w:hAnsi="华文中宋" w:eastAsia="华文中宋" w:cs="华文中宋"/>
          <w:color w:val="auto"/>
          <w:highlight w:val="none"/>
        </w:rPr>
      </w:pPr>
    </w:p>
    <w:p>
      <w:pPr>
        <w:ind w:firstLine="2242" w:firstLineChars="700"/>
        <w:rPr>
          <w:rFonts w:hint="eastAsia" w:ascii="华文中宋" w:hAnsi="华文中宋" w:eastAsia="华文中宋" w:cs="华文中宋"/>
          <w:b/>
          <w:color w:val="auto"/>
          <w:sz w:val="32"/>
          <w:szCs w:val="32"/>
          <w:highlight w:val="none"/>
        </w:rPr>
      </w:pPr>
    </w:p>
    <w:p>
      <w:pPr>
        <w:jc w:val="center"/>
        <w:rPr>
          <w:rFonts w:hint="eastAsia" w:ascii="华文中宋" w:hAnsi="华文中宋" w:eastAsia="华文中宋" w:cs="华文中宋"/>
          <w:b/>
          <w:color w:val="auto"/>
          <w:sz w:val="72"/>
          <w:szCs w:val="72"/>
          <w:highlight w:val="none"/>
        </w:rPr>
      </w:pPr>
    </w:p>
    <w:p>
      <w:pPr>
        <w:ind w:firstLine="3360" w:firstLineChars="1200"/>
        <w:rPr>
          <w:rFonts w:hint="eastAsia" w:ascii="宋体" w:hAnsi="宋体"/>
          <w:b/>
          <w:color w:val="auto"/>
          <w:sz w:val="32"/>
          <w:szCs w:val="32"/>
          <w:highlight w:val="none"/>
        </w:rPr>
      </w:pPr>
      <w:r>
        <w:rPr>
          <w:rFonts w:hint="eastAsia" w:ascii="宋体" w:hAnsi="宋体"/>
          <w:color w:val="auto"/>
          <w:sz w:val="28"/>
          <w:szCs w:val="28"/>
          <w:highlight w:val="none"/>
        </w:rPr>
        <w:t xml:space="preserve">报建号：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pPr>
        <w:rPr>
          <w:rFonts w:hint="eastAsia" w:ascii="宋体" w:hAnsi="宋体"/>
          <w:color w:val="auto"/>
          <w:highlight w:val="none"/>
        </w:rPr>
      </w:pPr>
    </w:p>
    <w:p>
      <w:pPr>
        <w:rPr>
          <w:rFonts w:hint="eastAsia" w:ascii="宋体" w:hAnsi="宋体"/>
          <w:color w:val="auto"/>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firstLine="1285" w:firstLineChars="400"/>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u w:val="single"/>
        </w:rPr>
        <w:t xml:space="preserve">招   标   人：            </w:t>
      </w:r>
    </w:p>
    <w:p>
      <w:pPr>
        <w:spacing w:line="360" w:lineRule="auto"/>
        <w:ind w:firstLine="1285" w:firstLineChars="400"/>
        <w:rPr>
          <w:rFonts w:hint="eastAsia" w:ascii="宋体" w:hAnsi="宋体" w:cs="宋体"/>
          <w:b/>
          <w:color w:val="auto"/>
          <w:sz w:val="32"/>
          <w:szCs w:val="32"/>
          <w:highlight w:val="none"/>
          <w:u w:val="single"/>
        </w:rPr>
      </w:pPr>
    </w:p>
    <w:p>
      <w:pPr>
        <w:spacing w:line="360" w:lineRule="auto"/>
        <w:ind w:firstLine="1285" w:firstLineChars="400"/>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u w:val="single"/>
        </w:rPr>
        <w:t>招标代理机构：</w:t>
      </w:r>
      <w:r>
        <w:rPr>
          <w:rFonts w:hint="eastAsia" w:ascii="宋体" w:hAnsi="宋体" w:cs="宋体"/>
          <w:b/>
          <w:color w:val="auto"/>
          <w:sz w:val="28"/>
          <w:szCs w:val="28"/>
          <w:highlight w:val="none"/>
          <w:u w:val="single"/>
        </w:rPr>
        <w:t xml:space="preserve">              </w:t>
      </w:r>
    </w:p>
    <w:p>
      <w:pPr>
        <w:widowControl/>
        <w:autoSpaceDE w:val="0"/>
        <w:autoSpaceDN w:val="0"/>
        <w:spacing w:line="360" w:lineRule="auto"/>
        <w:jc w:val="center"/>
        <w:textAlignment w:val="bottom"/>
        <w:rPr>
          <w:rFonts w:hint="eastAsia" w:ascii="宋体" w:hAnsi="宋体"/>
          <w:b/>
          <w:color w:val="auto"/>
          <w:sz w:val="44"/>
          <w:highlight w:val="none"/>
        </w:rPr>
        <w:sectPr>
          <w:headerReference r:id="rId7" w:type="default"/>
          <w:footerReference r:id="rId8" w:type="default"/>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 xml:space="preserve"> 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日</w:t>
      </w:r>
    </w:p>
    <w:p>
      <w:pPr>
        <w:widowControl/>
        <w:autoSpaceDE w:val="0"/>
        <w:autoSpaceDN w:val="0"/>
        <w:spacing w:line="360" w:lineRule="auto"/>
        <w:jc w:val="center"/>
        <w:textAlignment w:val="bottom"/>
        <w:rPr>
          <w:rFonts w:hint="eastAsia" w:ascii="宋体" w:hAnsi="宋体"/>
          <w:b/>
          <w:color w:val="auto"/>
          <w:sz w:val="44"/>
          <w:highlight w:val="none"/>
        </w:rPr>
      </w:pPr>
      <w:r>
        <w:rPr>
          <w:rFonts w:hint="eastAsia" w:ascii="宋体" w:hAnsi="宋体"/>
          <w:b/>
          <w:color w:val="auto"/>
          <w:sz w:val="44"/>
          <w:highlight w:val="none"/>
        </w:rPr>
        <w:t>目  录</w:t>
      </w:r>
    </w:p>
    <w:p>
      <w:pPr>
        <w:pStyle w:val="26"/>
        <w:spacing w:before="0" w:beforeLines="0"/>
        <w:rPr>
          <w:b w:val="0"/>
          <w:color w:val="auto"/>
          <w:szCs w:val="24"/>
          <w:highlight w:val="none"/>
          <w:lang w:val="en-US" w:eastAsia="zh-CN"/>
        </w:rPr>
      </w:pPr>
      <w:r>
        <w:rPr>
          <w:rFonts w:hint="eastAsia" w:cs="宋体"/>
          <w:b w:val="0"/>
          <w:color w:val="auto"/>
          <w:szCs w:val="24"/>
          <w:highlight w:val="none"/>
        </w:rPr>
        <w:fldChar w:fldCharType="begin"/>
      </w:r>
      <w:r>
        <w:rPr>
          <w:rFonts w:hint="eastAsia" w:cs="宋体"/>
          <w:b w:val="0"/>
          <w:color w:val="auto"/>
          <w:szCs w:val="24"/>
          <w:highlight w:val="none"/>
        </w:rPr>
        <w:instrText xml:space="preserve"> TOC \o "1-1" \h \z \t "标题 2,1,标题 3,3,商务3,3" </w:instrText>
      </w:r>
      <w:r>
        <w:rPr>
          <w:rFonts w:hint="eastAsia" w:cs="宋体"/>
          <w:b w:val="0"/>
          <w:color w:val="auto"/>
          <w:szCs w:val="24"/>
          <w:highlight w:val="none"/>
        </w:rPr>
        <w:fldChar w:fldCharType="separate"/>
      </w: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"_Toc490832261"</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第一章</w:t>
      </w:r>
      <w:r>
        <w:rPr>
          <w:rStyle w:val="45"/>
          <w:rFonts w:cs="黑体"/>
          <w:b w:val="0"/>
          <w:color w:val="auto"/>
          <w:szCs w:val="24"/>
          <w:highlight w:val="none"/>
        </w:rPr>
        <w:t xml:space="preserve"> </w:t>
      </w:r>
      <w:r>
        <w:rPr>
          <w:rStyle w:val="45"/>
          <w:rFonts w:hint="eastAsia" w:cs="黑体"/>
          <w:b w:val="0"/>
          <w:color w:val="auto"/>
          <w:szCs w:val="24"/>
          <w:highlight w:val="none"/>
        </w:rPr>
        <w:t>招标公告</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_Toc490832261 \h </w:instrText>
      </w:r>
      <w:r>
        <w:rPr>
          <w:b w:val="0"/>
          <w:color w:val="auto"/>
          <w:szCs w:val="24"/>
          <w:highlight w:val="none"/>
        </w:rPr>
        <w:fldChar w:fldCharType="separate"/>
      </w:r>
      <w:r>
        <w:rPr>
          <w:b w:val="0"/>
          <w:color w:val="auto"/>
          <w:szCs w:val="24"/>
          <w:highlight w:val="none"/>
        </w:rPr>
        <w:t>2</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"_Toc490832270"</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b w:val="0"/>
          <w:color w:val="auto"/>
          <w:szCs w:val="24"/>
          <w:highlight w:val="none"/>
        </w:rPr>
        <w:t>第二章</w:t>
      </w:r>
      <w:r>
        <w:rPr>
          <w:rStyle w:val="45"/>
          <w:b w:val="0"/>
          <w:color w:val="auto"/>
          <w:szCs w:val="24"/>
          <w:highlight w:val="none"/>
        </w:rPr>
        <w:t xml:space="preserve"> </w:t>
      </w:r>
      <w:r>
        <w:rPr>
          <w:rStyle w:val="45"/>
          <w:rFonts w:hint="eastAsia"/>
          <w:b w:val="0"/>
          <w:color w:val="auto"/>
          <w:szCs w:val="24"/>
          <w:highlight w:val="none"/>
        </w:rPr>
        <w:t>投标人须知</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_Toc490832270 \h </w:instrText>
      </w:r>
      <w:r>
        <w:rPr>
          <w:b w:val="0"/>
          <w:color w:val="auto"/>
          <w:szCs w:val="24"/>
          <w:highlight w:val="none"/>
        </w:rPr>
        <w:fldChar w:fldCharType="separate"/>
      </w:r>
      <w:r>
        <w:rPr>
          <w:b w:val="0"/>
          <w:color w:val="auto"/>
          <w:szCs w:val="24"/>
          <w:highlight w:val="none"/>
        </w:rPr>
        <w:t>5</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"_Toc490832330"</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第三章</w:t>
      </w:r>
      <w:r>
        <w:rPr>
          <w:rStyle w:val="45"/>
          <w:rFonts w:cs="黑体"/>
          <w:b w:val="0"/>
          <w:color w:val="auto"/>
          <w:szCs w:val="24"/>
          <w:highlight w:val="none"/>
        </w:rPr>
        <w:t xml:space="preserve"> </w:t>
      </w:r>
      <w:r>
        <w:rPr>
          <w:rStyle w:val="45"/>
          <w:rFonts w:hint="eastAsia" w:cs="黑体"/>
          <w:b w:val="0"/>
          <w:color w:val="auto"/>
          <w:szCs w:val="24"/>
          <w:highlight w:val="none"/>
        </w:rPr>
        <w:t>评</w:t>
      </w:r>
      <w:r>
        <w:rPr>
          <w:rStyle w:val="45"/>
          <w:rFonts w:cs="黑体"/>
          <w:b w:val="0"/>
          <w:color w:val="auto"/>
          <w:szCs w:val="24"/>
          <w:highlight w:val="none"/>
        </w:rPr>
        <w:t xml:space="preserve"> </w:t>
      </w:r>
      <w:r>
        <w:rPr>
          <w:rStyle w:val="45"/>
          <w:rFonts w:hint="eastAsia" w:cs="黑体"/>
          <w:b w:val="0"/>
          <w:color w:val="auto"/>
          <w:szCs w:val="24"/>
          <w:highlight w:val="none"/>
        </w:rPr>
        <w:t>标</w:t>
      </w:r>
      <w:r>
        <w:rPr>
          <w:rStyle w:val="45"/>
          <w:rFonts w:cs="黑体"/>
          <w:b w:val="0"/>
          <w:color w:val="auto"/>
          <w:szCs w:val="24"/>
          <w:highlight w:val="none"/>
        </w:rPr>
        <w:t xml:space="preserve"> </w:t>
      </w:r>
      <w:r>
        <w:rPr>
          <w:rStyle w:val="45"/>
          <w:rFonts w:hint="eastAsia" w:cs="黑体"/>
          <w:b w:val="0"/>
          <w:color w:val="auto"/>
          <w:szCs w:val="24"/>
          <w:highlight w:val="none"/>
        </w:rPr>
        <w:t>办</w:t>
      </w:r>
      <w:r>
        <w:rPr>
          <w:rStyle w:val="45"/>
          <w:rFonts w:cs="黑体"/>
          <w:b w:val="0"/>
          <w:color w:val="auto"/>
          <w:szCs w:val="24"/>
          <w:highlight w:val="none"/>
        </w:rPr>
        <w:t xml:space="preserve"> </w:t>
      </w:r>
      <w:r>
        <w:rPr>
          <w:rStyle w:val="45"/>
          <w:rFonts w:hint="eastAsia" w:cs="黑体"/>
          <w:b w:val="0"/>
          <w:color w:val="auto"/>
          <w:szCs w:val="24"/>
          <w:highlight w:val="none"/>
        </w:rPr>
        <w:t>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_Toc490832330 \h </w:instrText>
      </w:r>
      <w:r>
        <w:rPr>
          <w:b w:val="0"/>
          <w:color w:val="auto"/>
          <w:szCs w:val="24"/>
          <w:highlight w:val="none"/>
        </w:rPr>
        <w:fldChar w:fldCharType="separate"/>
      </w:r>
      <w:r>
        <w:rPr>
          <w:b w:val="0"/>
          <w:color w:val="auto"/>
          <w:szCs w:val="24"/>
          <w:highlight w:val="none"/>
        </w:rPr>
        <w:t>36</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"_Toc490832335"</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第四章</w:t>
      </w:r>
      <w:r>
        <w:rPr>
          <w:rStyle w:val="45"/>
          <w:rFonts w:cs="黑体"/>
          <w:b w:val="0"/>
          <w:color w:val="auto"/>
          <w:szCs w:val="24"/>
          <w:highlight w:val="none"/>
        </w:rPr>
        <w:t xml:space="preserve"> </w:t>
      </w:r>
      <w:r>
        <w:rPr>
          <w:rStyle w:val="45"/>
          <w:rFonts w:hint="eastAsia" w:cs="黑体"/>
          <w:b w:val="0"/>
          <w:color w:val="auto"/>
          <w:szCs w:val="24"/>
          <w:highlight w:val="none"/>
          <w:lang w:eastAsia="zh-CN"/>
        </w:rPr>
        <w:t>定标办法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60</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"_Toc490832335"</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w:t>
      </w:r>
      <w:r>
        <w:rPr>
          <w:rStyle w:val="45"/>
          <w:rFonts w:hint="eastAsia" w:cs="黑体"/>
          <w:b w:val="0"/>
          <w:color w:val="auto"/>
          <w:szCs w:val="24"/>
          <w:highlight w:val="none"/>
          <w:lang w:eastAsia="zh-CN"/>
        </w:rPr>
        <w:t>五</w:t>
      </w:r>
      <w:r>
        <w:rPr>
          <w:rStyle w:val="45"/>
          <w:rFonts w:hint="eastAsia" w:cs="黑体"/>
          <w:b w:val="0"/>
          <w:color w:val="auto"/>
          <w:szCs w:val="24"/>
          <w:highlight w:val="none"/>
        </w:rPr>
        <w:t>章</w:t>
      </w:r>
      <w:r>
        <w:rPr>
          <w:rStyle w:val="45"/>
          <w:rFonts w:cs="黑体"/>
          <w:b w:val="0"/>
          <w:color w:val="auto"/>
          <w:szCs w:val="24"/>
          <w:highlight w:val="none"/>
        </w:rPr>
        <w:t xml:space="preserve"> </w:t>
      </w:r>
      <w:r>
        <w:rPr>
          <w:rStyle w:val="45"/>
          <w:rFonts w:hint="eastAsia" w:cs="黑体"/>
          <w:b w:val="0"/>
          <w:color w:val="auto"/>
          <w:szCs w:val="24"/>
          <w:highlight w:val="none"/>
        </w:rPr>
        <w:t>合同条款及格式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60</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"_Toc490832363"</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b w:val="0"/>
          <w:color w:val="auto"/>
          <w:szCs w:val="24"/>
          <w:highlight w:val="none"/>
        </w:rPr>
        <w:t>第</w:t>
      </w:r>
      <w:r>
        <w:rPr>
          <w:rStyle w:val="45"/>
          <w:rFonts w:hint="eastAsia"/>
          <w:b w:val="0"/>
          <w:color w:val="auto"/>
          <w:szCs w:val="24"/>
          <w:highlight w:val="none"/>
          <w:lang w:eastAsia="zh-CN"/>
        </w:rPr>
        <w:t>六</w:t>
      </w:r>
      <w:r>
        <w:rPr>
          <w:rStyle w:val="45"/>
          <w:rFonts w:hint="eastAsia"/>
          <w:b w:val="0"/>
          <w:color w:val="auto"/>
          <w:szCs w:val="24"/>
          <w:highlight w:val="none"/>
        </w:rPr>
        <w:t>章</w:t>
      </w:r>
      <w:r>
        <w:rPr>
          <w:rStyle w:val="45"/>
          <w:b w:val="0"/>
          <w:color w:val="auto"/>
          <w:szCs w:val="24"/>
          <w:highlight w:val="none"/>
        </w:rPr>
        <w:t xml:space="preserve"> </w:t>
      </w:r>
      <w:r>
        <w:rPr>
          <w:rStyle w:val="45"/>
          <w:rFonts w:hint="eastAsia"/>
          <w:b w:val="0"/>
          <w:color w:val="auto"/>
          <w:szCs w:val="24"/>
          <w:highlight w:val="none"/>
        </w:rPr>
        <w:t>工程量清单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_Toc490832363 \h </w:instrText>
      </w:r>
      <w:r>
        <w:rPr>
          <w:b w:val="0"/>
          <w:color w:val="auto"/>
          <w:szCs w:val="24"/>
          <w:highlight w:val="none"/>
        </w:rPr>
        <w:fldChar w:fldCharType="separate"/>
      </w:r>
      <w:r>
        <w:rPr>
          <w:b w:val="0"/>
          <w:color w:val="auto"/>
          <w:szCs w:val="24"/>
          <w:highlight w:val="none"/>
        </w:rPr>
        <w:t>107</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"_Toc490832364"</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w:t>
      </w:r>
      <w:r>
        <w:rPr>
          <w:rStyle w:val="45"/>
          <w:rFonts w:hint="eastAsia" w:cs="黑体"/>
          <w:b w:val="0"/>
          <w:color w:val="auto"/>
          <w:szCs w:val="24"/>
          <w:highlight w:val="none"/>
          <w:lang w:eastAsia="zh-CN"/>
        </w:rPr>
        <w:t>七</w:t>
      </w:r>
      <w:r>
        <w:rPr>
          <w:rStyle w:val="45"/>
          <w:rFonts w:hint="eastAsia" w:cs="黑体"/>
          <w:b w:val="0"/>
          <w:color w:val="auto"/>
          <w:szCs w:val="24"/>
          <w:highlight w:val="none"/>
        </w:rPr>
        <w:t>章</w:t>
      </w:r>
      <w:r>
        <w:rPr>
          <w:rStyle w:val="45"/>
          <w:rFonts w:cs="黑体"/>
          <w:b w:val="0"/>
          <w:color w:val="auto"/>
          <w:szCs w:val="24"/>
          <w:highlight w:val="none"/>
        </w:rPr>
        <w:t xml:space="preserve"> </w:t>
      </w:r>
      <w:r>
        <w:rPr>
          <w:rStyle w:val="45"/>
          <w:rFonts w:hint="eastAsia" w:cs="黑体"/>
          <w:b w:val="0"/>
          <w:color w:val="auto"/>
          <w:szCs w:val="24"/>
          <w:highlight w:val="none"/>
        </w:rPr>
        <w:t>图纸</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_Toc490832364 \h </w:instrText>
      </w:r>
      <w:r>
        <w:rPr>
          <w:b w:val="0"/>
          <w:color w:val="auto"/>
          <w:szCs w:val="24"/>
          <w:highlight w:val="none"/>
        </w:rPr>
        <w:fldChar w:fldCharType="separate"/>
      </w:r>
      <w:r>
        <w:rPr>
          <w:b w:val="0"/>
          <w:color w:val="auto"/>
          <w:szCs w:val="24"/>
          <w:highlight w:val="none"/>
        </w:rPr>
        <w:t>110</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"_Toc490832365"</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w:t>
      </w:r>
      <w:r>
        <w:rPr>
          <w:rStyle w:val="45"/>
          <w:rFonts w:hint="eastAsia" w:cs="黑体"/>
          <w:b w:val="0"/>
          <w:color w:val="auto"/>
          <w:szCs w:val="24"/>
          <w:highlight w:val="none"/>
          <w:lang w:eastAsia="zh-CN"/>
        </w:rPr>
        <w:t>八</w:t>
      </w:r>
      <w:r>
        <w:rPr>
          <w:rStyle w:val="45"/>
          <w:rFonts w:hint="eastAsia" w:cs="黑体"/>
          <w:b w:val="0"/>
          <w:color w:val="auto"/>
          <w:szCs w:val="24"/>
          <w:highlight w:val="none"/>
        </w:rPr>
        <w:t>章</w:t>
      </w:r>
      <w:r>
        <w:rPr>
          <w:rStyle w:val="45"/>
          <w:rFonts w:cs="黑体"/>
          <w:b w:val="0"/>
          <w:color w:val="auto"/>
          <w:szCs w:val="24"/>
          <w:highlight w:val="none"/>
        </w:rPr>
        <w:t xml:space="preserve"> </w:t>
      </w:r>
      <w:r>
        <w:rPr>
          <w:rStyle w:val="45"/>
          <w:rFonts w:hint="eastAsia" w:cs="黑体"/>
          <w:b w:val="0"/>
          <w:color w:val="auto"/>
          <w:szCs w:val="24"/>
          <w:highlight w:val="none"/>
        </w:rPr>
        <w:t>技术标准和要求</w:t>
      </w:r>
      <w:r>
        <w:rPr>
          <w:b w:val="0"/>
          <w:color w:val="auto"/>
          <w:szCs w:val="24"/>
          <w:highlight w:val="none"/>
        </w:rPr>
        <w:tab/>
      </w:r>
      <w:bookmarkStart w:id="1352" w:name="_GoBack"/>
      <w:bookmarkEnd w:id="1352"/>
      <w:r>
        <w:rPr>
          <w:b w:val="0"/>
          <w:color w:val="auto"/>
          <w:szCs w:val="24"/>
          <w:highlight w:val="none"/>
        </w:rPr>
        <w:fldChar w:fldCharType="begin"/>
      </w:r>
      <w:r>
        <w:rPr>
          <w:b w:val="0"/>
          <w:color w:val="auto"/>
          <w:szCs w:val="24"/>
          <w:highlight w:val="none"/>
        </w:rPr>
        <w:instrText xml:space="preserve"> PAGEREF _Toc490832365 \h </w:instrText>
      </w:r>
      <w:r>
        <w:rPr>
          <w:b w:val="0"/>
          <w:color w:val="auto"/>
          <w:szCs w:val="24"/>
          <w:highlight w:val="none"/>
        </w:rPr>
        <w:fldChar w:fldCharType="separate"/>
      </w:r>
      <w:r>
        <w:rPr>
          <w:b w:val="0"/>
          <w:color w:val="auto"/>
          <w:szCs w:val="24"/>
          <w:highlight w:val="none"/>
        </w:rPr>
        <w:t>111</w:t>
      </w:r>
      <w:r>
        <w:rPr>
          <w:b w:val="0"/>
          <w:color w:val="auto"/>
          <w:szCs w:val="24"/>
          <w:highlight w:val="none"/>
        </w:rPr>
        <w:fldChar w:fldCharType="end"/>
      </w:r>
      <w:r>
        <w:rPr>
          <w:b w:val="0"/>
          <w:color w:val="auto"/>
          <w:szCs w:val="24"/>
          <w:highlight w:val="none"/>
        </w:rPr>
        <w:fldChar w:fldCharType="end"/>
      </w:r>
    </w:p>
    <w:p>
      <w:pPr>
        <w:pStyle w:val="26"/>
        <w:spacing w:before="0" w:beforeLines="0"/>
        <w:rPr>
          <w:b w:val="0"/>
          <w:color w:val="auto"/>
          <w:szCs w:val="24"/>
          <w:highlight w:val="none"/>
          <w:lang w:val="en-US" w:eastAsia="zh-CN"/>
        </w:rPr>
      </w:pPr>
      <w:r>
        <w:rPr>
          <w:b w:val="0"/>
          <w:color w:val="auto"/>
          <w:szCs w:val="24"/>
          <w:highlight w:val="none"/>
        </w:rPr>
        <w:fldChar w:fldCharType="begin"/>
      </w:r>
      <w:r>
        <w:rPr>
          <w:rStyle w:val="45"/>
          <w:b w:val="0"/>
          <w:color w:val="auto"/>
          <w:szCs w:val="24"/>
          <w:highlight w:val="none"/>
        </w:rPr>
        <w:instrText xml:space="preserve"> </w:instrText>
      </w:r>
      <w:r>
        <w:rPr>
          <w:b w:val="0"/>
          <w:color w:val="auto"/>
          <w:szCs w:val="24"/>
          <w:highlight w:val="none"/>
        </w:rPr>
        <w:instrText xml:space="preserve">HYPERLINK \l "_Toc490832368"</w:instrText>
      </w:r>
      <w:r>
        <w:rPr>
          <w:rStyle w:val="45"/>
          <w:b w:val="0"/>
          <w:color w:val="auto"/>
          <w:szCs w:val="24"/>
          <w:highlight w:val="none"/>
        </w:rPr>
        <w:instrText xml:space="preserve"> </w:instrText>
      </w:r>
      <w:r>
        <w:rPr>
          <w:b w:val="0"/>
          <w:color w:val="auto"/>
          <w:szCs w:val="24"/>
          <w:highlight w:val="none"/>
        </w:rPr>
        <w:fldChar w:fldCharType="separate"/>
      </w:r>
      <w:r>
        <w:rPr>
          <w:rStyle w:val="45"/>
          <w:rFonts w:hint="eastAsia" w:cs="黑体"/>
          <w:b w:val="0"/>
          <w:color w:val="auto"/>
          <w:szCs w:val="24"/>
          <w:highlight w:val="none"/>
        </w:rPr>
        <w:t>第</w:t>
      </w:r>
      <w:r>
        <w:rPr>
          <w:rStyle w:val="45"/>
          <w:rFonts w:hint="eastAsia" w:cs="黑体"/>
          <w:b w:val="0"/>
          <w:color w:val="auto"/>
          <w:szCs w:val="24"/>
          <w:highlight w:val="none"/>
          <w:lang w:eastAsia="zh-CN"/>
        </w:rPr>
        <w:t>九</w:t>
      </w:r>
      <w:r>
        <w:rPr>
          <w:rStyle w:val="45"/>
          <w:rFonts w:hint="eastAsia" w:cs="黑体"/>
          <w:b w:val="0"/>
          <w:color w:val="auto"/>
          <w:szCs w:val="24"/>
          <w:highlight w:val="none"/>
        </w:rPr>
        <w:t>章</w:t>
      </w:r>
      <w:r>
        <w:rPr>
          <w:rStyle w:val="45"/>
          <w:rFonts w:cs="黑体"/>
          <w:b w:val="0"/>
          <w:color w:val="auto"/>
          <w:szCs w:val="24"/>
          <w:highlight w:val="none"/>
        </w:rPr>
        <w:t xml:space="preserve"> </w:t>
      </w:r>
      <w:r>
        <w:rPr>
          <w:rStyle w:val="45"/>
          <w:rFonts w:hint="eastAsia" w:cs="黑体"/>
          <w:b w:val="0"/>
          <w:color w:val="auto"/>
          <w:szCs w:val="24"/>
          <w:highlight w:val="none"/>
        </w:rPr>
        <w:t>投标文件格式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_Toc490832368 \h </w:instrText>
      </w:r>
      <w:r>
        <w:rPr>
          <w:b w:val="0"/>
          <w:color w:val="auto"/>
          <w:szCs w:val="24"/>
          <w:highlight w:val="none"/>
        </w:rPr>
        <w:fldChar w:fldCharType="separate"/>
      </w:r>
      <w:r>
        <w:rPr>
          <w:b w:val="0"/>
          <w:color w:val="auto"/>
          <w:szCs w:val="24"/>
          <w:highlight w:val="none"/>
        </w:rPr>
        <w:t>113</w:t>
      </w:r>
      <w:r>
        <w:rPr>
          <w:b w:val="0"/>
          <w:color w:val="auto"/>
          <w:szCs w:val="24"/>
          <w:highlight w:val="none"/>
        </w:rPr>
        <w:fldChar w:fldCharType="end"/>
      </w:r>
      <w:r>
        <w:rPr>
          <w:b w:val="0"/>
          <w:color w:val="auto"/>
          <w:szCs w:val="24"/>
          <w:highlight w:val="none"/>
        </w:rPr>
        <w:fldChar w:fldCharType="end"/>
      </w:r>
    </w:p>
    <w:p>
      <w:pPr>
        <w:widowControl/>
        <w:autoSpaceDE w:val="0"/>
        <w:autoSpaceDN w:val="0"/>
        <w:spacing w:line="360" w:lineRule="auto"/>
        <w:jc w:val="center"/>
        <w:textAlignment w:val="bottom"/>
        <w:rPr>
          <w:rFonts w:hint="eastAsia" w:ascii="宋体" w:hAnsi="宋体" w:cs="黑体"/>
          <w:color w:val="auto"/>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color w:val="auto"/>
          <w:sz w:val="24"/>
          <w:highlight w:val="none"/>
        </w:rPr>
        <w:fldChar w:fldCharType="end"/>
      </w:r>
    </w:p>
    <w:p>
      <w:pPr>
        <w:rPr>
          <w:rFonts w:hint="eastAsia" w:ascii="宋体" w:hAnsi="宋体"/>
          <w:color w:val="auto"/>
          <w:highlight w:val="none"/>
        </w:rPr>
      </w:pPr>
    </w:p>
    <w:p>
      <w:pPr>
        <w:pStyle w:val="4"/>
        <w:spacing w:line="300" w:lineRule="auto"/>
        <w:rPr>
          <w:rFonts w:ascii="宋体" w:hAnsi="宋体" w:cs="黑体"/>
          <w:color w:val="auto"/>
          <w:highlight w:val="none"/>
        </w:rPr>
      </w:pPr>
      <w:bookmarkStart w:id="2" w:name="_Toc490832261"/>
      <w:r>
        <w:rPr>
          <w:rFonts w:hint="eastAsia" w:ascii="宋体" w:hAnsi="宋体" w:cs="黑体"/>
          <w:color w:val="auto"/>
          <w:highlight w:val="none"/>
        </w:rPr>
        <w:t>第一章 招标公告</w:t>
      </w:r>
      <w:bookmarkEnd w:id="2"/>
    </w:p>
    <w:p>
      <w:pPr>
        <w:spacing w:line="360" w:lineRule="auto"/>
        <w:ind w:right="480"/>
        <w:jc w:val="center"/>
        <w:rPr>
          <w:rStyle w:val="68"/>
          <w:rFonts w:hint="eastAsia"/>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snapToGrid w:val="0"/>
          <w:color w:val="auto"/>
          <w:kern w:val="0"/>
          <w:sz w:val="28"/>
          <w:szCs w:val="28"/>
          <w:highlight w:val="none"/>
        </w:rPr>
        <w:t>（项目名称）施工招标公告</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3" w:name="_Toc486685870"/>
      <w:bookmarkStart w:id="4" w:name="_Toc487653151"/>
      <w:bookmarkStart w:id="5" w:name="_Toc488492803"/>
      <w:bookmarkStart w:id="6" w:name="_Toc490832262"/>
      <w:bookmarkStart w:id="7" w:name="_Toc488483445"/>
      <w:bookmarkStart w:id="8" w:name="_Toc488483573"/>
      <w:bookmarkStart w:id="9" w:name="_Toc381806829"/>
      <w:r>
        <w:rPr>
          <w:rFonts w:hint="eastAsia" w:ascii="宋体" w:hAnsi="宋体"/>
          <w:color w:val="auto"/>
          <w:sz w:val="24"/>
          <w:szCs w:val="24"/>
          <w:highlight w:val="none"/>
        </w:rPr>
        <w:t>招标条件</w:t>
      </w:r>
      <w:bookmarkEnd w:id="3"/>
      <w:bookmarkEnd w:id="4"/>
      <w:bookmarkEnd w:id="5"/>
      <w:bookmarkEnd w:id="6"/>
      <w:bookmarkEnd w:id="7"/>
      <w:bookmarkEnd w:id="8"/>
      <w:bookmarkEnd w:id="9"/>
    </w:p>
    <w:p>
      <w:pPr>
        <w:spacing w:line="300" w:lineRule="auto"/>
        <w:ind w:firstLine="420" w:firstLineChars="200"/>
        <w:rPr>
          <w:rFonts w:hint="eastAsia" w:ascii="宋体" w:hAnsi="宋体"/>
          <w:color w:val="auto"/>
          <w:szCs w:val="21"/>
          <w:highlight w:val="none"/>
          <w:u w:val="single"/>
        </w:rPr>
      </w:pPr>
      <w:r>
        <w:rPr>
          <w:rStyle w:val="68"/>
          <w:rFonts w:hint="eastAsia"/>
          <w:color w:val="auto"/>
          <w:szCs w:val="21"/>
          <w:highlight w:val="none"/>
        </w:rPr>
        <w:t>本招标项目</w:t>
      </w:r>
      <w:r>
        <w:rPr>
          <w:rFonts w:hint="eastAsia" w:ascii="宋体" w:hAnsi="宋体"/>
          <w:color w:val="auto"/>
          <w:szCs w:val="21"/>
          <w:highlight w:val="none"/>
          <w:u w:val="single"/>
        </w:rPr>
        <w:t xml:space="preserve">                   </w:t>
      </w:r>
      <w:r>
        <w:rPr>
          <w:rStyle w:val="68"/>
          <w:rFonts w:hint="eastAsia"/>
          <w:color w:val="auto"/>
          <w:szCs w:val="21"/>
          <w:highlight w:val="none"/>
        </w:rPr>
        <w:t>（项目名称）已由</w:t>
      </w:r>
      <w:r>
        <w:rPr>
          <w:rFonts w:hint="eastAsia" w:ascii="宋体" w:hAnsi="宋体"/>
          <w:color w:val="auto"/>
          <w:szCs w:val="21"/>
          <w:highlight w:val="none"/>
          <w:u w:val="single"/>
        </w:rPr>
        <w:t xml:space="preserve">                    </w:t>
      </w:r>
      <w:r>
        <w:rPr>
          <w:rStyle w:val="68"/>
          <w:rFonts w:hint="eastAsia"/>
          <w:color w:val="auto"/>
          <w:szCs w:val="21"/>
          <w:highlight w:val="none"/>
        </w:rPr>
        <w:t>（项目审批、核准或备案机关名称）以</w:t>
      </w:r>
      <w:r>
        <w:rPr>
          <w:rFonts w:hint="eastAsia" w:ascii="宋体" w:hAnsi="宋体"/>
          <w:color w:val="auto"/>
          <w:szCs w:val="21"/>
          <w:highlight w:val="none"/>
          <w:u w:val="single"/>
        </w:rPr>
        <w:t xml:space="preserve">                </w:t>
      </w:r>
      <w:r>
        <w:rPr>
          <w:rStyle w:val="68"/>
          <w:rFonts w:hint="eastAsia"/>
          <w:color w:val="auto"/>
          <w:szCs w:val="21"/>
          <w:highlight w:val="none"/>
        </w:rPr>
        <w:t>（批文名称及编号）批准建设，项目业主为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Style w:val="68"/>
          <w:rFonts w:hint="eastAsia"/>
          <w:color w:val="auto"/>
          <w:szCs w:val="21"/>
          <w:highlight w:val="none"/>
        </w:rPr>
        <w:t>建设资金来自</w:t>
      </w:r>
      <w:r>
        <w:rPr>
          <w:rFonts w:hint="eastAsia" w:ascii="宋体" w:hAnsi="宋体"/>
          <w:color w:val="auto"/>
          <w:szCs w:val="21"/>
          <w:highlight w:val="none"/>
          <w:u w:val="single"/>
        </w:rPr>
        <w:t xml:space="preserve">                     </w:t>
      </w:r>
      <w:r>
        <w:rPr>
          <w:rStyle w:val="68"/>
          <w:rFonts w:hint="eastAsia"/>
          <w:color w:val="auto"/>
          <w:szCs w:val="21"/>
          <w:highlight w:val="none"/>
        </w:rPr>
        <w:t>（资金来源），招标人为</w:t>
      </w:r>
      <w:r>
        <w:rPr>
          <w:rFonts w:hint="eastAsia" w:ascii="宋体" w:hAnsi="宋体"/>
          <w:color w:val="auto"/>
          <w:szCs w:val="21"/>
          <w:highlight w:val="none"/>
          <w:u w:val="single"/>
        </w:rPr>
        <w:t xml:space="preserve">                         </w:t>
      </w:r>
      <w:r>
        <w:rPr>
          <w:rStyle w:val="68"/>
          <w:rFonts w:hint="eastAsia"/>
          <w:color w:val="auto"/>
          <w:szCs w:val="21"/>
          <w:highlight w:val="none"/>
        </w:rPr>
        <w:t>，招标代理机构为</w:t>
      </w:r>
      <w:r>
        <w:rPr>
          <w:rFonts w:hint="eastAsia" w:ascii="宋体" w:hAnsi="宋体"/>
          <w:color w:val="auto"/>
          <w:szCs w:val="21"/>
          <w:highlight w:val="none"/>
          <w:u w:val="single"/>
        </w:rPr>
        <w:t xml:space="preserve">                    </w:t>
      </w:r>
      <w:r>
        <w:rPr>
          <w:rStyle w:val="68"/>
          <w:rFonts w:hint="eastAsia"/>
          <w:color w:val="auto"/>
          <w:szCs w:val="21"/>
          <w:highlight w:val="none"/>
        </w:rPr>
        <w:t>。</w:t>
      </w:r>
      <w:r>
        <w:rPr>
          <w:rFonts w:hint="eastAsia" w:ascii="宋体" w:hAnsi="宋体"/>
          <w:color w:val="auto"/>
          <w:szCs w:val="21"/>
          <w:highlight w:val="none"/>
        </w:rPr>
        <w:t>项目已具备招标条件，现对该项目的施工进行公开招标。</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10" w:name="_Toc486685871"/>
      <w:bookmarkStart w:id="11" w:name="_Toc488492804"/>
      <w:bookmarkStart w:id="12" w:name="_Toc381806830"/>
      <w:bookmarkStart w:id="13" w:name="_Toc488483446"/>
      <w:bookmarkStart w:id="14" w:name="_Toc490832263"/>
      <w:bookmarkStart w:id="15" w:name="_Toc487653152"/>
      <w:bookmarkStart w:id="16" w:name="_Toc488483574"/>
      <w:r>
        <w:rPr>
          <w:rFonts w:hint="eastAsia" w:ascii="宋体" w:hAnsi="宋体"/>
          <w:color w:val="auto"/>
          <w:sz w:val="24"/>
          <w:szCs w:val="24"/>
          <w:highlight w:val="none"/>
        </w:rPr>
        <w:t>项目概况与招标范围</w:t>
      </w:r>
      <w:bookmarkEnd w:id="10"/>
      <w:bookmarkEnd w:id="11"/>
      <w:bookmarkEnd w:id="12"/>
      <w:bookmarkEnd w:id="13"/>
      <w:bookmarkEnd w:id="14"/>
      <w:bookmarkEnd w:id="15"/>
      <w:bookmarkEnd w:id="16"/>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68"/>
          <w:rFonts w:hint="eastAsia"/>
          <w:color w:val="auto"/>
          <w:szCs w:val="21"/>
          <w:highlight w:val="none"/>
          <w:u w:val="single"/>
        </w:rPr>
      </w:pPr>
      <w:r>
        <w:rPr>
          <w:rStyle w:val="68"/>
          <w:rFonts w:hint="eastAsia"/>
          <w:color w:val="auto"/>
          <w:szCs w:val="21"/>
          <w:highlight w:val="none"/>
        </w:rPr>
        <w:t>建设地点：</w:t>
      </w:r>
      <w:r>
        <w:rPr>
          <w:rFonts w:hint="eastAsia" w:ascii="宋体" w:hAnsi="宋体"/>
          <w:color w:val="auto"/>
          <w:szCs w:val="21"/>
          <w:highlight w:val="none"/>
          <w:u w:val="single"/>
        </w:rPr>
        <w:t xml:space="preserve">                                 </w:t>
      </w:r>
      <w:r>
        <w:rPr>
          <w:rStyle w:val="68"/>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68"/>
          <w:rFonts w:hint="eastAsia"/>
          <w:color w:val="auto"/>
          <w:szCs w:val="21"/>
          <w:highlight w:val="none"/>
          <w:u w:val="single"/>
        </w:rPr>
      </w:pPr>
      <w:r>
        <w:rPr>
          <w:rStyle w:val="68"/>
          <w:rFonts w:hint="eastAsia"/>
          <w:color w:val="auto"/>
          <w:szCs w:val="21"/>
          <w:highlight w:val="none"/>
        </w:rPr>
        <w:t>工程建设规模：</w:t>
      </w:r>
      <w:r>
        <w:rPr>
          <w:rFonts w:hint="eastAsia" w:ascii="宋体" w:hAnsi="宋体"/>
          <w:color w:val="auto"/>
          <w:szCs w:val="21"/>
          <w:highlight w:val="none"/>
          <w:u w:val="single"/>
        </w:rPr>
        <w:t xml:space="preserve">                             </w:t>
      </w:r>
      <w:r>
        <w:rPr>
          <w:rStyle w:val="68"/>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68"/>
          <w:rFonts w:hint="eastAsia"/>
          <w:color w:val="auto"/>
          <w:szCs w:val="21"/>
          <w:highlight w:val="none"/>
          <w:u w:val="single"/>
        </w:rPr>
      </w:pPr>
      <w:r>
        <w:rPr>
          <w:rStyle w:val="68"/>
          <w:rFonts w:hint="eastAsia"/>
          <w:color w:val="auto"/>
          <w:szCs w:val="21"/>
          <w:highlight w:val="none"/>
        </w:rPr>
        <w:t>招标范围和标段内容：</w:t>
      </w:r>
      <w:r>
        <w:rPr>
          <w:rStyle w:val="68"/>
          <w:rFonts w:hint="eastAsia"/>
          <w:color w:val="auto"/>
          <w:szCs w:val="21"/>
          <w:highlight w:val="none"/>
          <w:u w:val="single"/>
        </w:rPr>
        <w:t xml:space="preserve">                           </w:t>
      </w:r>
      <w:r>
        <w:rPr>
          <w:rStyle w:val="68"/>
          <w:rFonts w:hint="eastAsia"/>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Style w:val="68"/>
          <w:rFonts w:hint="eastAsia"/>
          <w:color w:val="auto"/>
          <w:szCs w:val="21"/>
          <w:highlight w:val="none"/>
        </w:rPr>
        <w:t>工期要求：</w:t>
      </w:r>
      <w:r>
        <w:rPr>
          <w:rFonts w:hint="eastAsia" w:ascii="宋体" w:hAnsi="宋体" w:cs="仿宋_GB2312"/>
          <w:color w:val="auto"/>
          <w:kern w:val="0"/>
          <w:szCs w:val="21"/>
          <w:highlight w:val="none"/>
        </w:rPr>
        <w:t>总工期</w:t>
      </w:r>
      <w:r>
        <w:rPr>
          <w:rFonts w:hint="eastAsia"/>
          <w:color w:val="auto"/>
          <w:szCs w:val="21"/>
          <w:highlight w:val="none"/>
          <w:u w:val="single"/>
        </w:rPr>
        <w:t xml:space="preserve">      </w:t>
      </w:r>
      <w:r>
        <w:rPr>
          <w:rFonts w:hint="eastAsia"/>
          <w:color w:val="auto"/>
          <w:szCs w:val="21"/>
          <w:highlight w:val="none"/>
        </w:rPr>
        <w:t>日历天</w:t>
      </w:r>
      <w:r>
        <w:rPr>
          <w:rFonts w:ascii="宋体" w:hAnsi="宋体"/>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68"/>
          <w:rFonts w:hint="eastAsia"/>
          <w:color w:val="auto"/>
          <w:szCs w:val="21"/>
          <w:highlight w:val="none"/>
        </w:rPr>
      </w:pPr>
      <w:r>
        <w:rPr>
          <w:rFonts w:hint="eastAsia" w:ascii="宋体" w:hAnsi="宋体"/>
          <w:color w:val="auto"/>
          <w:szCs w:val="21"/>
          <w:highlight w:val="none"/>
        </w:rPr>
        <w:t>质量要求：满足施工图设计和规范要求，达到合格标准 。</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17" w:name="_Toc490832264"/>
      <w:bookmarkStart w:id="18" w:name="_Toc488483575"/>
      <w:bookmarkStart w:id="19" w:name="_Toc381806831"/>
      <w:bookmarkStart w:id="20" w:name="_Toc488492805"/>
      <w:bookmarkStart w:id="21" w:name="_Toc487653153"/>
      <w:bookmarkStart w:id="22" w:name="_Toc486685872"/>
      <w:bookmarkStart w:id="23" w:name="_Toc488483447"/>
      <w:r>
        <w:rPr>
          <w:rFonts w:hint="eastAsia" w:ascii="宋体" w:hAnsi="宋体"/>
          <w:color w:val="auto"/>
          <w:sz w:val="24"/>
          <w:szCs w:val="24"/>
          <w:highlight w:val="none"/>
        </w:rPr>
        <w:t>投标人资格要求</w:t>
      </w:r>
      <w:bookmarkEnd w:id="17"/>
      <w:bookmarkEnd w:id="18"/>
      <w:bookmarkEnd w:id="19"/>
      <w:bookmarkEnd w:id="20"/>
      <w:bookmarkEnd w:id="21"/>
      <w:bookmarkEnd w:id="22"/>
      <w:bookmarkEnd w:id="23"/>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本次招标要求</w:t>
      </w:r>
      <w:r>
        <w:rPr>
          <w:rFonts w:hint="eastAsia" w:ascii="宋体" w:hAnsi="宋体" w:cs="仿宋_GB2312"/>
          <w:color w:val="auto"/>
          <w:kern w:val="0"/>
          <w:szCs w:val="21"/>
          <w:highlight w:val="none"/>
        </w:rPr>
        <w:t>投标人须：</w:t>
      </w:r>
      <w:r>
        <w:rPr>
          <w:rFonts w:hint="eastAsia" w:ascii="宋体" w:hAnsi="宋体"/>
          <w:color w:val="auto"/>
          <w:szCs w:val="21"/>
          <w:highlight w:val="none"/>
        </w:rPr>
        <w:t>①具有</w:t>
      </w:r>
      <w:r>
        <w:rPr>
          <w:rFonts w:hint="eastAsia" w:ascii="宋体" w:hAnsi="宋体"/>
          <w:color w:val="auto"/>
          <w:szCs w:val="21"/>
          <w:highlight w:val="none"/>
          <w:u w:val="single"/>
        </w:rPr>
        <w:t xml:space="preserve">       </w:t>
      </w:r>
      <w:r>
        <w:rPr>
          <w:rFonts w:hint="eastAsia" w:ascii="宋体" w:hAnsi="宋体"/>
          <w:color w:val="auto"/>
          <w:szCs w:val="21"/>
          <w:highlight w:val="none"/>
        </w:rPr>
        <w:t>资质等级证书；②具备独立的法人资格、有效的营业执照、有效的安全生产许可证。</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Fonts w:hint="eastAsia" w:ascii="宋体" w:hAnsi="宋体"/>
          <w:color w:val="auto"/>
          <w:szCs w:val="21"/>
          <w:highlight w:val="none"/>
        </w:rPr>
        <w:t>本次招标</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(允许或不允许，要求两种及以上不同专业资质要求的，不得出现“不接受”联合体投标词汇)</w:t>
      </w:r>
      <w:r>
        <w:rPr>
          <w:rFonts w:hint="eastAsia" w:ascii="宋体" w:hAnsi="宋体"/>
          <w:b/>
          <w:color w:val="auto"/>
          <w:szCs w:val="21"/>
          <w:highlight w:val="none"/>
          <w:u w:val="single"/>
        </w:rPr>
        <w:t xml:space="preserve"> </w:t>
      </w:r>
      <w:r>
        <w:rPr>
          <w:rFonts w:hint="eastAsia" w:ascii="宋体" w:hAnsi="宋体"/>
          <w:color w:val="auto"/>
          <w:szCs w:val="21"/>
          <w:highlight w:val="none"/>
        </w:rPr>
        <w:t>联合体投标。</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投标人拟担任本招标项目的项目经理应</w:t>
      </w:r>
      <w:r>
        <w:rPr>
          <w:rFonts w:ascii="宋体" w:hAnsi="宋体"/>
          <w:color w:val="auto"/>
          <w:szCs w:val="21"/>
          <w:highlight w:val="none"/>
        </w:rPr>
        <w:t>具有</w:t>
      </w:r>
      <w:r>
        <w:rPr>
          <w:rFonts w:hint="eastAsia" w:ascii="宋体" w:hAnsi="宋体"/>
          <w:color w:val="auto"/>
          <w:szCs w:val="21"/>
          <w:highlight w:val="none"/>
          <w:u w:val="single"/>
        </w:rPr>
        <w:t xml:space="preserve">       </w:t>
      </w:r>
      <w:r>
        <w:rPr>
          <w:rFonts w:ascii="宋体" w:hAnsi="宋体"/>
          <w:color w:val="auto"/>
          <w:szCs w:val="21"/>
          <w:highlight w:val="none"/>
        </w:rPr>
        <w:t>注册建造师执业资格</w:t>
      </w:r>
      <w:r>
        <w:rPr>
          <w:rFonts w:hint="eastAsia" w:ascii="宋体" w:hAnsi="宋体"/>
          <w:color w:val="auto"/>
          <w:szCs w:val="21"/>
          <w:highlight w:val="none"/>
        </w:rPr>
        <w:t>证书，具备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及以上</w:t>
      </w:r>
      <w:r>
        <w:rPr>
          <w:rFonts w:hint="eastAsia" w:ascii="宋体" w:hAnsi="宋体"/>
          <w:color w:val="auto"/>
          <w:szCs w:val="21"/>
          <w:highlight w:val="none"/>
        </w:rPr>
        <w:t>技术职称，并持有合格有效的</w:t>
      </w:r>
      <w:r>
        <w:rPr>
          <w:rFonts w:ascii="宋体" w:hAnsi="宋体"/>
          <w:color w:val="auto"/>
          <w:szCs w:val="21"/>
          <w:highlight w:val="none"/>
        </w:rPr>
        <w:t>安全生产考核合格证书B证</w:t>
      </w:r>
      <w:r>
        <w:rPr>
          <w:rFonts w:hint="eastAsia" w:ascii="宋体" w:hAnsi="宋体"/>
          <w:color w:val="auto"/>
          <w:szCs w:val="21"/>
          <w:highlight w:val="none"/>
        </w:rPr>
        <w:t>。</w:t>
      </w:r>
    </w:p>
    <w:p>
      <w:pPr>
        <w:widowControl/>
        <w:tabs>
          <w:tab w:val="left" w:pos="510"/>
          <w:tab w:val="left" w:pos="900"/>
          <w:tab w:val="left" w:pos="1100"/>
          <w:tab w:val="left" w:pos="3807"/>
        </w:tabs>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港口与航道工程</w:t>
      </w:r>
      <w:r>
        <w:rPr>
          <w:rFonts w:hint="eastAsia" w:ascii="宋体" w:hAnsi="宋体" w:cs="宋体"/>
          <w:color w:val="auto"/>
          <w:szCs w:val="21"/>
          <w:highlight w:val="none"/>
        </w:rPr>
        <w:t>专业指</w:t>
      </w:r>
      <w:r>
        <w:rPr>
          <w:rFonts w:ascii="宋体" w:hAnsi="宋体" w:cs="宋体"/>
          <w:color w:val="auto"/>
          <w:szCs w:val="21"/>
          <w:highlight w:val="none"/>
        </w:rPr>
        <w:t>港航工程</w:t>
      </w:r>
      <w:r>
        <w:rPr>
          <w:rFonts w:hint="eastAsia" w:ascii="宋体" w:hAnsi="宋体" w:cs="宋体"/>
          <w:color w:val="auto"/>
          <w:szCs w:val="21"/>
          <w:highlight w:val="none"/>
        </w:rPr>
        <w:t>、</w:t>
      </w:r>
      <w:r>
        <w:rPr>
          <w:rFonts w:ascii="宋体" w:hAnsi="宋体" w:cs="宋体"/>
          <w:color w:val="auto"/>
          <w:szCs w:val="21"/>
          <w:highlight w:val="none"/>
        </w:rPr>
        <w:t>航道工程</w:t>
      </w:r>
      <w:r>
        <w:rPr>
          <w:rFonts w:hint="eastAsia" w:ascii="宋体" w:hAnsi="宋体" w:cs="宋体"/>
          <w:color w:val="auto"/>
          <w:szCs w:val="21"/>
          <w:highlight w:val="none"/>
        </w:rPr>
        <w:t>、</w:t>
      </w:r>
      <w:r>
        <w:rPr>
          <w:rFonts w:ascii="宋体" w:hAnsi="宋体" w:cs="宋体"/>
          <w:color w:val="auto"/>
          <w:szCs w:val="21"/>
          <w:highlight w:val="none"/>
        </w:rPr>
        <w:t>航道整治工程</w:t>
      </w:r>
      <w:r>
        <w:rPr>
          <w:rFonts w:hint="eastAsia" w:ascii="宋体" w:hAnsi="宋体" w:cs="宋体"/>
          <w:color w:val="auto"/>
          <w:szCs w:val="21"/>
          <w:highlight w:val="none"/>
        </w:rPr>
        <w:t>、</w:t>
      </w:r>
      <w:r>
        <w:rPr>
          <w:rFonts w:ascii="宋体" w:hAnsi="宋体" w:cs="宋体"/>
          <w:color w:val="auto"/>
          <w:szCs w:val="21"/>
          <w:highlight w:val="none"/>
        </w:rPr>
        <w:t>港口建筑工程</w:t>
      </w:r>
      <w:r>
        <w:rPr>
          <w:rFonts w:hint="eastAsia" w:ascii="宋体" w:hAnsi="宋体" w:cs="宋体"/>
          <w:color w:val="auto"/>
          <w:szCs w:val="21"/>
          <w:highlight w:val="none"/>
        </w:rPr>
        <w:t>、</w:t>
      </w:r>
      <w:r>
        <w:rPr>
          <w:rFonts w:hint="eastAsia" w:ascii="宋体" w:hAnsi="宋体" w:cs="宋体"/>
          <w:color w:val="auto"/>
          <w:szCs w:val="21"/>
          <w:highlight w:val="none"/>
          <w:lang w:eastAsia="zh-CN"/>
        </w:rPr>
        <w:t>航道</w:t>
      </w:r>
      <w:r>
        <w:rPr>
          <w:rFonts w:ascii="宋体" w:hAnsi="宋体" w:cs="宋体"/>
          <w:color w:val="auto"/>
          <w:szCs w:val="21"/>
          <w:highlight w:val="none"/>
        </w:rPr>
        <w:t>及港口工程</w:t>
      </w:r>
      <w:r>
        <w:rPr>
          <w:rFonts w:hint="eastAsia" w:ascii="宋体" w:hAnsi="宋体" w:cs="宋体"/>
          <w:color w:val="auto"/>
          <w:szCs w:val="21"/>
          <w:highlight w:val="none"/>
        </w:rPr>
        <w:t>、</w:t>
      </w:r>
      <w:r>
        <w:rPr>
          <w:rFonts w:ascii="宋体" w:hAnsi="宋体" w:cs="宋体"/>
          <w:color w:val="auto"/>
          <w:szCs w:val="21"/>
          <w:highlight w:val="none"/>
        </w:rPr>
        <w:t>港口水工建筑工程</w:t>
      </w:r>
      <w:r>
        <w:rPr>
          <w:rFonts w:hint="eastAsia" w:ascii="宋体" w:hAnsi="宋体" w:cs="宋体"/>
          <w:color w:val="auto"/>
          <w:szCs w:val="21"/>
          <w:highlight w:val="none"/>
        </w:rPr>
        <w:t>、</w:t>
      </w:r>
      <w:r>
        <w:rPr>
          <w:rFonts w:ascii="宋体" w:hAnsi="宋体" w:cs="宋体"/>
          <w:color w:val="auto"/>
          <w:szCs w:val="21"/>
          <w:highlight w:val="none"/>
        </w:rPr>
        <w:t>航务工程</w:t>
      </w:r>
      <w:r>
        <w:rPr>
          <w:rFonts w:hint="eastAsia" w:ascii="宋体" w:hAnsi="宋体" w:cs="宋体"/>
          <w:color w:val="auto"/>
          <w:szCs w:val="21"/>
          <w:highlight w:val="none"/>
        </w:rPr>
        <w:t>、</w:t>
      </w:r>
      <w:r>
        <w:rPr>
          <w:rFonts w:ascii="宋体" w:hAnsi="宋体" w:cs="宋体"/>
          <w:color w:val="auto"/>
          <w:szCs w:val="21"/>
          <w:highlight w:val="none"/>
        </w:rPr>
        <w:t>水工工程</w:t>
      </w:r>
      <w:r>
        <w:rPr>
          <w:rFonts w:hint="eastAsia" w:ascii="宋体" w:hAnsi="宋体" w:cs="宋体"/>
          <w:color w:val="auto"/>
          <w:szCs w:val="21"/>
          <w:highlight w:val="none"/>
        </w:rPr>
        <w:t>、</w:t>
      </w:r>
      <w:r>
        <w:rPr>
          <w:rFonts w:ascii="宋体" w:hAnsi="宋体" w:cs="宋体"/>
          <w:color w:val="auto"/>
          <w:szCs w:val="21"/>
          <w:highlight w:val="none"/>
        </w:rPr>
        <w:t>水运工程</w:t>
      </w:r>
      <w:r>
        <w:rPr>
          <w:rFonts w:hint="eastAsia" w:ascii="宋体" w:hAnsi="宋体" w:cs="宋体"/>
          <w:color w:val="auto"/>
          <w:szCs w:val="21"/>
          <w:highlight w:val="none"/>
        </w:rPr>
        <w:t>、</w:t>
      </w:r>
      <w:r>
        <w:rPr>
          <w:rFonts w:ascii="宋体" w:hAnsi="宋体" w:cs="宋体"/>
          <w:color w:val="auto"/>
          <w:szCs w:val="21"/>
          <w:highlight w:val="none"/>
        </w:rPr>
        <w:t>海洋工程</w:t>
      </w:r>
      <w:r>
        <w:rPr>
          <w:rFonts w:hint="eastAsia" w:ascii="宋体" w:hAnsi="宋体" w:cs="宋体"/>
          <w:color w:val="auto"/>
          <w:szCs w:val="21"/>
          <w:highlight w:val="none"/>
        </w:rPr>
        <w:t>、</w:t>
      </w:r>
      <w:r>
        <w:rPr>
          <w:rFonts w:ascii="宋体" w:hAnsi="宋体" w:cs="宋体"/>
          <w:color w:val="auto"/>
          <w:szCs w:val="21"/>
          <w:highlight w:val="none"/>
        </w:rPr>
        <w:t>港工工程</w:t>
      </w:r>
      <w:r>
        <w:rPr>
          <w:rFonts w:hint="eastAsia" w:ascii="宋体" w:hAnsi="宋体" w:cs="宋体"/>
          <w:color w:val="auto"/>
          <w:szCs w:val="21"/>
          <w:highlight w:val="none"/>
        </w:rPr>
        <w:t>、</w:t>
      </w:r>
      <w:r>
        <w:rPr>
          <w:rFonts w:ascii="宋体" w:hAnsi="宋体" w:cs="宋体"/>
          <w:color w:val="auto"/>
          <w:szCs w:val="21"/>
          <w:highlight w:val="none"/>
        </w:rPr>
        <w:t>港口工程</w:t>
      </w:r>
      <w:r>
        <w:rPr>
          <w:rFonts w:hint="eastAsia" w:ascii="宋体" w:hAnsi="宋体" w:cs="宋体"/>
          <w:color w:val="auto"/>
          <w:szCs w:val="21"/>
          <w:highlight w:val="none"/>
        </w:rPr>
        <w:t>、</w:t>
      </w:r>
      <w:r>
        <w:rPr>
          <w:rFonts w:ascii="宋体" w:hAnsi="宋体" w:cs="宋体"/>
          <w:color w:val="auto"/>
          <w:szCs w:val="21"/>
          <w:highlight w:val="none"/>
        </w:rPr>
        <w:t>海岸工程</w:t>
      </w:r>
      <w:r>
        <w:rPr>
          <w:rFonts w:hint="eastAsia" w:ascii="宋体" w:hAnsi="宋体" w:cs="宋体"/>
          <w:color w:val="auto"/>
          <w:szCs w:val="21"/>
          <w:highlight w:val="none"/>
        </w:rPr>
        <w:t>、</w:t>
      </w:r>
      <w:r>
        <w:rPr>
          <w:rFonts w:ascii="宋体" w:hAnsi="宋体" w:cs="宋体"/>
          <w:color w:val="auto"/>
          <w:szCs w:val="21"/>
          <w:highlight w:val="none"/>
        </w:rPr>
        <w:t>近岸工程</w:t>
      </w:r>
      <w:r>
        <w:rPr>
          <w:rFonts w:hint="eastAsia" w:ascii="宋体" w:hAnsi="宋体" w:cs="宋体"/>
          <w:color w:val="auto"/>
          <w:szCs w:val="21"/>
          <w:highlight w:val="none"/>
        </w:rPr>
        <w:t>等专业，下同。</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Fonts w:hint="eastAsia" w:ascii="宋体" w:hAnsi="宋体"/>
          <w:color w:val="auto"/>
          <w:szCs w:val="21"/>
          <w:highlight w:val="none"/>
        </w:rPr>
        <w:t>技术负责人职称要求：具备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及以上</w:t>
      </w:r>
      <w:r>
        <w:rPr>
          <w:rFonts w:hint="eastAsia" w:ascii="宋体" w:hAnsi="宋体"/>
          <w:color w:val="auto"/>
          <w:szCs w:val="21"/>
          <w:highlight w:val="none"/>
        </w:rPr>
        <w:t>技术职称。</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 w:val="24"/>
          <w:highlight w:val="none"/>
        </w:rPr>
      </w:pPr>
      <w:r>
        <w:rPr>
          <w:rFonts w:hint="eastAsia" w:ascii="宋体" w:hAnsi="宋体"/>
          <w:color w:val="auto"/>
          <w:szCs w:val="21"/>
          <w:highlight w:val="none"/>
        </w:rPr>
        <w:t>项目业绩要求：</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Fonts w:hint="eastAsia" w:ascii="宋体" w:hAnsi="宋体"/>
          <w:color w:val="auto"/>
          <w:szCs w:val="21"/>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应在人员、财务、履约信誉等方面具有承担本招标项目施工的能力，具体要求详见招标文件。</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68"/>
          <w:rFonts w:hint="eastAsia"/>
          <w:color w:val="auto"/>
          <w:szCs w:val="21"/>
          <w:highlight w:val="none"/>
        </w:rPr>
      </w:pPr>
      <w:r>
        <w:rPr>
          <w:rFonts w:hint="eastAsia" w:ascii="宋体" w:hAnsi="宋体"/>
          <w:color w:val="auto"/>
          <w:szCs w:val="21"/>
          <w:highlight w:val="none"/>
        </w:rPr>
        <w:t>本招标项目招标人对投标人的资格审查采用的方式：</w:t>
      </w:r>
      <w:r>
        <w:rPr>
          <w:rFonts w:hint="eastAsia" w:ascii="宋体" w:hAnsi="宋体"/>
          <w:color w:val="auto"/>
          <w:szCs w:val="21"/>
          <w:highlight w:val="none"/>
          <w:u w:val="single"/>
        </w:rPr>
        <w:t>资格</w:t>
      </w:r>
      <w:r>
        <w:rPr>
          <w:rFonts w:ascii="宋体" w:hAnsi="宋体"/>
          <w:color w:val="auto"/>
          <w:szCs w:val="21"/>
          <w:highlight w:val="none"/>
          <w:u w:val="single"/>
        </w:rPr>
        <w:t>后</w:t>
      </w:r>
      <w:r>
        <w:rPr>
          <w:rFonts w:hint="eastAsia" w:ascii="宋体" w:hAnsi="宋体"/>
          <w:color w:val="auto"/>
          <w:szCs w:val="21"/>
          <w:highlight w:val="none"/>
          <w:u w:val="single"/>
        </w:rPr>
        <w:t>审</w:t>
      </w:r>
      <w:r>
        <w:rPr>
          <w:rStyle w:val="68"/>
          <w:rFonts w:hint="eastAsia"/>
          <w:color w:val="auto"/>
          <w:szCs w:val="21"/>
          <w:highlight w:val="none"/>
        </w:rPr>
        <w:t>。</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24" w:name="_Toc488483576"/>
      <w:bookmarkStart w:id="25" w:name="_Toc486685873"/>
      <w:bookmarkStart w:id="26" w:name="_Toc487653154"/>
      <w:bookmarkStart w:id="27" w:name="_Toc488492806"/>
      <w:bookmarkStart w:id="28" w:name="_Toc490832265"/>
      <w:bookmarkStart w:id="29" w:name="_Toc488483448"/>
      <w:bookmarkStart w:id="30" w:name="_Toc381806832"/>
      <w:r>
        <w:rPr>
          <w:rFonts w:hint="eastAsia" w:ascii="宋体" w:hAnsi="宋体"/>
          <w:color w:val="auto"/>
          <w:sz w:val="24"/>
          <w:szCs w:val="24"/>
          <w:highlight w:val="none"/>
        </w:rPr>
        <w:t>招标文件的获取</w:t>
      </w:r>
      <w:bookmarkEnd w:id="24"/>
      <w:bookmarkEnd w:id="25"/>
      <w:bookmarkEnd w:id="26"/>
      <w:bookmarkEnd w:id="27"/>
      <w:bookmarkEnd w:id="28"/>
      <w:bookmarkEnd w:id="29"/>
      <w:bookmarkEnd w:id="30"/>
    </w:p>
    <w:p>
      <w:pPr>
        <w:widowControl/>
        <w:tabs>
          <w:tab w:val="left" w:pos="900"/>
          <w:tab w:val="left" w:pos="1100"/>
          <w:tab w:val="left" w:pos="3807"/>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凡有意参加投标者，请于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分__秒前登录电子招标投标交易平台（网址：</w:t>
      </w:r>
      <w:r>
        <w:rPr>
          <w:rFonts w:hint="eastAsia" w:ascii="宋体" w:hAnsi="宋体"/>
          <w:color w:val="auto"/>
          <w:szCs w:val="21"/>
          <w:highlight w:val="none"/>
          <w:u w:val="single"/>
        </w:rPr>
        <w:t xml:space="preserve">        </w:t>
      </w:r>
      <w:r>
        <w:rPr>
          <w:rFonts w:hint="eastAsia" w:ascii="宋体" w:hAnsi="宋体"/>
          <w:color w:val="auto"/>
          <w:szCs w:val="21"/>
          <w:highlight w:val="none"/>
        </w:rPr>
        <w:t>)下载有关电子招标文件。招标人不另行出售纸质招标文件。</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31" w:name="_Toc490832266"/>
      <w:bookmarkStart w:id="32" w:name="_Toc488483450"/>
      <w:bookmarkStart w:id="33" w:name="_Toc381806835"/>
      <w:bookmarkStart w:id="34" w:name="_Toc487653156"/>
      <w:bookmarkStart w:id="35" w:name="_Toc488492808"/>
      <w:bookmarkStart w:id="36" w:name="_Toc486685875"/>
      <w:bookmarkStart w:id="37" w:name="_Toc488483578"/>
      <w:r>
        <w:rPr>
          <w:rFonts w:hint="eastAsia" w:ascii="宋体" w:hAnsi="宋体"/>
          <w:color w:val="auto"/>
          <w:sz w:val="24"/>
          <w:szCs w:val="24"/>
          <w:highlight w:val="none"/>
        </w:rPr>
        <w:t>投标文件的递交</w:t>
      </w:r>
      <w:bookmarkEnd w:id="31"/>
      <w:bookmarkEnd w:id="32"/>
      <w:bookmarkEnd w:id="33"/>
      <w:bookmarkEnd w:id="34"/>
      <w:bookmarkEnd w:id="35"/>
      <w:bookmarkEnd w:id="36"/>
      <w:bookmarkEnd w:id="37"/>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color w:val="auto"/>
          <w:szCs w:val="21"/>
          <w:highlight w:val="none"/>
        </w:rPr>
      </w:pPr>
      <w:bookmarkStart w:id="38" w:name="_Toc381806837"/>
      <w:r>
        <w:rPr>
          <w:rFonts w:hint="eastAsia" w:ascii="宋体" w:hAnsi="宋体" w:cs="宋体"/>
          <w:color w:val="auto"/>
          <w:kern w:val="0"/>
          <w:szCs w:val="21"/>
          <w:highlight w:val="none"/>
        </w:rPr>
        <w:t>投标文件递交的截止时间（投标截止时间，下同）为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分__秒，投标人必须在投标截止时间前通过</w:t>
      </w:r>
      <w:r>
        <w:rPr>
          <w:rFonts w:hint="eastAsia" w:ascii="宋体" w:hAnsi="宋体" w:cs="宋体"/>
          <w:color w:val="auto"/>
          <w:kern w:val="0"/>
          <w:szCs w:val="21"/>
          <w:highlight w:val="none"/>
          <w:u w:val="single"/>
        </w:rPr>
        <w:t>电子招标投</w:t>
      </w:r>
      <w:r>
        <w:rPr>
          <w:rFonts w:hint="eastAsia" w:ascii="宋体" w:hAnsi="宋体" w:cs="宋体"/>
          <w:color w:val="auto"/>
          <w:kern w:val="0"/>
          <w:szCs w:val="21"/>
          <w:highlight w:val="none"/>
        </w:rPr>
        <w:t>标</w:t>
      </w:r>
      <w:r>
        <w:rPr>
          <w:rFonts w:hint="eastAsia" w:ascii="宋体" w:hAnsi="宋体" w:cs="宋体"/>
          <w:color w:val="auto"/>
          <w:kern w:val="0"/>
          <w:szCs w:val="21"/>
          <w:highlight w:val="none"/>
          <w:u w:val="single"/>
        </w:rPr>
        <w:t>交易</w:t>
      </w:r>
      <w:r>
        <w:rPr>
          <w:rFonts w:hint="eastAsia" w:ascii="宋体" w:hAnsi="宋体" w:cs="宋体"/>
          <w:color w:val="auto"/>
          <w:kern w:val="0"/>
          <w:szCs w:val="21"/>
          <w:highlight w:val="none"/>
        </w:rPr>
        <w:t>平</w:t>
      </w:r>
      <w:r>
        <w:rPr>
          <w:rFonts w:hint="eastAsia" w:ascii="宋体" w:hAnsi="宋体" w:cs="宋体"/>
          <w:color w:val="auto"/>
          <w:kern w:val="0"/>
          <w:szCs w:val="21"/>
          <w:highlight w:val="none"/>
          <w:u w:val="single"/>
        </w:rPr>
        <w:t>台（网</w:t>
      </w:r>
      <w:r>
        <w:rPr>
          <w:rFonts w:hint="eastAsia" w:ascii="宋体" w:hAnsi="宋体" w:cs="宋体"/>
          <w:color w:val="auto"/>
          <w:kern w:val="0"/>
          <w:szCs w:val="21"/>
          <w:highlight w:val="none"/>
        </w:rPr>
        <w:t>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）上传电</w:t>
      </w:r>
      <w:r>
        <w:rPr>
          <w:rFonts w:hint="eastAsia" w:ascii="宋体" w:hAnsi="宋体"/>
          <w:color w:val="auto"/>
          <w:szCs w:val="21"/>
          <w:highlight w:val="none"/>
        </w:rPr>
        <w:t>子投标文件，但应认真检查投标文件的完整性。逾期到达或者未到达</w:t>
      </w:r>
      <w:r>
        <w:rPr>
          <w:rFonts w:hint="eastAsia" w:ascii="宋体" w:hAnsi="宋体"/>
          <w:color w:val="auto"/>
          <w:szCs w:val="21"/>
          <w:highlight w:val="none"/>
          <w:u w:val="single"/>
        </w:rPr>
        <w:t>交易系统的投</w:t>
      </w:r>
      <w:r>
        <w:rPr>
          <w:rFonts w:hint="eastAsia" w:ascii="宋体" w:hAnsi="宋体"/>
          <w:color w:val="auto"/>
          <w:szCs w:val="21"/>
          <w:highlight w:val="none"/>
        </w:rPr>
        <w:t>标文件视为放弃本次投标。</w:t>
      </w:r>
    </w:p>
    <w:p>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hint="eastAsia" w:ascii="宋体" w:hAnsi="宋体"/>
          <w:i/>
          <w:color w:val="auto"/>
          <w:szCs w:val="21"/>
          <w:highlight w:val="none"/>
        </w:rPr>
      </w:pPr>
      <w:r>
        <w:rPr>
          <w:rFonts w:hint="eastAsia" w:ascii="宋体" w:hAnsi="宋体" w:cs="宋体"/>
          <w:color w:val="auto"/>
          <w:kern w:val="0"/>
          <w:szCs w:val="21"/>
          <w:highlight w:val="none"/>
        </w:rPr>
        <w:t>在投标截止时间前，允许投标人对已投递的电子投标文件撤回、编辑再投递。投标人应使用投标时所使用的数字证书完成电子投标文件的解密，</w:t>
      </w:r>
      <w:r>
        <w:rPr>
          <w:rFonts w:hint="eastAsia" w:ascii="宋体" w:hAnsi="宋体" w:cs="宋体"/>
          <w:color w:val="auto"/>
          <w:szCs w:val="21"/>
          <w:highlight w:val="none"/>
        </w:rPr>
        <w:t>因投标人的原因，导致开标时无法解密投标文件的，按否决其投标处理。</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39" w:name="_Toc487653157"/>
      <w:bookmarkStart w:id="40" w:name="_Toc490832267"/>
      <w:bookmarkStart w:id="41" w:name="_Toc488483451"/>
      <w:bookmarkStart w:id="42" w:name="_Toc488483579"/>
      <w:bookmarkStart w:id="43" w:name="_Toc488492809"/>
      <w:bookmarkStart w:id="44" w:name="_Toc486685876"/>
      <w:r>
        <w:rPr>
          <w:rFonts w:hint="eastAsia" w:ascii="宋体" w:hAnsi="宋体"/>
          <w:color w:val="auto"/>
          <w:sz w:val="24"/>
          <w:szCs w:val="24"/>
          <w:highlight w:val="none"/>
        </w:rPr>
        <w:t>评标办法</w:t>
      </w:r>
      <w:bookmarkEnd w:id="39"/>
      <w:bookmarkEnd w:id="40"/>
      <w:bookmarkEnd w:id="41"/>
      <w:bookmarkEnd w:id="42"/>
      <w:bookmarkEnd w:id="43"/>
      <w:bookmarkEnd w:id="44"/>
    </w:p>
    <w:p>
      <w:pPr>
        <w:widowControl/>
        <w:tabs>
          <w:tab w:val="left" w:pos="510"/>
          <w:tab w:val="left" w:pos="900"/>
          <w:tab w:val="left" w:pos="1100"/>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本招标项目采用的评标办法：</w:t>
      </w:r>
      <w:r>
        <w:rPr>
          <w:rFonts w:hint="eastAsia" w:ascii="宋体" w:hAnsi="宋体" w:cs="宋体"/>
          <w:color w:val="auto"/>
          <w:sz w:val="24"/>
          <w:highlight w:val="none"/>
          <w:u w:val="single"/>
        </w:rPr>
        <w:t>定性评审法（适用于</w:t>
      </w:r>
      <w:r>
        <w:rPr>
          <w:rFonts w:hint="eastAsia" w:ascii="宋体" w:hAnsi="宋体" w:cs="宋体"/>
          <w:color w:val="auto"/>
          <w:sz w:val="24"/>
          <w:highlight w:val="none"/>
          <w:u w:val="single"/>
          <w:vertAlign w:val="superscript"/>
        </w:rPr>
        <w:t>①</w:t>
      </w:r>
      <w:r>
        <w:rPr>
          <w:rFonts w:hint="eastAsia" w:ascii="宋体" w:hAnsi="宋体" w:cs="宋体"/>
          <w:color w:val="auto"/>
          <w:sz w:val="24"/>
          <w:highlight w:val="none"/>
          <w:u w:val="single"/>
        </w:rPr>
        <w:t>：            ）</w:t>
      </w:r>
      <w:r>
        <w:rPr>
          <w:rFonts w:hint="eastAsia" w:ascii="宋体" w:hAnsi="宋体"/>
          <w:color w:val="auto"/>
          <w:szCs w:val="21"/>
          <w:highlight w:val="none"/>
        </w:rPr>
        <w:t>。</w:t>
      </w:r>
    </w:p>
    <w:p>
      <w:pPr>
        <w:pStyle w:val="6"/>
        <w:numPr>
          <w:ilvl w:val="0"/>
          <w:numId w:val="2"/>
        </w:numPr>
        <w:spacing w:before="60" w:after="60"/>
        <w:ind w:left="426" w:hanging="426" w:hangingChars="177"/>
        <w:rPr>
          <w:rFonts w:hint="eastAsia" w:ascii="宋体" w:hAnsi="宋体"/>
          <w:color w:val="auto"/>
          <w:sz w:val="24"/>
          <w:szCs w:val="24"/>
          <w:highlight w:val="none"/>
        </w:rPr>
      </w:pPr>
      <w:r>
        <w:rPr>
          <w:rFonts w:hint="eastAsia" w:ascii="宋体" w:hAnsi="宋体"/>
          <w:color w:val="auto"/>
          <w:sz w:val="24"/>
          <w:szCs w:val="24"/>
          <w:highlight w:val="none"/>
        </w:rPr>
        <w:t>定标办法</w:t>
      </w:r>
    </w:p>
    <w:p>
      <w:pPr>
        <w:wordWrap w:val="0"/>
        <w:spacing w:line="300" w:lineRule="auto"/>
        <w:ind w:firstLine="420" w:firstLineChars="200"/>
        <w:rPr>
          <w:color w:val="auto"/>
          <w:highlight w:val="none"/>
        </w:rPr>
      </w:pPr>
      <w:r>
        <w:rPr>
          <w:rFonts w:hint="eastAsia" w:ascii="宋体" w:hAnsi="宋体"/>
          <w:color w:val="auto"/>
          <w:szCs w:val="21"/>
          <w:highlight w:val="none"/>
        </w:rPr>
        <w:t>本招标项目采用的定标票决办法②</w:t>
      </w:r>
      <w:r>
        <w:rPr>
          <w:rFonts w:hint="eastAsia" w:ascii="宋体" w:hAnsi="宋体" w:cs="宋体"/>
          <w:color w:val="auto"/>
          <w:sz w:val="24"/>
          <w:highlight w:val="none"/>
          <w:u w:val="single"/>
        </w:rPr>
        <w:t>：                                。</w:t>
      </w:r>
      <w:r>
        <w:rPr>
          <w:rStyle w:val="47"/>
          <w:rFonts w:hint="eastAsia" w:ascii="宋体" w:hAnsi="宋体" w:cs="宋体"/>
          <w:color w:val="auto"/>
          <w:sz w:val="24"/>
          <w:highlight w:val="none"/>
          <w:u w:val="single"/>
        </w:rPr>
        <w:footnoteReference w:id="0"/>
      </w:r>
    </w:p>
    <w:p>
      <w:pPr>
        <w:pStyle w:val="6"/>
        <w:numPr>
          <w:ilvl w:val="0"/>
          <w:numId w:val="2"/>
        </w:numPr>
        <w:tabs>
          <w:tab w:val="clear" w:pos="454"/>
        </w:tabs>
        <w:spacing w:before="60" w:after="60" w:line="240" w:lineRule="auto"/>
        <w:ind w:left="426" w:hanging="426" w:hangingChars="177"/>
        <w:rPr>
          <w:rFonts w:hint="eastAsia" w:ascii="宋体" w:hAnsi="宋体"/>
          <w:color w:val="auto"/>
          <w:sz w:val="24"/>
          <w:szCs w:val="24"/>
          <w:highlight w:val="none"/>
        </w:rPr>
      </w:pPr>
      <w:bookmarkStart w:id="45" w:name="_Toc490832268"/>
      <w:bookmarkStart w:id="46" w:name="_Toc488483580"/>
      <w:bookmarkStart w:id="47" w:name="_Toc486685877"/>
      <w:bookmarkStart w:id="48" w:name="_Toc488483452"/>
      <w:bookmarkStart w:id="49" w:name="_Toc487653158"/>
      <w:bookmarkStart w:id="50" w:name="_Toc488492810"/>
      <w:r>
        <w:rPr>
          <w:rFonts w:hint="eastAsia" w:ascii="宋体" w:hAnsi="宋体"/>
          <w:color w:val="auto"/>
          <w:sz w:val="24"/>
          <w:szCs w:val="24"/>
          <w:highlight w:val="none"/>
        </w:rPr>
        <w:t>发布公告的媒介</w:t>
      </w:r>
      <w:bookmarkEnd w:id="38"/>
      <w:bookmarkEnd w:id="45"/>
      <w:bookmarkEnd w:id="46"/>
      <w:bookmarkEnd w:id="47"/>
      <w:bookmarkEnd w:id="48"/>
      <w:bookmarkEnd w:id="49"/>
      <w:bookmarkEnd w:id="50"/>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本次招标公告在</w:t>
      </w:r>
      <w:r>
        <w:rPr>
          <w:rFonts w:hint="eastAsia" w:ascii="宋体" w:hAnsi="宋体" w:cs="宋体"/>
          <w:color w:val="auto"/>
          <w:sz w:val="24"/>
          <w:highlight w:val="none"/>
        </w:rPr>
        <w:t>福建省公共资源交易电子公共服务平台</w:t>
      </w:r>
      <w:r>
        <w:rPr>
          <w:rFonts w:hint="eastAsia" w:ascii="宋体" w:hAnsi="宋体"/>
          <w:color w:val="auto"/>
          <w:szCs w:val="21"/>
          <w:highlight w:val="none"/>
          <w:u w:val="single"/>
        </w:rPr>
        <w:t>（网址：</w:t>
      </w:r>
      <w:r>
        <w:rPr>
          <w:rFonts w:ascii="宋体" w:hAnsi="宋体"/>
          <w:color w:val="auto"/>
          <w:szCs w:val="21"/>
          <w:highlight w:val="none"/>
        </w:rPr>
        <w:t xml:space="preserve">ggzyfw.fj.gov.cn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Style w:val="45"/>
          <w:rFonts w:hint="eastAsia" w:ascii="宋体" w:hAnsi="宋体" w:cs="宋体"/>
          <w:b/>
          <w:color w:val="auto"/>
          <w:szCs w:val="21"/>
          <w:highlight w:val="none"/>
        </w:rPr>
        <w:t>电子招标投标交易平台</w:t>
      </w:r>
      <w:r>
        <w:rPr>
          <w:rFonts w:hint="eastAsia" w:ascii="宋体" w:hAnsi="宋体"/>
          <w:color w:val="auto"/>
          <w:szCs w:val="21"/>
          <w:highlight w:val="none"/>
          <w:u w:val="single"/>
        </w:rPr>
        <w:t>（网址：                     ）</w:t>
      </w:r>
      <w:r>
        <w:rPr>
          <w:rFonts w:hint="eastAsia" w:ascii="宋体" w:hAnsi="宋体"/>
          <w:color w:val="auto"/>
          <w:szCs w:val="21"/>
          <w:highlight w:val="none"/>
        </w:rPr>
        <w:t>发布。</w:t>
      </w:r>
    </w:p>
    <w:p>
      <w:pPr>
        <w:widowControl/>
        <w:tabs>
          <w:tab w:val="left" w:pos="900"/>
          <w:tab w:val="left" w:pos="1100"/>
        </w:tabs>
        <w:spacing w:line="300" w:lineRule="auto"/>
        <w:ind w:left="105" w:leftChars="50" w:firstLine="316" w:firstLineChars="150"/>
        <w:rPr>
          <w:rStyle w:val="68"/>
          <w:rFonts w:hint="eastAsia"/>
          <w:b/>
          <w:color w:val="auto"/>
          <w:szCs w:val="21"/>
          <w:highlight w:val="none"/>
        </w:rPr>
      </w:pPr>
      <w:r>
        <w:rPr>
          <w:rFonts w:hint="eastAsia" w:ascii="宋体" w:hAnsi="宋体" w:cs="宋体"/>
          <w:b/>
          <w:color w:val="auto"/>
          <w:szCs w:val="21"/>
          <w:highlight w:val="none"/>
        </w:rPr>
        <w:t>注意事项：本工程答疑纪要及补充通知等将在福建省公共资源交易电子公共服务平台（网址：</w:t>
      </w:r>
      <w:r>
        <w:rPr>
          <w:rFonts w:ascii="宋体" w:hAnsi="宋体" w:cs="宋体"/>
          <w:b/>
          <w:color w:val="auto"/>
          <w:szCs w:val="21"/>
          <w:highlight w:val="none"/>
        </w:rPr>
        <w:fldChar w:fldCharType="begin"/>
      </w:r>
      <w:r>
        <w:rPr>
          <w:rFonts w:ascii="宋体" w:hAnsi="宋体" w:cs="宋体"/>
          <w:b/>
          <w:color w:val="auto"/>
          <w:szCs w:val="21"/>
          <w:highlight w:val="none"/>
        </w:rPr>
        <w:instrText xml:space="preserve"> HYPERLINK "http://</w:instrText>
      </w:r>
      <w:r>
        <w:rPr>
          <w:rFonts w:hint="eastAsia" w:ascii="宋体" w:hAnsi="宋体" w:cs="宋体"/>
          <w:b/>
          <w:color w:val="auto"/>
          <w:szCs w:val="21"/>
          <w:highlight w:val="none"/>
        </w:rPr>
        <w:instrText xml:space="preserve">www.fjbid.gov.cn）、电子招标投标交易平台</w:instrText>
      </w:r>
      <w:r>
        <w:rPr>
          <w:rFonts w:ascii="宋体" w:hAnsi="宋体" w:cs="宋体"/>
          <w:b/>
          <w:color w:val="auto"/>
          <w:szCs w:val="21"/>
          <w:highlight w:val="none"/>
        </w:rPr>
        <w:instrText xml:space="preserve">" </w:instrText>
      </w:r>
      <w:r>
        <w:rPr>
          <w:rFonts w:ascii="宋体" w:hAnsi="宋体" w:cs="宋体"/>
          <w:b/>
          <w:color w:val="auto"/>
          <w:szCs w:val="21"/>
          <w:highlight w:val="none"/>
        </w:rPr>
        <w:fldChar w:fldCharType="separate"/>
      </w:r>
      <w:r>
        <w:rPr>
          <w:rFonts w:ascii="宋体" w:hAnsi="宋体"/>
          <w:color w:val="auto"/>
          <w:szCs w:val="21"/>
          <w:highlight w:val="none"/>
        </w:rPr>
        <w:t xml:space="preserve">ggzyfw.fj.gov.cn </w:t>
      </w:r>
      <w:r>
        <w:rPr>
          <w:rStyle w:val="45"/>
          <w:rFonts w:hint="eastAsia" w:ascii="宋体" w:hAnsi="宋体" w:cs="宋体"/>
          <w:b/>
          <w:color w:val="auto"/>
          <w:szCs w:val="21"/>
          <w:highlight w:val="none"/>
        </w:rPr>
        <w:t>）、电子招标投标交易平台</w:t>
      </w:r>
      <w:r>
        <w:rPr>
          <w:rFonts w:ascii="宋体" w:hAnsi="宋体" w:cs="宋体"/>
          <w:b/>
          <w:color w:val="auto"/>
          <w:szCs w:val="21"/>
          <w:highlight w:val="none"/>
        </w:rPr>
        <w:fldChar w:fldCharType="end"/>
      </w:r>
      <w:r>
        <w:rPr>
          <w:rFonts w:hint="eastAsia" w:ascii="宋体" w:hAnsi="宋体" w:cs="宋体"/>
          <w:b/>
          <w:color w:val="auto"/>
          <w:szCs w:val="21"/>
          <w:highlight w:val="none"/>
        </w:rPr>
        <w:t>（</w:t>
      </w:r>
      <w:r>
        <w:rPr>
          <w:rFonts w:hint="eastAsia" w:ascii="宋体" w:hAnsi="宋体"/>
          <w:color w:val="auto"/>
          <w:szCs w:val="21"/>
          <w:highlight w:val="none"/>
          <w:u w:val="single"/>
        </w:rPr>
        <w:t>网址：</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 “公告答疑”上发布。各投标人应随时关注发布的相关信息，否则由此引起的后果及损失由各投标人自行承担。</w:t>
      </w:r>
    </w:p>
    <w:p>
      <w:pPr>
        <w:pStyle w:val="6"/>
        <w:numPr>
          <w:ilvl w:val="0"/>
          <w:numId w:val="2"/>
        </w:numPr>
        <w:spacing w:before="60" w:after="60" w:line="360" w:lineRule="auto"/>
        <w:ind w:left="0" w:firstLine="0"/>
        <w:rPr>
          <w:rFonts w:hint="eastAsia" w:ascii="宋体" w:hAnsi="宋体"/>
          <w:color w:val="auto"/>
          <w:sz w:val="24"/>
          <w:szCs w:val="24"/>
          <w:highlight w:val="none"/>
        </w:rPr>
      </w:pPr>
      <w:bookmarkStart w:id="51" w:name="_Toc487653159"/>
      <w:bookmarkStart w:id="52" w:name="_Toc488483453"/>
      <w:bookmarkStart w:id="53" w:name="_Toc490832269"/>
      <w:bookmarkStart w:id="54" w:name="_Toc486685878"/>
      <w:bookmarkStart w:id="55" w:name="_Toc488492811"/>
      <w:bookmarkStart w:id="56" w:name="_Toc381806838"/>
      <w:bookmarkStart w:id="57" w:name="_Toc488483581"/>
      <w:r>
        <w:rPr>
          <w:rFonts w:hint="eastAsia" w:ascii="宋体" w:hAnsi="宋体"/>
          <w:color w:val="auto"/>
          <w:sz w:val="24"/>
          <w:szCs w:val="24"/>
          <w:highlight w:val="none"/>
        </w:rPr>
        <w:t>联系方式</w:t>
      </w:r>
      <w:bookmarkEnd w:id="51"/>
      <w:bookmarkEnd w:id="52"/>
      <w:bookmarkEnd w:id="53"/>
      <w:bookmarkEnd w:id="54"/>
      <w:bookmarkEnd w:id="55"/>
      <w:bookmarkEnd w:id="56"/>
      <w:bookmarkEnd w:id="57"/>
    </w:p>
    <w:p>
      <w:pPr>
        <w:pStyle w:val="10"/>
        <w:spacing w:line="360" w:lineRule="auto"/>
        <w:ind w:left="0" w:firstLine="421" w:firstLineChars="200"/>
        <w:rPr>
          <w:rFonts w:hint="eastAsia" w:hAnsi="宋体"/>
          <w:bCs/>
          <w:color w:val="auto"/>
          <w:sz w:val="21"/>
          <w:szCs w:val="21"/>
          <w:highlight w:val="none"/>
        </w:rPr>
      </w:pPr>
      <w:r>
        <w:rPr>
          <w:rFonts w:hint="eastAsia" w:hAnsi="宋体"/>
          <w:b/>
          <w:bCs/>
          <w:color w:val="auto"/>
          <w:sz w:val="21"/>
          <w:szCs w:val="21"/>
          <w:highlight w:val="none"/>
        </w:rPr>
        <w:t>招标人（盖单位电子章）</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bCs/>
          <w:color w:val="auto"/>
          <w:sz w:val="21"/>
          <w:szCs w:val="21"/>
          <w:highlight w:val="none"/>
        </w:rPr>
      </w:pPr>
      <w:r>
        <w:rPr>
          <w:rFonts w:hint="eastAsia" w:hAnsi="宋体"/>
          <w:bCs/>
          <w:color w:val="auto"/>
          <w:sz w:val="21"/>
          <w:szCs w:val="21"/>
          <w:highlight w:val="none"/>
        </w:rPr>
        <w:t>邮政编码：</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bCs/>
          <w:color w:val="auto"/>
          <w:sz w:val="21"/>
          <w:szCs w:val="21"/>
          <w:highlight w:val="none"/>
        </w:rPr>
      </w:pPr>
      <w:r>
        <w:rPr>
          <w:rFonts w:hint="eastAsia" w:hAnsi="宋体"/>
          <w:bCs/>
          <w:color w:val="auto"/>
          <w:sz w:val="21"/>
          <w:szCs w:val="21"/>
          <w:highlight w:val="none"/>
        </w:rPr>
        <w:t>传真：</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bCs/>
          <w:color w:val="auto"/>
          <w:sz w:val="21"/>
          <w:szCs w:val="21"/>
          <w:highlight w:val="none"/>
        </w:rPr>
      </w:pPr>
      <w:r>
        <w:rPr>
          <w:rFonts w:hint="eastAsia" w:hAnsi="宋体"/>
          <w:bCs/>
          <w:color w:val="auto"/>
          <w:sz w:val="21"/>
          <w:szCs w:val="21"/>
          <w:highlight w:val="none"/>
        </w:rPr>
        <w:t>电话：</w:t>
      </w:r>
      <w:r>
        <w:rPr>
          <w:rFonts w:hint="eastAsia" w:hAnsi="宋体" w:cs="黑体"/>
          <w:bCs/>
          <w:color w:val="auto"/>
          <w:sz w:val="21"/>
          <w:szCs w:val="21"/>
          <w:highlight w:val="none"/>
          <w:u w:val="single"/>
        </w:rPr>
        <w:t>_________________________</w:t>
      </w:r>
    </w:p>
    <w:p>
      <w:pPr>
        <w:spacing w:line="360" w:lineRule="auto"/>
        <w:ind w:firstLine="421" w:firstLineChars="200"/>
        <w:rPr>
          <w:rFonts w:hint="eastAsia" w:ascii="宋体" w:hAnsi="宋体"/>
          <w:b/>
          <w:bCs/>
          <w:color w:val="auto"/>
          <w:szCs w:val="21"/>
          <w:highlight w:val="none"/>
        </w:rPr>
      </w:pPr>
    </w:p>
    <w:p>
      <w:pPr>
        <w:spacing w:line="360" w:lineRule="auto"/>
        <w:ind w:firstLine="421" w:firstLineChars="200"/>
        <w:rPr>
          <w:rFonts w:hint="eastAsia" w:ascii="宋体" w:hAnsi="宋体"/>
          <w:bCs/>
          <w:color w:val="auto"/>
          <w:szCs w:val="21"/>
          <w:highlight w:val="none"/>
        </w:rPr>
      </w:pPr>
      <w:r>
        <w:rPr>
          <w:rFonts w:hint="eastAsia" w:ascii="宋体" w:hAnsi="宋体"/>
          <w:b/>
          <w:bCs/>
          <w:color w:val="auto"/>
          <w:szCs w:val="21"/>
          <w:highlight w:val="none"/>
        </w:rPr>
        <w:t>招标代理机构</w:t>
      </w:r>
      <w:r>
        <w:rPr>
          <w:rFonts w:hint="eastAsia" w:hAnsi="宋体"/>
          <w:b/>
          <w:bCs/>
          <w:color w:val="auto"/>
          <w:szCs w:val="21"/>
          <w:highlight w:val="none"/>
        </w:rPr>
        <w:t>（盖单位电子章）</w:t>
      </w:r>
      <w:r>
        <w:rPr>
          <w:rFonts w:hint="eastAsia" w:ascii="宋体" w:hAnsi="宋体"/>
          <w:color w:val="auto"/>
          <w:szCs w:val="21"/>
          <w:highlight w:val="none"/>
        </w:rPr>
        <w:t>：</w:t>
      </w:r>
      <w:r>
        <w:rPr>
          <w:rFonts w:hint="eastAsia" w:ascii="宋体" w:hAnsi="宋体" w:cs="黑体"/>
          <w:bCs/>
          <w:color w:val="auto"/>
          <w:szCs w:val="21"/>
          <w:highlight w:val="none"/>
          <w:u w:val="single"/>
        </w:rPr>
        <w:t>_________________________</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地    址：</w:t>
      </w:r>
      <w:r>
        <w:rPr>
          <w:rFonts w:hint="eastAsia" w:ascii="宋体" w:hAnsi="宋体" w:cs="黑体"/>
          <w:bCs/>
          <w:color w:val="auto"/>
          <w:szCs w:val="21"/>
          <w:highlight w:val="none"/>
          <w:u w:val="single"/>
        </w:rPr>
        <w:t>_________________________</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邮政编码：</w:t>
      </w:r>
      <w:r>
        <w:rPr>
          <w:rFonts w:hint="eastAsia" w:ascii="宋体" w:hAnsi="宋体" w:cs="黑体"/>
          <w:bCs/>
          <w:color w:val="auto"/>
          <w:szCs w:val="21"/>
          <w:highlight w:val="none"/>
          <w:u w:val="single"/>
        </w:rPr>
        <w:t>_________________________</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联系人：</w:t>
      </w:r>
      <w:r>
        <w:rPr>
          <w:rFonts w:hint="eastAsia" w:ascii="宋体" w:hAnsi="宋体" w:cs="黑体"/>
          <w:bCs/>
          <w:color w:val="auto"/>
          <w:szCs w:val="21"/>
          <w:highlight w:val="none"/>
          <w:u w:val="single"/>
        </w:rPr>
        <w:t>_________________________</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电   话：</w:t>
      </w:r>
      <w:r>
        <w:rPr>
          <w:rFonts w:hint="eastAsia" w:ascii="宋体" w:hAnsi="宋体" w:cs="黑体"/>
          <w:bCs/>
          <w:color w:val="auto"/>
          <w:szCs w:val="21"/>
          <w:highlight w:val="none"/>
          <w:u w:val="single"/>
        </w:rPr>
        <w:t>_________________________</w:t>
      </w:r>
    </w:p>
    <w:p>
      <w:pPr>
        <w:spacing w:line="360" w:lineRule="auto"/>
        <w:ind w:firstLine="421" w:firstLineChars="200"/>
        <w:rPr>
          <w:rFonts w:hint="eastAsia" w:hAnsi="宋体"/>
          <w:b/>
          <w:color w:val="auto"/>
          <w:szCs w:val="21"/>
          <w:highlight w:val="none"/>
        </w:rPr>
      </w:pPr>
    </w:p>
    <w:p>
      <w:pPr>
        <w:pStyle w:val="10"/>
        <w:spacing w:line="360" w:lineRule="auto"/>
        <w:ind w:left="0" w:firstLine="421" w:firstLineChars="200"/>
        <w:rPr>
          <w:rFonts w:hint="eastAsia" w:hAnsi="宋体"/>
          <w:b/>
          <w:color w:val="auto"/>
          <w:sz w:val="21"/>
          <w:szCs w:val="21"/>
          <w:highlight w:val="none"/>
        </w:rPr>
      </w:pPr>
      <w:r>
        <w:rPr>
          <w:rFonts w:hint="eastAsia" w:hAnsi="宋体"/>
          <w:b/>
          <w:color w:val="auto"/>
          <w:sz w:val="21"/>
          <w:szCs w:val="21"/>
          <w:highlight w:val="none"/>
        </w:rPr>
        <w:t>监督单位</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pPr>
        <w:pStyle w:val="10"/>
        <w:spacing w:line="360" w:lineRule="auto"/>
        <w:ind w:left="0" w:firstLine="421" w:firstLineChars="200"/>
        <w:rPr>
          <w:rFonts w:hint="eastAsia" w:hAnsi="宋体" w:cs="黑体"/>
          <w:bCs/>
          <w:color w:val="auto"/>
          <w:sz w:val="21"/>
          <w:szCs w:val="21"/>
          <w:highlight w:val="none"/>
          <w:u w:val="single"/>
        </w:rPr>
      </w:pPr>
      <w:r>
        <w:rPr>
          <w:rFonts w:hint="eastAsia" w:hAnsi="宋体"/>
          <w:b/>
          <w:color w:val="auto"/>
          <w:sz w:val="21"/>
          <w:szCs w:val="21"/>
          <w:highlight w:val="none"/>
        </w:rPr>
        <w:t>联系电话：</w:t>
      </w:r>
      <w:r>
        <w:rPr>
          <w:rFonts w:hint="eastAsia" w:hAnsi="宋体" w:cs="黑体"/>
          <w:bCs/>
          <w:color w:val="auto"/>
          <w:sz w:val="21"/>
          <w:szCs w:val="21"/>
          <w:highlight w:val="none"/>
          <w:u w:val="single"/>
        </w:rPr>
        <w:t>_________________________</w:t>
      </w:r>
    </w:p>
    <w:p>
      <w:pPr>
        <w:pStyle w:val="10"/>
        <w:spacing w:line="360" w:lineRule="auto"/>
        <w:ind w:left="0" w:firstLine="420" w:firstLineChars="200"/>
        <w:rPr>
          <w:rFonts w:hint="eastAsia" w:hAnsi="宋体" w:cs="黑体"/>
          <w:bCs/>
          <w:color w:val="auto"/>
          <w:sz w:val="21"/>
          <w:szCs w:val="21"/>
          <w:highlight w:val="none"/>
          <w:u w:val="single"/>
        </w:rPr>
      </w:pPr>
    </w:p>
    <w:p>
      <w:pPr>
        <w:pStyle w:val="10"/>
        <w:spacing w:line="360" w:lineRule="auto"/>
        <w:ind w:left="0" w:firstLine="420" w:firstLineChars="200"/>
        <w:rPr>
          <w:rFonts w:hint="eastAsia" w:hAnsi="宋体" w:cs="黑体"/>
          <w:bCs/>
          <w:color w:val="auto"/>
          <w:sz w:val="21"/>
          <w:szCs w:val="21"/>
          <w:highlight w:val="none"/>
          <w:u w:val="single"/>
        </w:rPr>
      </w:pPr>
      <w:r>
        <w:rPr>
          <w:rFonts w:hint="eastAsia" w:hAnsi="宋体" w:cs="黑体"/>
          <w:bCs/>
          <w:color w:val="auto"/>
          <w:sz w:val="21"/>
          <w:szCs w:val="21"/>
          <w:highlight w:val="none"/>
        </w:rPr>
        <w:t>电子交易平台联系电话</w:t>
      </w:r>
      <w:r>
        <w:rPr>
          <w:rFonts w:hint="eastAsia" w:hAnsi="宋体"/>
          <w:b/>
          <w:color w:val="auto"/>
          <w:sz w:val="21"/>
          <w:szCs w:val="21"/>
          <w:highlight w:val="none"/>
        </w:rPr>
        <w:t>：</w:t>
      </w:r>
      <w:r>
        <w:rPr>
          <w:rFonts w:hint="eastAsia" w:hAnsi="宋体" w:cs="黑体"/>
          <w:bCs/>
          <w:color w:val="auto"/>
          <w:sz w:val="21"/>
          <w:szCs w:val="21"/>
          <w:highlight w:val="none"/>
          <w:u w:val="single"/>
        </w:rPr>
        <w:t>_________________________</w:t>
      </w:r>
    </w:p>
    <w:p>
      <w:pPr>
        <w:pStyle w:val="4"/>
        <w:rPr>
          <w:rFonts w:hint="eastAsia"/>
          <w:color w:val="auto"/>
          <w:highlight w:val="none"/>
        </w:rPr>
      </w:pPr>
      <w:r>
        <w:rPr>
          <w:color w:val="auto"/>
          <w:sz w:val="24"/>
          <w:highlight w:val="none"/>
        </w:rPr>
        <w:br w:type="page"/>
      </w:r>
      <w:bookmarkStart w:id="58" w:name="_Toc490832270"/>
      <w:r>
        <w:rPr>
          <w:rFonts w:hint="eastAsia"/>
          <w:color w:val="auto"/>
          <w:highlight w:val="none"/>
        </w:rPr>
        <w:t>第二章 投标人须知</w:t>
      </w:r>
      <w:bookmarkEnd w:id="58"/>
    </w:p>
    <w:p>
      <w:pPr>
        <w:pStyle w:val="6"/>
        <w:jc w:val="center"/>
        <w:rPr>
          <w:rFonts w:hint="eastAsia" w:ascii="宋体" w:hAnsi="宋体"/>
          <w:color w:val="auto"/>
          <w:highlight w:val="none"/>
        </w:rPr>
      </w:pPr>
      <w:bookmarkStart w:id="59" w:name="_Toc490832271"/>
      <w:r>
        <w:rPr>
          <w:rFonts w:hint="eastAsia" w:ascii="宋体" w:hAnsi="宋体"/>
          <w:color w:val="auto"/>
          <w:highlight w:val="none"/>
        </w:rPr>
        <w:t>投标人须知前附表</w:t>
      </w:r>
      <w:bookmarkEnd w:id="59"/>
    </w:p>
    <w:p>
      <w:pPr>
        <w:jc w:val="center"/>
        <w:rPr>
          <w:rFonts w:hint="eastAsia"/>
          <w:color w:val="auto"/>
          <w:highlight w:val="none"/>
        </w:rPr>
      </w:pPr>
      <w:r>
        <w:rPr>
          <w:rFonts w:hint="eastAsia"/>
          <w:color w:val="auto"/>
          <w:highlight w:val="none"/>
        </w:rPr>
        <w:t>（电子交易平台自动生成）</w:t>
      </w:r>
    </w:p>
    <w:p>
      <w:pPr>
        <w:rPr>
          <w:rFonts w:hint="eastAsia"/>
          <w:color w:val="auto"/>
          <w:highlight w:val="none"/>
        </w:rPr>
      </w:pPr>
      <w:r>
        <w:rPr>
          <w:rFonts w:hint="eastAsia"/>
          <w:color w:val="auto"/>
          <w:highlight w:val="none"/>
        </w:rPr>
        <w:t>说明：投标人须知前附表是投标人须知的修改和补充，不一致的以前附表内容为准。</w:t>
      </w:r>
    </w:p>
    <w:tbl>
      <w:tblPr>
        <w:tblStyle w:val="3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9"/>
        <w:gridCol w:w="1805"/>
        <w:gridCol w:w="9"/>
        <w:gridCol w:w="9"/>
        <w:gridCol w:w="9"/>
        <w:gridCol w:w="6296"/>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tblHeader/>
          <w:jc w:val="center"/>
        </w:trPr>
        <w:tc>
          <w:tcPr>
            <w:tcW w:w="1324" w:type="dxa"/>
            <w:gridSpan w:val="2"/>
            <w:tcBorders>
              <w:top w:val="single" w:color="auto" w:sz="12" w:space="0"/>
              <w:left w:val="single" w:color="auto" w:sz="12" w:space="0"/>
              <w:right w:val="single" w:color="auto" w:sz="4" w:space="0"/>
            </w:tcBorders>
            <w:noWrap w:val="0"/>
            <w:vAlign w:val="center"/>
          </w:tcPr>
          <w:p>
            <w:pPr>
              <w:tabs>
                <w:tab w:val="left" w:pos="477"/>
              </w:tabs>
              <w:autoSpaceDE w:val="0"/>
              <w:autoSpaceDN w:val="0"/>
              <w:adjustRightInd w:val="0"/>
              <w:snapToGrid w:val="0"/>
              <w:spacing w:line="360" w:lineRule="exact"/>
              <w:ind w:left="-1" w:leftChars="-51" w:hanging="106" w:hangingChars="56"/>
              <w:jc w:val="center"/>
              <w:rPr>
                <w:rFonts w:hint="eastAsia" w:ascii="宋体" w:hAnsi="宋体"/>
                <w:color w:val="auto"/>
                <w:spacing w:val="-10"/>
                <w:kern w:val="0"/>
                <w:szCs w:val="21"/>
                <w:highlight w:val="none"/>
              </w:rPr>
            </w:pPr>
            <w:r>
              <w:rPr>
                <w:rFonts w:hint="eastAsia" w:ascii="宋体" w:hAnsi="宋体"/>
                <w:color w:val="auto"/>
                <w:spacing w:val="-10"/>
                <w:kern w:val="0"/>
                <w:szCs w:val="21"/>
                <w:highlight w:val="none"/>
              </w:rPr>
              <w:t>条款号</w:t>
            </w:r>
          </w:p>
        </w:tc>
        <w:tc>
          <w:tcPr>
            <w:tcW w:w="1814" w:type="dxa"/>
            <w:gridSpan w:val="2"/>
            <w:tcBorders>
              <w:top w:val="single" w:color="auto" w:sz="12" w:space="0"/>
              <w:left w:val="single" w:color="auto" w:sz="4" w:space="0"/>
              <w:right w:val="single" w:color="auto" w:sz="4" w:space="0"/>
            </w:tcBorders>
            <w:noWrap w:val="0"/>
            <w:vAlign w:val="center"/>
          </w:tcPr>
          <w:p>
            <w:pPr>
              <w:tabs>
                <w:tab w:val="left" w:pos="477"/>
              </w:tabs>
              <w:autoSpaceDE w:val="0"/>
              <w:autoSpaceDN w:val="0"/>
              <w:adjustRightInd w:val="0"/>
              <w:snapToGrid w:val="0"/>
              <w:spacing w:line="360" w:lineRule="exact"/>
              <w:ind w:left="-1" w:leftChars="-51" w:hanging="106" w:hangingChars="56"/>
              <w:jc w:val="center"/>
              <w:rPr>
                <w:rFonts w:hint="eastAsia" w:ascii="宋体" w:hAnsi="宋体"/>
                <w:color w:val="auto"/>
                <w:spacing w:val="-10"/>
                <w:kern w:val="0"/>
                <w:szCs w:val="21"/>
                <w:highlight w:val="none"/>
              </w:rPr>
            </w:pPr>
            <w:r>
              <w:rPr>
                <w:rFonts w:hint="eastAsia" w:ascii="宋体" w:hAnsi="宋体"/>
                <w:color w:val="auto"/>
                <w:spacing w:val="-10"/>
                <w:kern w:val="0"/>
                <w:szCs w:val="21"/>
                <w:highlight w:val="none"/>
              </w:rPr>
              <w:t>条款名称</w:t>
            </w:r>
          </w:p>
        </w:tc>
        <w:tc>
          <w:tcPr>
            <w:tcW w:w="6323" w:type="dxa"/>
            <w:gridSpan w:val="4"/>
            <w:tcBorders>
              <w:top w:val="single" w:color="auto" w:sz="12" w:space="0"/>
              <w:left w:val="single" w:color="auto" w:sz="4" w:space="0"/>
              <w:right w:val="single" w:color="auto" w:sz="12" w:space="0"/>
            </w:tcBorders>
            <w:noWrap w:val="0"/>
            <w:vAlign w:val="center"/>
          </w:tcPr>
          <w:p>
            <w:pPr>
              <w:autoSpaceDE w:val="0"/>
              <w:autoSpaceDN w:val="0"/>
              <w:adjustRightInd w:val="0"/>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编   列  内</w:t>
            </w:r>
            <w:r>
              <w:rPr>
                <w:rFonts w:ascii="宋体" w:hAnsi="宋体"/>
                <w:color w:val="auto"/>
                <w:kern w:val="0"/>
                <w:szCs w:val="21"/>
                <w:highlight w:val="none"/>
              </w:rPr>
              <w:t xml:space="preserve">   </w:t>
            </w:r>
            <w:r>
              <w:rPr>
                <w:rFonts w:hint="eastAsia" w:ascii="宋体" w:hAnsi="宋体"/>
                <w:color w:val="auto"/>
                <w:kern w:val="0"/>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1.1.2</w:t>
            </w:r>
          </w:p>
        </w:tc>
        <w:tc>
          <w:tcPr>
            <w:tcW w:w="1823" w:type="dxa"/>
            <w:gridSpan w:val="3"/>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招标人</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1.1.3</w:t>
            </w:r>
          </w:p>
        </w:tc>
        <w:tc>
          <w:tcPr>
            <w:tcW w:w="1823" w:type="dxa"/>
            <w:gridSpan w:val="3"/>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招标代理机构</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pPr>
              <w:spacing w:line="360" w:lineRule="exact"/>
              <w:jc w:val="left"/>
              <w:textAlignment w:val="center"/>
              <w:rPr>
                <w:rFonts w:hint="eastAsia"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823" w:type="dxa"/>
            <w:gridSpan w:val="3"/>
            <w:tcBorders>
              <w:left w:val="single" w:color="auto" w:sz="4"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1.1.5</w:t>
            </w:r>
          </w:p>
        </w:tc>
        <w:tc>
          <w:tcPr>
            <w:tcW w:w="1823" w:type="dxa"/>
            <w:gridSpan w:val="3"/>
            <w:tcBorders>
              <w:left w:val="single" w:color="auto" w:sz="4"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建设地点</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1.2.1</w:t>
            </w:r>
          </w:p>
        </w:tc>
        <w:tc>
          <w:tcPr>
            <w:tcW w:w="1823" w:type="dxa"/>
            <w:gridSpan w:val="3"/>
            <w:tcBorders>
              <w:left w:val="single" w:color="auto" w:sz="4"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资金来源</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1.2.2</w:t>
            </w:r>
          </w:p>
        </w:tc>
        <w:tc>
          <w:tcPr>
            <w:tcW w:w="1823" w:type="dxa"/>
            <w:gridSpan w:val="3"/>
            <w:tcBorders>
              <w:left w:val="single" w:color="auto" w:sz="4"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出资比例</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1.2.3</w:t>
            </w:r>
          </w:p>
        </w:tc>
        <w:tc>
          <w:tcPr>
            <w:tcW w:w="1823" w:type="dxa"/>
            <w:gridSpan w:val="3"/>
            <w:tcBorders>
              <w:left w:val="single" w:color="auto" w:sz="4" w:space="0"/>
              <w:right w:val="single" w:color="auto" w:sz="4" w:space="0"/>
            </w:tcBorders>
            <w:noWrap w:val="0"/>
            <w:vAlign w:val="center"/>
          </w:tcPr>
          <w:p>
            <w:pPr>
              <w:tabs>
                <w:tab w:val="left" w:pos="162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资金落实情况</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1.3.1</w:t>
            </w:r>
          </w:p>
        </w:tc>
        <w:tc>
          <w:tcPr>
            <w:tcW w:w="1823" w:type="dxa"/>
            <w:gridSpan w:val="3"/>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招标范围</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1.3.2</w:t>
            </w:r>
          </w:p>
        </w:tc>
        <w:tc>
          <w:tcPr>
            <w:tcW w:w="1823" w:type="dxa"/>
            <w:gridSpan w:val="3"/>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6332" w:type="dxa"/>
            <w:gridSpan w:val="4"/>
            <w:tcBorders>
              <w:left w:val="single" w:color="auto" w:sz="4" w:space="0"/>
              <w:right w:val="single" w:color="auto" w:sz="12"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计划工期：</w:t>
            </w:r>
            <w:r>
              <w:rPr>
                <w:rFonts w:hint="eastAsia"/>
                <w:color w:val="auto"/>
                <w:szCs w:val="21"/>
                <w:highlight w:val="none"/>
                <w:u w:val="single"/>
              </w:rPr>
              <w:t xml:space="preserve">      </w:t>
            </w:r>
            <w:r>
              <w:rPr>
                <w:rFonts w:hint="eastAsia"/>
                <w:color w:val="auto"/>
                <w:szCs w:val="21"/>
                <w:highlight w:val="none"/>
              </w:rPr>
              <w:t>日历天</w:t>
            </w:r>
          </w:p>
          <w:p>
            <w:pPr>
              <w:spacing w:line="360" w:lineRule="auto"/>
              <w:rPr>
                <w:rFonts w:hint="eastAsia"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hAnsi="宋体"/>
                <w:color w:val="auto"/>
                <w:szCs w:val="21"/>
                <w:highlight w:val="none"/>
              </w:rPr>
              <w:t>（暂定，以实际开工令写明的时间为准）</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计划交工日期：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日（暂定）</w:t>
            </w:r>
          </w:p>
          <w:p>
            <w:pPr>
              <w:spacing w:line="360" w:lineRule="exact"/>
              <w:jc w:val="left"/>
              <w:textAlignment w:val="center"/>
              <w:rPr>
                <w:rFonts w:hint="eastAsia" w:ascii="宋体" w:hAnsi="宋体"/>
                <w:color w:val="auto"/>
                <w:szCs w:val="21"/>
                <w:highlight w:val="none"/>
              </w:rPr>
            </w:pPr>
            <w:r>
              <w:rPr>
                <w:rFonts w:hint="eastAsia" w:ascii="宋体" w:hAnsi="宋体"/>
                <w:color w:val="auto"/>
                <w:szCs w:val="21"/>
                <w:highlight w:val="none"/>
              </w:rPr>
              <w:t>重要节点工期：</w:t>
            </w:r>
            <w:r>
              <w:rPr>
                <w:rFonts w:hint="eastAsia" w:ascii="宋体" w:hAnsi="宋体"/>
                <w:color w:val="auto"/>
                <w:szCs w:val="21"/>
                <w:highlight w:val="none"/>
                <w:u w:val="single"/>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1.3.3</w:t>
            </w:r>
          </w:p>
        </w:tc>
        <w:tc>
          <w:tcPr>
            <w:tcW w:w="1823" w:type="dxa"/>
            <w:gridSpan w:val="3"/>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质量要求</w:t>
            </w:r>
          </w:p>
        </w:tc>
        <w:tc>
          <w:tcPr>
            <w:tcW w:w="6332" w:type="dxa"/>
            <w:gridSpan w:val="4"/>
            <w:tcBorders>
              <w:left w:val="single" w:color="auto" w:sz="4" w:space="0"/>
              <w:right w:val="single" w:color="auto" w:sz="12" w:space="0"/>
            </w:tcBorders>
            <w:noWrap w:val="0"/>
            <w:vAlign w:val="center"/>
          </w:tcPr>
          <w:p>
            <w:pPr>
              <w:spacing w:line="36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满足施工图设计和规范要求，达到合格标准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1.4.1</w:t>
            </w:r>
          </w:p>
        </w:tc>
        <w:tc>
          <w:tcPr>
            <w:tcW w:w="1823" w:type="dxa"/>
            <w:gridSpan w:val="3"/>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投标人资质条件、能力和信誉</w:t>
            </w:r>
          </w:p>
        </w:tc>
        <w:tc>
          <w:tcPr>
            <w:tcW w:w="6332"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u w:val="single"/>
              </w:rPr>
            </w:pPr>
            <w:r>
              <w:rPr>
                <w:rFonts w:hint="eastAsia" w:ascii="宋体" w:hAnsi="宋体"/>
                <w:color w:val="auto"/>
                <w:szCs w:val="21"/>
                <w:highlight w:val="none"/>
              </w:rPr>
              <w:t>资质最低条件：详见附件1；</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财务最低要求：详见附件2；</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业绩最低要求：详见附件3；</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信誉最低要求：详见附件4；</w:t>
            </w:r>
          </w:p>
          <w:p>
            <w:pPr>
              <w:autoSpaceDE w:val="0"/>
              <w:autoSpaceDN w:val="0"/>
              <w:adjustRightIn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主要人员最低要求：详见附件5；</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其他要求：详见附件6。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1.4.2</w:t>
            </w:r>
          </w:p>
        </w:tc>
        <w:tc>
          <w:tcPr>
            <w:tcW w:w="1832" w:type="dxa"/>
            <w:gridSpan w:val="4"/>
            <w:tcBorders>
              <w:left w:val="single" w:color="auto" w:sz="4" w:space="0"/>
              <w:right w:val="single" w:color="auto" w:sz="4" w:space="0"/>
            </w:tcBorders>
            <w:noWrap w:val="0"/>
            <w:vAlign w:val="center"/>
          </w:tcPr>
          <w:p>
            <w:pPr>
              <w:spacing w:line="36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联合体</w:t>
            </w:r>
          </w:p>
        </w:tc>
        <w:tc>
          <w:tcPr>
            <w:tcW w:w="6323" w:type="dxa"/>
            <w:gridSpan w:val="3"/>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bCs/>
                <w:color w:val="auto"/>
                <w:szCs w:val="21"/>
                <w:highlight w:val="none"/>
              </w:rPr>
            </w:pPr>
            <w:r>
              <w:rPr>
                <w:rFonts w:hint="eastAsia" w:ascii="宋体" w:hAnsi="宋体"/>
                <w:bCs/>
                <w:color w:val="auto"/>
                <w:szCs w:val="21"/>
                <w:highlight w:val="none"/>
              </w:rPr>
              <w:t>□ 不接受</w:t>
            </w:r>
          </w:p>
          <w:p>
            <w:pPr>
              <w:spacing w:line="360" w:lineRule="exact"/>
              <w:jc w:val="left"/>
              <w:textAlignment w:val="center"/>
              <w:rPr>
                <w:rFonts w:hint="eastAsia" w:ascii="宋体" w:hAnsi="宋体"/>
                <w:color w:val="auto"/>
                <w:szCs w:val="21"/>
                <w:highlight w:val="none"/>
              </w:rPr>
            </w:pPr>
            <w:r>
              <w:rPr>
                <w:rFonts w:hint="eastAsia" w:ascii="宋体" w:hAnsi="宋体"/>
                <w:bCs/>
                <w:color w:val="auto"/>
                <w:szCs w:val="21"/>
                <w:highlight w:val="none"/>
              </w:rPr>
              <w:t xml:space="preserve">□ </w:t>
            </w:r>
            <w:r>
              <w:rPr>
                <w:rFonts w:hint="eastAsia" w:ascii="宋体" w:hAnsi="宋体"/>
                <w:color w:val="auto"/>
                <w:szCs w:val="21"/>
                <w:highlight w:val="none"/>
              </w:rPr>
              <w:t>接受,应满足下列要求:</w:t>
            </w:r>
          </w:p>
          <w:p>
            <w:pPr>
              <w:numPr>
                <w:ilvl w:val="0"/>
                <w:numId w:val="3"/>
              </w:numPr>
              <w:spacing w:line="360" w:lineRule="exact"/>
              <w:ind w:firstLine="0" w:firstLineChars="0"/>
              <w:jc w:val="left"/>
              <w:textAlignment w:val="center"/>
              <w:rPr>
                <w:rFonts w:hint="eastAsia" w:ascii="宋体" w:hAnsi="宋体"/>
                <w:bCs/>
                <w:color w:val="auto"/>
                <w:szCs w:val="21"/>
                <w:highlight w:val="none"/>
              </w:rPr>
            </w:pPr>
            <w:r>
              <w:rPr>
                <w:rFonts w:hint="eastAsia" w:ascii="宋体" w:hAnsi="宋体"/>
                <w:bCs/>
                <w:color w:val="auto"/>
                <w:szCs w:val="21"/>
                <w:highlight w:val="none"/>
              </w:rPr>
              <w:t>联合体所有成员数量不得超过3家；</w:t>
            </w:r>
          </w:p>
          <w:p>
            <w:pPr>
              <w:numPr>
                <w:ilvl w:val="0"/>
                <w:numId w:val="3"/>
              </w:numPr>
              <w:spacing w:line="360" w:lineRule="exact"/>
              <w:ind w:firstLine="0" w:firstLineChars="0"/>
              <w:jc w:val="left"/>
              <w:textAlignment w:val="center"/>
              <w:rPr>
                <w:rFonts w:hint="eastAsia" w:ascii="宋体" w:hAnsi="宋体"/>
                <w:color w:val="auto"/>
                <w:szCs w:val="21"/>
                <w:highlight w:val="none"/>
              </w:rPr>
            </w:pPr>
            <w:r>
              <w:rPr>
                <w:rFonts w:hint="eastAsia" w:ascii="宋体" w:hAnsi="宋体"/>
                <w:color w:val="auto"/>
                <w:szCs w:val="21"/>
                <w:highlight w:val="none"/>
                <w:lang w:val="en-US" w:eastAsia="zh-CN"/>
              </w:rPr>
              <w:t>联合体参与投标的，采用福建省交通建设市场信用考核评价结果的，信用等级按联合体牵头人的信用等级确定；采用厦门市建筑施工企业信用综合评价结果的，信用等级按联合体中信用综合评价等级最低的企业确定联合体的信用综合评价等级（对于联合体为母公司与在厦控股子公司或关联公司情形另有规定的，从其规定）。</w:t>
            </w:r>
          </w:p>
          <w:p>
            <w:pPr>
              <w:numPr>
                <w:ilvl w:val="0"/>
                <w:numId w:val="3"/>
              </w:numPr>
              <w:spacing w:line="360" w:lineRule="exact"/>
              <w:ind w:firstLine="0" w:firstLineChars="0"/>
              <w:jc w:val="left"/>
              <w:textAlignment w:val="center"/>
              <w:rPr>
                <w:rFonts w:hint="eastAsia" w:ascii="宋体" w:hAnsi="宋体"/>
                <w:color w:val="auto"/>
                <w:szCs w:val="21"/>
                <w:highlight w:val="none"/>
              </w:rPr>
            </w:pPr>
            <w:r>
              <w:rPr>
                <w:rFonts w:hint="eastAsia" w:ascii="宋体" w:hAnsi="宋体"/>
                <w:bCs/>
                <w:color w:val="auto"/>
                <w:szCs w:val="21"/>
                <w:highlight w:val="none"/>
              </w:rPr>
              <w:t>联合体要求：</w:t>
            </w:r>
            <w:r>
              <w:rPr>
                <w:rFonts w:hint="eastAsia" w:ascii="宋体" w:hAnsi="宋体" w:cs="黑体"/>
                <w:bCs/>
                <w:color w:val="auto"/>
                <w:sz w:val="24"/>
                <w:highlight w:val="none"/>
                <w:u w:val="single"/>
              </w:rPr>
              <w:t>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1.9.1</w:t>
            </w:r>
          </w:p>
        </w:tc>
        <w:tc>
          <w:tcPr>
            <w:tcW w:w="1814" w:type="dxa"/>
            <w:gridSpan w:val="2"/>
            <w:tcBorders>
              <w:left w:val="single" w:color="auto" w:sz="4" w:space="0"/>
              <w:right w:val="single" w:color="auto" w:sz="4" w:space="0"/>
            </w:tcBorders>
            <w:noWrap w:val="0"/>
            <w:vAlign w:val="center"/>
          </w:tcPr>
          <w:p>
            <w:pPr>
              <w:spacing w:line="36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踏勘现场</w:t>
            </w:r>
          </w:p>
        </w:tc>
        <w:tc>
          <w:tcPr>
            <w:tcW w:w="6323"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bCs/>
                <w:color w:val="auto"/>
                <w:szCs w:val="21"/>
                <w:highlight w:val="none"/>
                <w:u w:val="single"/>
              </w:rPr>
            </w:pPr>
            <w:r>
              <w:rPr>
                <w:rFonts w:hint="eastAsia" w:ascii="宋体" w:hAnsi="宋体"/>
                <w:color w:val="auto"/>
                <w:szCs w:val="21"/>
                <w:highlight w:val="none"/>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1.10.1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投标预备会</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1.10.2</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投标人提出问题的截止时间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kern w:val="0"/>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1.10.3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招标人书面澄清的时间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kern w:val="0"/>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1.11</w:t>
            </w:r>
          </w:p>
        </w:tc>
        <w:tc>
          <w:tcPr>
            <w:tcW w:w="1814"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分包</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pPr>
              <w:spacing w:line="360" w:lineRule="exact"/>
              <w:jc w:val="left"/>
              <w:textAlignment w:val="center"/>
              <w:rPr>
                <w:rFonts w:hint="eastAsia" w:ascii="宋体" w:hAnsi="宋体"/>
                <w:bCs/>
                <w:color w:val="auto"/>
                <w:szCs w:val="21"/>
                <w:highlight w:val="none"/>
              </w:rPr>
            </w:pPr>
            <w:r>
              <w:rPr>
                <w:rFonts w:hint="eastAsia" w:ascii="宋体" w:hAnsi="宋体"/>
                <w:bCs/>
                <w:color w:val="auto"/>
                <w:szCs w:val="21"/>
                <w:highlight w:val="none"/>
              </w:rPr>
              <w:t>□允许：分包金额不高于投标总价的30%</w:t>
            </w:r>
          </w:p>
          <w:p>
            <w:pPr>
              <w:numPr>
                <w:ilvl w:val="0"/>
                <w:numId w:val="4"/>
              </w:numPr>
              <w:spacing w:line="360" w:lineRule="exact"/>
              <w:jc w:val="left"/>
              <w:textAlignment w:val="center"/>
              <w:rPr>
                <w:rFonts w:hint="eastAsia" w:ascii="宋体" w:hAnsi="宋体"/>
                <w:bCs/>
                <w:color w:val="auto"/>
                <w:szCs w:val="21"/>
                <w:highlight w:val="none"/>
                <w:u w:val="single"/>
              </w:rPr>
            </w:pPr>
            <w:r>
              <w:rPr>
                <w:rFonts w:hint="eastAsia" w:ascii="宋体" w:hAnsi="宋体"/>
                <w:bCs/>
                <w:color w:val="auto"/>
                <w:szCs w:val="21"/>
                <w:highlight w:val="none"/>
              </w:rPr>
              <w:t>分包内容要求：</w:t>
            </w:r>
            <w:r>
              <w:rPr>
                <w:rFonts w:hint="eastAsia" w:ascii="宋体" w:hAnsi="宋体" w:cs="黑体"/>
                <w:bCs/>
                <w:color w:val="auto"/>
                <w:sz w:val="24"/>
                <w:highlight w:val="none"/>
                <w:u w:val="single"/>
              </w:rPr>
              <w:t>_________________________</w:t>
            </w:r>
          </w:p>
          <w:p>
            <w:pPr>
              <w:numPr>
                <w:ilvl w:val="0"/>
                <w:numId w:val="4"/>
              </w:numPr>
              <w:spacing w:line="360" w:lineRule="exact"/>
              <w:jc w:val="left"/>
              <w:textAlignment w:val="center"/>
              <w:rPr>
                <w:rFonts w:hint="eastAsia" w:ascii="宋体" w:hAnsi="宋体"/>
                <w:color w:val="auto"/>
                <w:kern w:val="0"/>
                <w:szCs w:val="21"/>
                <w:highlight w:val="none"/>
              </w:rPr>
            </w:pPr>
            <w:r>
              <w:rPr>
                <w:rFonts w:hint="eastAsia" w:ascii="宋体" w:hAnsi="宋体"/>
                <w:bCs/>
                <w:color w:val="auto"/>
                <w:szCs w:val="21"/>
                <w:highlight w:val="none"/>
              </w:rPr>
              <w:t>分包人资质要求：</w:t>
            </w:r>
            <w:r>
              <w:rPr>
                <w:rFonts w:hint="eastAsia" w:ascii="宋体" w:hAnsi="宋体" w:cs="黑体"/>
                <w:bCs/>
                <w:color w:val="auto"/>
                <w:sz w:val="24"/>
                <w:highlight w:val="none"/>
                <w:u w:val="single"/>
              </w:rPr>
              <w:t>_________________________</w:t>
            </w:r>
            <w:r>
              <w:rPr>
                <w:rFonts w:hint="eastAsia" w:ascii="宋体" w:hAnsi="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1.12</w:t>
            </w:r>
          </w:p>
        </w:tc>
        <w:tc>
          <w:tcPr>
            <w:tcW w:w="1814"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偏离</w:t>
            </w:r>
          </w:p>
        </w:tc>
        <w:tc>
          <w:tcPr>
            <w:tcW w:w="6323" w:type="dxa"/>
            <w:gridSpan w:val="4"/>
            <w:tcBorders>
              <w:left w:val="single" w:color="auto" w:sz="4" w:space="0"/>
              <w:right w:val="single" w:color="auto" w:sz="12" w:space="0"/>
            </w:tcBorders>
            <w:noWrap w:val="0"/>
            <w:vAlign w:val="center"/>
          </w:tcPr>
          <w:p>
            <w:pPr>
              <w:spacing w:line="3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□不允许</w:t>
            </w:r>
          </w:p>
          <w:p>
            <w:pPr>
              <w:spacing w:line="32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□允许：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1814"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构成招标文件的其他材料</w:t>
            </w:r>
          </w:p>
        </w:tc>
        <w:tc>
          <w:tcPr>
            <w:tcW w:w="6323" w:type="dxa"/>
            <w:gridSpan w:val="4"/>
            <w:tcBorders>
              <w:left w:val="single" w:color="auto" w:sz="4" w:space="0"/>
              <w:right w:val="single" w:color="auto" w:sz="12" w:space="0"/>
            </w:tcBorders>
            <w:noWrap w:val="0"/>
            <w:vAlign w:val="center"/>
          </w:tcPr>
          <w:p>
            <w:pPr>
              <w:spacing w:line="360" w:lineRule="exact"/>
              <w:rPr>
                <w:rFonts w:hint="eastAsia"/>
                <w:color w:val="auto"/>
                <w:highlight w:val="none"/>
              </w:rPr>
            </w:pPr>
            <w:r>
              <w:rPr>
                <w:rFonts w:hint="eastAsia"/>
                <w:color w:val="auto"/>
                <w:highlight w:val="none"/>
              </w:rPr>
              <w:t>项目相关文件及相关图纸，招标人在投标截止时间之前发出的所有的澄清、修改、补遗书和其他有关通知等。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2.2.1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投标人要求澄清招标文件的截止时间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2.2.2</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投标截止时间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2.2.3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投标人确认收到招标文件澄清的时间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在福建省公共资源交易电子公共服务平台（网址：</w:t>
            </w:r>
            <w:r>
              <w:rPr>
                <w:rFonts w:ascii="宋体" w:hAnsi="宋体"/>
                <w:color w:val="auto"/>
                <w:szCs w:val="21"/>
                <w:highlight w:val="none"/>
              </w:rPr>
              <w:t xml:space="preserve">ggzyfw.fj.gov.cn </w:t>
            </w:r>
            <w:r>
              <w:rPr>
                <w:rFonts w:ascii="宋体" w:hAnsi="宋体"/>
                <w:color w:val="auto"/>
                <w:szCs w:val="21"/>
                <w:highlight w:val="none"/>
              </w:rPr>
              <w:fldChar w:fldCharType="begin"/>
            </w:r>
            <w:r>
              <w:rPr>
                <w:rFonts w:ascii="宋体" w:hAnsi="宋体"/>
                <w:color w:val="auto"/>
                <w:szCs w:val="21"/>
                <w:highlight w:val="none"/>
              </w:rPr>
              <w:instrText xml:space="preserve"> HYPERLINK "http://</w:instrText>
            </w:r>
            <w:r>
              <w:rPr>
                <w:rFonts w:hint="eastAsia" w:ascii="宋体" w:hAnsi="宋体"/>
                <w:color w:val="auto"/>
                <w:szCs w:val="21"/>
                <w:highlight w:val="none"/>
              </w:rPr>
              <w:instrText xml:space="preserve">www.fjbid.gov.cn）、电子招标投标交易平台</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45"/>
                <w:rFonts w:hint="eastAsia" w:ascii="宋体" w:hAnsi="宋体"/>
                <w:color w:val="auto"/>
                <w:szCs w:val="21"/>
                <w:highlight w:val="none"/>
              </w:rPr>
              <w:t>）、电子招标投标交易平台</w:t>
            </w:r>
            <w:r>
              <w:rPr>
                <w:rFonts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2.3.2</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投标人确认收到招标文件修改的时间</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szCs w:val="21"/>
                <w:highlight w:val="none"/>
              </w:rPr>
            </w:pPr>
            <w:r>
              <w:rPr>
                <w:rFonts w:hint="eastAsia" w:ascii="宋体" w:hAnsi="宋体"/>
                <w:bCs/>
                <w:color w:val="auto"/>
                <w:szCs w:val="21"/>
                <w:highlight w:val="none"/>
              </w:rPr>
              <w:t>在</w:t>
            </w:r>
            <w:r>
              <w:rPr>
                <w:rFonts w:hint="eastAsia" w:ascii="宋体" w:hAnsi="宋体"/>
                <w:color w:val="auto"/>
                <w:szCs w:val="21"/>
                <w:highlight w:val="none"/>
              </w:rPr>
              <w:t>福建省公共资源交易电子公共服务平台（网址：</w:t>
            </w:r>
            <w:r>
              <w:rPr>
                <w:rFonts w:ascii="宋体" w:hAnsi="宋体"/>
                <w:color w:val="auto"/>
                <w:szCs w:val="21"/>
                <w:highlight w:val="none"/>
              </w:rPr>
              <w:t xml:space="preserve">ggzyfw.fj.gov.cn </w:t>
            </w:r>
            <w:r>
              <w:rPr>
                <w:rFonts w:ascii="宋体" w:hAnsi="宋体"/>
                <w:color w:val="auto"/>
                <w:szCs w:val="21"/>
                <w:highlight w:val="none"/>
              </w:rPr>
              <w:fldChar w:fldCharType="begin"/>
            </w:r>
            <w:r>
              <w:rPr>
                <w:rFonts w:ascii="宋体" w:hAnsi="宋体"/>
                <w:color w:val="auto"/>
                <w:szCs w:val="21"/>
                <w:highlight w:val="none"/>
              </w:rPr>
              <w:instrText xml:space="preserve"> HYPERLINK "</w:instrText>
            </w:r>
            <w:r>
              <w:rPr>
                <w:rFonts w:hint="eastAsia" w:ascii="宋体" w:hAnsi="宋体"/>
                <w:color w:val="auto"/>
                <w:szCs w:val="21"/>
                <w:highlight w:val="none"/>
              </w:rPr>
              <w:instrText xml:space="preserve">）、电子招标投标交易平台</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45"/>
                <w:rFonts w:hint="eastAsia" w:ascii="宋体" w:hAnsi="宋体"/>
                <w:color w:val="auto"/>
                <w:szCs w:val="21"/>
                <w:highlight w:val="none"/>
              </w:rPr>
              <w:t>）、电子招标投标交易平台</w:t>
            </w:r>
            <w:r>
              <w:rPr>
                <w:rFonts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3.1.1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构成投标文件的其他资料</w:t>
            </w:r>
          </w:p>
        </w:tc>
        <w:tc>
          <w:tcPr>
            <w:tcW w:w="6323" w:type="dxa"/>
            <w:gridSpan w:val="4"/>
            <w:tcBorders>
              <w:left w:val="single" w:color="auto" w:sz="4" w:space="0"/>
              <w:right w:val="single" w:color="auto" w:sz="12" w:space="0"/>
            </w:tcBorders>
            <w:noWrap w:val="0"/>
            <w:vAlign w:val="center"/>
          </w:tcPr>
          <w:p>
            <w:pPr>
              <w:spacing w:line="360" w:lineRule="exact"/>
              <w:jc w:val="left"/>
              <w:textAlignment w:val="center"/>
              <w:rPr>
                <w:rFonts w:hint="eastAsia" w:ascii="宋体" w:hAnsi="宋体"/>
                <w:color w:val="auto"/>
                <w:szCs w:val="21"/>
                <w:highlight w:val="none"/>
                <w:u w:val="single"/>
              </w:rPr>
            </w:pPr>
            <w:r>
              <w:rPr>
                <w:rFonts w:hint="eastAsia" w:ascii="宋体" w:hAnsi="宋体"/>
                <w:color w:val="auto"/>
                <w:szCs w:val="21"/>
                <w:highlight w:val="none"/>
              </w:rPr>
              <w:t>包括但不限于投标文件格式所列要求需提供的证明材料、对评标委员会提出的投标文件有关问题（若有）的澄清函。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3.2.3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szCs w:val="21"/>
                <w:highlight w:val="none"/>
              </w:rPr>
              <w:t>最高投标报价限价</w:t>
            </w:r>
          </w:p>
        </w:tc>
        <w:tc>
          <w:tcPr>
            <w:tcW w:w="6323" w:type="dxa"/>
            <w:gridSpan w:val="4"/>
            <w:tcBorders>
              <w:left w:val="single" w:color="auto" w:sz="4" w:space="0"/>
              <w:right w:val="single" w:color="auto" w:sz="12" w:space="0"/>
            </w:tcBorders>
            <w:noWrap w:val="0"/>
            <w:vAlign w:val="center"/>
          </w:tcPr>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本招标项目设有最高投标报价限价</w:t>
            </w:r>
            <w:r>
              <w:rPr>
                <w:rFonts w:hint="eastAsia" w:ascii="宋体" w:hAnsi="宋体"/>
                <w:color w:val="auto"/>
                <w:szCs w:val="21"/>
                <w:highlight w:val="none"/>
                <w:u w:val="single"/>
              </w:rPr>
              <w:t xml:space="preserve">         </w:t>
            </w:r>
            <w:r>
              <w:rPr>
                <w:rFonts w:hint="eastAsia" w:ascii="宋体" w:hAnsi="宋体"/>
                <w:color w:val="auto"/>
                <w:szCs w:val="21"/>
                <w:highlight w:val="none"/>
              </w:rPr>
              <w:t>元。投标人投标报价若高于最高投标报价限价，投标文件将做废标处理。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3.2.8</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323" w:type="dxa"/>
            <w:gridSpan w:val="4"/>
            <w:tcBorders>
              <w:left w:val="single" w:color="auto" w:sz="4" w:space="0"/>
              <w:right w:val="single" w:color="auto" w:sz="12" w:space="0"/>
            </w:tcBorders>
            <w:noWrap w:val="0"/>
            <w:vAlign w:val="center"/>
          </w:tcPr>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本项目采用以下方式确定承包合同价格：</w:t>
            </w:r>
          </w:p>
          <w:p>
            <w:pPr>
              <w:spacing w:line="360" w:lineRule="exact"/>
              <w:ind w:firstLine="420" w:firstLineChars="200"/>
              <w:jc w:val="left"/>
              <w:textAlignment w:val="center"/>
              <w:rPr>
                <w:rFonts w:hint="eastAsia" w:ascii="宋体" w:hAnsi="宋体"/>
                <w:color w:val="auto"/>
                <w:szCs w:val="21"/>
                <w:highlight w:val="none"/>
                <w:u w:val="single"/>
              </w:rPr>
            </w:pPr>
            <w:r>
              <w:rPr>
                <w:rFonts w:hint="eastAsia" w:ascii="宋体" w:hAnsi="宋体"/>
                <w:color w:val="auto"/>
                <w:szCs w:val="21"/>
                <w:highlight w:val="none"/>
              </w:rPr>
              <w:t>□固定总价合同：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□固定单价合同：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报价其他要求：</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kern w:val="0"/>
                <w:szCs w:val="21"/>
                <w:highlight w:val="none"/>
              </w:rPr>
              <w:t>3.3.1</w:t>
            </w:r>
          </w:p>
        </w:tc>
        <w:tc>
          <w:tcPr>
            <w:tcW w:w="1814"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6323" w:type="dxa"/>
            <w:gridSpan w:val="4"/>
            <w:tcBorders>
              <w:left w:val="single" w:color="auto" w:sz="4" w:space="0"/>
              <w:right w:val="single" w:color="auto" w:sz="12" w:space="0"/>
            </w:tcBorders>
            <w:noWrap w:val="0"/>
            <w:vAlign w:val="center"/>
          </w:tcPr>
          <w:p>
            <w:pPr>
              <w:spacing w:line="3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自开标之日起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3.4.1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投标保证金（投标保证金按照项目估算价的2%计算，最高不得超过80万元）</w:t>
            </w:r>
          </w:p>
        </w:tc>
        <w:tc>
          <w:tcPr>
            <w:tcW w:w="6323" w:type="dxa"/>
            <w:gridSpan w:val="4"/>
            <w:tcBorders>
              <w:left w:val="single" w:color="auto" w:sz="4" w:space="0"/>
              <w:right w:val="single" w:color="auto" w:sz="12" w:space="0"/>
            </w:tcBorders>
            <w:noWrap w:val="0"/>
            <w:vAlign w:val="center"/>
          </w:tcPr>
          <w:p>
            <w:pPr>
              <w:numPr>
                <w:ilvl w:val="0"/>
                <w:numId w:val="5"/>
              </w:num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投标保证金的金额为：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pPr>
              <w:numPr>
                <w:ilvl w:val="-1"/>
                <w:numId w:val="0"/>
              </w:num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本招标项目</w:t>
            </w:r>
            <w:r>
              <w:rPr>
                <w:rFonts w:hint="eastAsia" w:ascii="宋体" w:hAnsi="宋体"/>
                <w:color w:val="auto"/>
                <w:szCs w:val="21"/>
                <w:highlight w:val="none"/>
                <w:lang w:eastAsia="zh-CN"/>
              </w:rPr>
              <w:t>□</w:t>
            </w:r>
            <w:r>
              <w:rPr>
                <w:rFonts w:hint="eastAsia" w:ascii="宋体" w:hAnsi="宋体"/>
                <w:color w:val="auto"/>
                <w:szCs w:val="21"/>
                <w:highlight w:val="none"/>
              </w:rPr>
              <w:t xml:space="preserve"> 不接受  □ 接受投标保证金优惠：</w:t>
            </w:r>
            <w:r>
              <w:rPr>
                <w:rFonts w:hint="eastAsia" w:ascii="宋体" w:hAnsi="宋体"/>
                <w:color w:val="auto"/>
                <w:szCs w:val="21"/>
                <w:highlight w:val="none"/>
                <w:lang w:val="en-US" w:eastAsia="zh-CN"/>
              </w:rPr>
              <w:t>福建省交通运输厅、福建省发展和改革委员会发布的当年度交通建设项目从业单位信用考核结果，投标人</w:t>
            </w:r>
            <w:r>
              <w:rPr>
                <w:rFonts w:hint="eastAsia" w:ascii="宋体" w:hAnsi="宋体"/>
                <w:color w:val="auto"/>
                <w:szCs w:val="21"/>
                <w:highlight w:val="none"/>
              </w:rPr>
              <w:t>为</w:t>
            </w:r>
            <w:r>
              <w:rPr>
                <w:rFonts w:hint="eastAsia" w:ascii="宋体" w:hAnsi="宋体"/>
                <w:color w:val="auto"/>
                <w:szCs w:val="21"/>
                <w:highlight w:val="none"/>
                <w:lang w:val="en-US" w:eastAsia="zh-CN"/>
              </w:rPr>
              <w:t>AA级</w:t>
            </w:r>
            <w:r>
              <w:rPr>
                <w:rFonts w:hint="eastAsia" w:ascii="宋体" w:hAnsi="宋体"/>
                <w:color w:val="auto"/>
                <w:szCs w:val="21"/>
                <w:highlight w:val="none"/>
              </w:rPr>
              <w:t xml:space="preserve">的，缴交投标保证金为招标文件要求金额的50%（     万元人民币）；投标人为 </w:t>
            </w:r>
            <w:r>
              <w:rPr>
                <w:rFonts w:hint="eastAsia" w:ascii="宋体" w:hAnsi="宋体"/>
                <w:color w:val="auto"/>
                <w:szCs w:val="21"/>
                <w:highlight w:val="none"/>
                <w:lang w:val="en-US" w:eastAsia="zh-CN"/>
              </w:rPr>
              <w:t>A</w:t>
            </w:r>
            <w:r>
              <w:rPr>
                <w:rFonts w:hint="eastAsia" w:ascii="宋体" w:hAnsi="宋体"/>
                <w:color w:val="auto"/>
                <w:szCs w:val="21"/>
                <w:highlight w:val="none"/>
              </w:rPr>
              <w:t>级的，缴交投标保证金为招标文件要求金额的75%（     万元人民币）。</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（2）投标保证金提交的时间：应在投标截止时间之前汇达指定账户；</w:t>
            </w:r>
          </w:p>
          <w:p>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投标保证金提交的方式</w:t>
            </w:r>
            <w:r>
              <w:rPr>
                <w:rFonts w:hint="eastAsia" w:ascii="宋体" w:hAnsi="宋体"/>
                <w:color w:val="auto"/>
                <w:szCs w:val="21"/>
                <w:highlight w:val="none"/>
              </w:rPr>
              <w:t>（可按以下任一方式提交）：</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 单项工程投标保证金：</w:t>
            </w:r>
            <w:r>
              <w:rPr>
                <w:rFonts w:hint="eastAsia" w:ascii="宋体" w:hAnsi="宋体" w:cs="宋体"/>
                <w:color w:val="auto"/>
                <w:szCs w:val="21"/>
                <w:highlight w:val="none"/>
                <w:u w:val="single"/>
              </w:rPr>
              <w:t>应从投标人基本账户</w:t>
            </w:r>
            <w:r>
              <w:rPr>
                <w:rFonts w:hint="eastAsia" w:ascii="宋体" w:hAnsi="宋体" w:cs="宋体"/>
                <w:bCs/>
                <w:color w:val="auto"/>
                <w:szCs w:val="21"/>
                <w:highlight w:val="none"/>
                <w:u w:val="single"/>
              </w:rPr>
              <w:t>以</w:t>
            </w:r>
            <w:r>
              <w:rPr>
                <w:rFonts w:hint="eastAsia" w:ascii="宋体" w:hAnsi="宋体" w:cs="宋体"/>
                <w:color w:val="auto"/>
                <w:szCs w:val="21"/>
                <w:highlight w:val="none"/>
                <w:u w:val="single"/>
              </w:rPr>
              <w:t>电汇或银行转账方式提交(以款项到达时间为准，现金不予受理)，并应在电汇或银行转账单上注明为本招标项目的投标保证金</w:t>
            </w:r>
            <w:r>
              <w:rPr>
                <w:rFonts w:hint="eastAsia" w:ascii="宋体" w:hAnsi="宋体"/>
                <w:color w:val="auto"/>
                <w:szCs w:val="21"/>
                <w:highlight w:val="none"/>
              </w:rPr>
              <w:t>；</w:t>
            </w:r>
          </w:p>
          <w:p>
            <w:pPr>
              <w:spacing w:line="32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② 年度投标保证金（或年度投标保函）：根据相关规定，在项目所在地公共资源交易中心或省公共资源交易中心已缴交年度投标保证金的投标人，凭本项目公共资源交易中心开具的“建筑龙头企业年度投标保证金或保函”可参与本项目的投标，投标时不需要按项目交存投标保证金。</w:t>
            </w:r>
          </w:p>
          <w:p>
            <w:pPr>
              <w:spacing w:line="320" w:lineRule="exact"/>
              <w:ind w:firstLine="420" w:firstLineChars="200"/>
              <w:jc w:val="left"/>
              <w:textAlignment w:val="center"/>
              <w:rPr>
                <w:rFonts w:hint="eastAsia" w:ascii="宋体" w:hAnsi="宋体" w:cs="宋体"/>
                <w:color w:val="auto"/>
                <w:szCs w:val="21"/>
                <w:highlight w:val="none"/>
                <w:u w:val="single"/>
              </w:rPr>
            </w:pPr>
            <w:r>
              <w:rPr>
                <w:rFonts w:hint="eastAsia" w:ascii="宋体" w:hAnsi="宋体" w:cs="Times New Roman"/>
                <w:color w:val="auto"/>
                <w:kern w:val="2"/>
                <w:sz w:val="21"/>
                <w:szCs w:val="21"/>
                <w:highlight w:val="none"/>
              </w:rPr>
              <w:t>③</w:t>
            </w:r>
            <w:r>
              <w:rPr>
                <w:rFonts w:hint="eastAsia" w:ascii="宋体" w:hAnsi="宋体" w:cs="宋体"/>
                <w:color w:val="auto"/>
                <w:kern w:val="0"/>
                <w:sz w:val="24"/>
                <w:highlight w:val="none"/>
              </w:rPr>
              <w:t xml:space="preserve"> </w:t>
            </w:r>
            <w:r>
              <w:rPr>
                <w:rFonts w:hint="eastAsia" w:ascii="宋体" w:hAnsi="宋体"/>
                <w:color w:val="auto"/>
                <w:szCs w:val="21"/>
                <w:highlight w:val="none"/>
              </w:rPr>
              <w:t>银行保函</w:t>
            </w:r>
            <w:r>
              <w:rPr>
                <w:rFonts w:hint="eastAsia" w:ascii="宋体" w:hAnsi="宋体" w:cs="宋体"/>
                <w:color w:val="auto"/>
                <w:kern w:val="0"/>
                <w:sz w:val="24"/>
                <w:highlight w:val="none"/>
              </w:rPr>
              <w:t>：</w:t>
            </w:r>
            <w:r>
              <w:rPr>
                <w:rFonts w:hint="eastAsia" w:ascii="宋体" w:hAnsi="宋体" w:cs="宋体"/>
                <w:color w:val="auto"/>
                <w:szCs w:val="21"/>
                <w:highlight w:val="none"/>
              </w:rPr>
              <w:t>按闽建筑[2015]29号文的规定提交银行保函。</w:t>
            </w:r>
          </w:p>
          <w:p>
            <w:pPr>
              <w:spacing w:line="320" w:lineRule="exact"/>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u w:val="double"/>
              </w:rPr>
              <w:t>投标人投标保证金转账账号应与基本存款账户信息或开户许可证上基本存款账号一致，否则视为未按规定提交投标保证金，其投标将被否决。</w:t>
            </w:r>
          </w:p>
          <w:p>
            <w:pPr>
              <w:spacing w:line="32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投标人应</w:t>
            </w:r>
            <w:r>
              <w:rPr>
                <w:rFonts w:hint="eastAsia" w:ascii="宋体" w:hAnsi="宋体"/>
                <w:bCs/>
                <w:color w:val="auto"/>
                <w:szCs w:val="21"/>
                <w:highlight w:val="none"/>
              </w:rPr>
              <w:t>自行考虑银行之间汇款所需时间，</w:t>
            </w:r>
            <w:r>
              <w:rPr>
                <w:rFonts w:hint="eastAsia" w:ascii="宋体" w:hAnsi="宋体"/>
                <w:color w:val="auto"/>
                <w:szCs w:val="21"/>
                <w:highlight w:val="none"/>
              </w:rPr>
              <w:t>确保投标保证金按上述要求在招标公告规定的截止之前到达招标人指定的银行账户</w:t>
            </w:r>
            <w:r>
              <w:rPr>
                <w:rFonts w:hint="eastAsia" w:ascii="宋体" w:hAnsi="宋体"/>
                <w:bCs/>
                <w:color w:val="auto"/>
                <w:szCs w:val="21"/>
                <w:highlight w:val="none"/>
              </w:rPr>
              <w:t>（以银行开出加盖业务公章的到账凭证为准，并需在汇款单上注明“</w:t>
            </w:r>
            <w:r>
              <w:rPr>
                <w:rFonts w:hint="eastAsia" w:ascii="宋体" w:hAnsi="宋体"/>
                <w:bCs/>
                <w:color w:val="auto"/>
                <w:szCs w:val="21"/>
                <w:highlight w:val="none"/>
                <w:u w:val="single"/>
              </w:rPr>
              <w:t xml:space="preserve"> （项目名称） </w:t>
            </w:r>
            <w:r>
              <w:rPr>
                <w:rFonts w:hint="eastAsia" w:ascii="宋体" w:hAnsi="宋体"/>
                <w:color w:val="auto"/>
                <w:szCs w:val="21"/>
                <w:highlight w:val="none"/>
              </w:rPr>
              <w:t>投标保证金</w:t>
            </w:r>
            <w:r>
              <w:rPr>
                <w:rFonts w:hint="eastAsia" w:ascii="宋体" w:hAnsi="宋体"/>
                <w:bCs/>
                <w:color w:val="auto"/>
                <w:szCs w:val="21"/>
                <w:highlight w:val="none"/>
              </w:rPr>
              <w:t>”字样，否则招标人无法辨别投标保证金所属工程项目，无法出具到账证明，由此造成的后果将由投标人自行负责）</w:t>
            </w:r>
            <w:r>
              <w:rPr>
                <w:rFonts w:hint="eastAsia" w:ascii="宋体" w:hAnsi="宋体"/>
                <w:color w:val="auto"/>
                <w:szCs w:val="21"/>
                <w:highlight w:val="none"/>
              </w:rPr>
              <w:t>。</w:t>
            </w:r>
          </w:p>
          <w:p>
            <w:pPr>
              <w:spacing w:line="32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④采用电子保函：</w:t>
            </w:r>
            <w:r>
              <w:rPr>
                <w:rFonts w:hint="eastAsia" w:ascii="宋体" w:hAnsi="宋体"/>
                <w:color w:val="auto"/>
                <w:szCs w:val="21"/>
                <w:highlight w:val="none"/>
                <w:lang w:bidi="ar"/>
              </w:rPr>
              <w:t>电子保函应由具备开展工程担保业务能力的银行业金融机构、工程担保公司、保险机构开具，办理电子保函所需的一切费用由投标人自理。</w:t>
            </w:r>
            <w:r>
              <w:rPr>
                <w:rFonts w:hint="eastAsia" w:ascii="宋体" w:hAnsi="宋体"/>
                <w:color w:val="auto"/>
                <w:szCs w:val="21"/>
                <w:highlight w:val="none"/>
              </w:rPr>
              <w:t xml:space="preserve">投标人提交的电子保函文件应符合《福建省公共资源电子保函文件格式标准（试行）》要求，以及在电子保函文件中应有担保人对电子保函真实性和承担责任等的承诺、查验保函网址。  </w:t>
            </w:r>
          </w:p>
          <w:p>
            <w:pPr>
              <w:adjustRightInd w:val="0"/>
              <w:snapToGrid w:val="0"/>
              <w:spacing w:line="300" w:lineRule="auto"/>
              <w:ind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⑤免缴投标保证金形式：符合下列情形之一的投标人，予以免缴投标保证金。</w:t>
            </w:r>
          </w:p>
          <w:p>
            <w:pPr>
              <w:tabs>
                <w:tab w:val="left" w:pos="510"/>
              </w:tabs>
              <w:adjustRightInd w:val="0"/>
              <w:snapToGrid w:val="0"/>
              <w:spacing w:line="300" w:lineRule="auto"/>
              <w:ind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2"/>
                <w:sz w:val="21"/>
                <w:szCs w:val="21"/>
                <w:highlight w:val="none"/>
              </w:rPr>
              <w:t>a.在法定媒介发布招标公告之日仍属于福建省住房和城乡建设厅公布的福建省建筑业龙头企业名单内；</w:t>
            </w:r>
          </w:p>
          <w:p>
            <w:pPr>
              <w:widowControl w:val="0"/>
              <w:snapToGrid w:val="0"/>
              <w:spacing w:line="300" w:lineRule="auto"/>
              <w:ind w:right="59" w:rightChars="28"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□b.</w:t>
            </w:r>
            <w:r>
              <w:rPr>
                <w:rFonts w:hint="eastAsia" w:ascii="宋体" w:hAnsi="宋体" w:eastAsia="宋体" w:cs="宋体"/>
                <w:color w:val="auto"/>
                <w:kern w:val="1"/>
                <w:sz w:val="21"/>
                <w:szCs w:val="21"/>
                <w:highlight w:val="none"/>
                <w:lang w:val="en-US" w:eastAsia="zh-CN" w:bidi="ar-SA"/>
              </w:rPr>
              <w:t>投标人</w:t>
            </w:r>
            <w:r>
              <w:rPr>
                <w:rFonts w:hint="eastAsia" w:ascii="宋体" w:hAnsi="宋体" w:eastAsia="宋体" w:cs="宋体"/>
                <w:color w:val="auto"/>
                <w:kern w:val="0"/>
                <w:sz w:val="21"/>
                <w:szCs w:val="21"/>
                <w:highlight w:val="none"/>
                <w:u w:val="single"/>
                <w:lang w:val="en-US" w:eastAsia="zh-CN" w:bidi="ar-SA"/>
              </w:rPr>
              <w:t>最近三年</w:t>
            </w:r>
            <w:r>
              <w:rPr>
                <w:rFonts w:hint="eastAsia" w:ascii="宋体" w:hAnsi="宋体" w:eastAsia="宋体" w:cs="宋体"/>
                <w:color w:val="auto"/>
                <w:kern w:val="1"/>
                <w:sz w:val="21"/>
                <w:szCs w:val="21"/>
                <w:highlight w:val="none"/>
                <w:lang w:val="en-US" w:eastAsia="zh-CN" w:bidi="ar-SA"/>
              </w:rPr>
              <w:t>福建省交通运输厅、福建省发展和改革委员会发布的当年度交通建设项目从业单位信用考核结果均为AA级别；</w:t>
            </w:r>
          </w:p>
          <w:p>
            <w:pPr>
              <w:widowControl w:val="0"/>
              <w:snapToGrid w:val="0"/>
              <w:spacing w:line="300" w:lineRule="auto"/>
              <w:ind w:right="59" w:rightChars="28" w:firstLine="420" w:firstLineChars="200"/>
              <w:jc w:val="both"/>
              <w:rPr>
                <w:rFonts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bidi="ar-SA"/>
              </w:rPr>
              <w:t>□c.</w:t>
            </w:r>
            <w:r>
              <w:rPr>
                <w:rFonts w:hint="eastAsia" w:ascii="宋体" w:hAnsi="宋体" w:eastAsia="宋体" w:cs="宋体"/>
                <w:color w:val="auto"/>
                <w:kern w:val="0"/>
                <w:sz w:val="21"/>
                <w:szCs w:val="21"/>
                <w:highlight w:val="none"/>
                <w:u w:val="none"/>
                <w:lang w:val="en-US" w:eastAsia="zh-CN" w:bidi="ar-SA"/>
              </w:rPr>
              <w:t xml:space="preserve">                      </w:t>
            </w:r>
          </w:p>
          <w:p>
            <w:pPr>
              <w:widowControl/>
              <w:tabs>
                <w:tab w:val="left" w:pos="900"/>
                <w:tab w:val="left" w:pos="1100"/>
              </w:tabs>
              <w:spacing w:line="360" w:lineRule="auto"/>
              <w:ind w:firstLine="420" w:firstLineChars="200"/>
              <w:jc w:val="left"/>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⑥其他形式：</w:t>
            </w:r>
            <w:r>
              <w:rPr>
                <w:rFonts w:hint="eastAsia" w:ascii="宋体" w:hAnsi="宋体" w:eastAsia="宋体" w:cs="宋体"/>
                <w:color w:val="auto"/>
                <w:kern w:val="0"/>
                <w:sz w:val="21"/>
                <w:szCs w:val="21"/>
                <w:highlight w:val="none"/>
                <w:u w:val="single"/>
                <w:lang w:val="en-US" w:eastAsia="zh-CN" w:bidi="ar-SA"/>
              </w:rPr>
              <w:t xml:space="preserve">               </w:t>
            </w:r>
          </w:p>
          <w:p>
            <w:pPr>
              <w:widowControl/>
              <w:tabs>
                <w:tab w:val="left" w:pos="900"/>
                <w:tab w:val="left" w:pos="1100"/>
              </w:tabs>
              <w:spacing w:line="360" w:lineRule="auto"/>
              <w:ind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rPr>
              <w:t>采用</w:t>
            </w:r>
            <w:r>
              <w:rPr>
                <w:rFonts w:hint="eastAsia" w:ascii="宋体" w:hAnsi="宋体" w:cs="黑体"/>
                <w:bCs/>
                <w:color w:val="auto"/>
                <w:szCs w:val="21"/>
                <w:highlight w:val="none"/>
                <w:lang w:val="zh-CN"/>
              </w:rPr>
              <w:t>免缴投标保证金形式：</w:t>
            </w:r>
            <w:r>
              <w:rPr>
                <w:rFonts w:hint="eastAsia" w:ascii="宋体" w:hAnsi="宋体" w:cs="黑体"/>
                <w:bCs/>
                <w:color w:val="auto"/>
                <w:szCs w:val="21"/>
                <w:highlight w:val="none"/>
              </w:rPr>
              <w:t>符合免缴投标保证金情形之一的投标人，在本招标项目采用免缴投标保证金形式的，提交加盖投标人单位电子印章的《免缴投标保证金承诺函》并提交加盖投标人单位电子印章的符合免缴投标保证金形式规定的证明材料，作为资格文件的组成部分。</w:t>
            </w:r>
          </w:p>
          <w:p>
            <w:pPr>
              <w:widowControl/>
              <w:tabs>
                <w:tab w:val="left" w:pos="900"/>
                <w:tab w:val="left" w:pos="1100"/>
              </w:tabs>
              <w:spacing w:line="360" w:lineRule="auto"/>
              <w:ind w:firstLineChars="200"/>
              <w:jc w:val="left"/>
              <w:rPr>
                <w:rFonts w:hint="eastAsia" w:ascii="宋体" w:hAnsi="宋体" w:cs="黑体"/>
                <w:bCs/>
                <w:color w:val="auto"/>
                <w:szCs w:val="21"/>
                <w:highlight w:val="none"/>
                <w:lang w:eastAsia="zh-CN"/>
              </w:rPr>
            </w:pPr>
            <w:r>
              <w:rPr>
                <w:rFonts w:hint="eastAsia" w:ascii="宋体" w:hAnsi="宋体" w:cs="黑体"/>
                <w:bCs/>
                <w:color w:val="auto"/>
                <w:szCs w:val="21"/>
                <w:highlight w:val="none"/>
              </w:rPr>
              <w:t>投标人享受投标保证金优惠政策的，提交相应证明材料，作为资格文件的组成部分。享受优惠政策的投标人，若出现法律法规规定的没收投标保证金情形的，应按招标文件要求的金额缴足投标保证金</w:t>
            </w:r>
            <w:r>
              <w:rPr>
                <w:rFonts w:hint="eastAsia" w:ascii="宋体" w:hAnsi="宋体" w:cs="黑体"/>
                <w:bCs/>
                <w:color w:val="auto"/>
                <w:szCs w:val="21"/>
                <w:highlight w:val="none"/>
                <w:lang w:eastAsia="zh-CN"/>
              </w:rPr>
              <w:t>。</w:t>
            </w:r>
          </w:p>
          <w:p>
            <w:pPr>
              <w:tabs>
                <w:tab w:val="left" w:pos="900"/>
                <w:tab w:val="left" w:pos="1100"/>
              </w:tabs>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olor w:val="auto"/>
                <w:szCs w:val="21"/>
                <w:highlight w:val="none"/>
              </w:rPr>
              <w:t>保证金指定</w:t>
            </w:r>
            <w:r>
              <w:rPr>
                <w:rFonts w:hint="eastAsia" w:ascii="宋体" w:hAnsi="宋体" w:cs="宋体"/>
                <w:color w:val="auto"/>
                <w:kern w:val="0"/>
                <w:szCs w:val="21"/>
                <w:highlight w:val="none"/>
              </w:rPr>
              <w:t>账户</w:t>
            </w:r>
          </w:p>
          <w:p>
            <w:pPr>
              <w:tabs>
                <w:tab w:val="left" w:pos="900"/>
                <w:tab w:val="left" w:pos="1100"/>
              </w:tabs>
              <w:spacing w:line="360" w:lineRule="auto"/>
              <w:ind w:firstLine="315" w:firstLineChars="150"/>
              <w:rPr>
                <w:rFonts w:ascii="宋体" w:hAnsi="宋体" w:cs="黑体"/>
                <w:bCs/>
                <w:color w:val="auto"/>
                <w:szCs w:val="21"/>
                <w:highlight w:val="none"/>
                <w:u w:val="none"/>
              </w:rPr>
            </w:pPr>
            <w:r>
              <w:rPr>
                <w:rFonts w:hint="eastAsia" w:ascii="宋体" w:hAnsi="宋体" w:cs="黑体"/>
                <w:bCs/>
                <w:color w:val="auto"/>
                <w:szCs w:val="21"/>
                <w:highlight w:val="none"/>
              </w:rPr>
              <w:t>单位名称：</w:t>
            </w:r>
            <w:r>
              <w:rPr>
                <w:rFonts w:hint="eastAsia" w:ascii="宋体" w:hAnsi="宋体" w:cs="黑体"/>
                <w:bCs/>
                <w:color w:val="auto"/>
                <w:szCs w:val="21"/>
                <w:highlight w:val="none"/>
                <w:u w:val="none"/>
              </w:rPr>
              <w:t xml:space="preserve">                         </w:t>
            </w:r>
          </w:p>
          <w:p>
            <w:pPr>
              <w:tabs>
                <w:tab w:val="left" w:pos="900"/>
                <w:tab w:val="left" w:pos="1100"/>
              </w:tabs>
              <w:spacing w:line="360" w:lineRule="auto"/>
              <w:ind w:firstLine="315" w:firstLineChars="150"/>
              <w:rPr>
                <w:rFonts w:hint="eastAsia" w:ascii="宋体" w:hAnsi="宋体" w:cs="黑体"/>
                <w:bCs/>
                <w:color w:val="auto"/>
                <w:szCs w:val="21"/>
                <w:highlight w:val="none"/>
                <w:u w:val="none"/>
              </w:rPr>
            </w:pPr>
            <w:r>
              <w:rPr>
                <w:rFonts w:hint="eastAsia" w:ascii="宋体" w:hAnsi="宋体" w:cs="黑体"/>
                <w:bCs/>
                <w:color w:val="auto"/>
                <w:szCs w:val="21"/>
                <w:highlight w:val="none"/>
                <w:lang w:eastAsia="zh-CN"/>
              </w:rPr>
              <w:t>账</w:t>
            </w:r>
            <w:r>
              <w:rPr>
                <w:rFonts w:hint="eastAsia" w:ascii="宋体" w:hAnsi="宋体" w:cs="黑体"/>
                <w:bCs/>
                <w:color w:val="auto"/>
                <w:szCs w:val="21"/>
                <w:highlight w:val="none"/>
              </w:rPr>
              <w:t> 号：</w:t>
            </w:r>
            <w:r>
              <w:rPr>
                <w:rFonts w:hint="eastAsia" w:ascii="宋体" w:hAnsi="宋体" w:cs="黑体"/>
                <w:bCs/>
                <w:color w:val="auto"/>
                <w:szCs w:val="21"/>
                <w:highlight w:val="none"/>
                <w:u w:val="none"/>
              </w:rPr>
              <w:t xml:space="preserve">  </w:t>
            </w:r>
          </w:p>
          <w:p>
            <w:pPr>
              <w:tabs>
                <w:tab w:val="left" w:pos="900"/>
                <w:tab w:val="left" w:pos="1100"/>
              </w:tabs>
              <w:spacing w:line="360" w:lineRule="auto"/>
              <w:ind w:firstLine="315" w:firstLineChars="150"/>
              <w:rPr>
                <w:rFonts w:hint="eastAsia"/>
                <w:color w:val="auto"/>
                <w:highlight w:val="none"/>
                <w:lang w:eastAsia="zh-CN"/>
              </w:rPr>
            </w:pPr>
            <w:r>
              <w:rPr>
                <w:rFonts w:hint="eastAsia" w:ascii="宋体" w:hAnsi="宋体" w:cs="黑体"/>
                <w:bCs/>
                <w:color w:val="auto"/>
                <w:szCs w:val="21"/>
                <w:highlight w:val="none"/>
              </w:rPr>
              <w:t>开 户 行：</w:t>
            </w:r>
            <w:r>
              <w:rPr>
                <w:rFonts w:hint="eastAsia" w:ascii="宋体" w:hAnsi="宋体" w:cs="黑体"/>
                <w:bCs/>
                <w:color w:val="auto"/>
                <w:szCs w:val="21"/>
                <w:highlight w:val="none"/>
                <w:u w:val="none"/>
              </w:rPr>
              <w:t xml:space="preserve">                         </w:t>
            </w:r>
          </w:p>
          <w:p>
            <w:pPr>
              <w:spacing w:line="320" w:lineRule="exact"/>
              <w:ind w:firstLine="315" w:firstLineChars="150"/>
              <w:jc w:val="left"/>
              <w:rPr>
                <w:rFonts w:hint="eastAsia" w:ascii="宋体" w:hAnsi="宋体"/>
                <w:color w:val="auto"/>
                <w:szCs w:val="21"/>
                <w:highlight w:val="none"/>
              </w:rPr>
            </w:pPr>
            <w:r>
              <w:rPr>
                <w:rFonts w:hint="eastAsia" w:ascii="宋体" w:hAnsi="宋体"/>
                <w:color w:val="auto"/>
                <w:szCs w:val="21"/>
                <w:highlight w:val="none"/>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3.4.3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color w:val="auto"/>
                <w:sz w:val="18"/>
                <w:szCs w:val="18"/>
                <w:highlight w:val="none"/>
              </w:rPr>
            </w:pPr>
            <w:r>
              <w:rPr>
                <w:rFonts w:hint="eastAsia"/>
                <w:color w:val="auto"/>
                <w:sz w:val="18"/>
                <w:szCs w:val="18"/>
                <w:highlight w:val="none"/>
              </w:rPr>
              <w:t>投标保证金的退还</w:t>
            </w:r>
          </w:p>
        </w:tc>
        <w:tc>
          <w:tcPr>
            <w:tcW w:w="6323" w:type="dxa"/>
            <w:gridSpan w:val="4"/>
            <w:tcBorders>
              <w:left w:val="single" w:color="auto" w:sz="4" w:space="0"/>
              <w:right w:val="single" w:color="auto" w:sz="12" w:space="0"/>
            </w:tcBorders>
            <w:noWrap w:val="0"/>
            <w:vAlign w:val="center"/>
          </w:tcPr>
          <w:p>
            <w:pPr>
              <w:wordWrap w:val="0"/>
              <w:spacing w:line="280" w:lineRule="exact"/>
              <w:ind w:firstLine="420"/>
              <w:rPr>
                <w:rFonts w:hint="eastAsia"/>
                <w:color w:val="auto"/>
                <w:sz w:val="18"/>
                <w:szCs w:val="18"/>
                <w:highlight w:val="none"/>
              </w:rPr>
            </w:pPr>
            <w:r>
              <w:rPr>
                <w:rFonts w:hint="eastAsia"/>
                <w:color w:val="auto"/>
                <w:sz w:val="18"/>
                <w:szCs w:val="18"/>
                <w:highlight w:val="none"/>
              </w:rPr>
              <w:t>招标人最迟将在中标通知书发出后 5 日内向定标候选人以外的其他投标人退还投标保证金，与中标人签订合同后 5 日内向中标人退还投标保证金。投标保证金以转账或电汇形式递交的，招标人应同时退还投标保证金的银行同期活期存款利息，且退还至投标人的基本账户。</w:t>
            </w:r>
          </w:p>
          <w:p>
            <w:pPr>
              <w:wordWrap w:val="0"/>
              <w:spacing w:line="280" w:lineRule="exact"/>
              <w:ind w:firstLine="420"/>
              <w:rPr>
                <w:rFonts w:hint="eastAsia"/>
                <w:color w:val="auto"/>
                <w:sz w:val="18"/>
                <w:szCs w:val="18"/>
                <w:highlight w:val="none"/>
              </w:rPr>
            </w:pPr>
            <w:r>
              <w:rPr>
                <w:rFonts w:hint="eastAsia"/>
                <w:color w:val="auto"/>
                <w:sz w:val="18"/>
                <w:szCs w:val="18"/>
                <w:highlight w:val="none"/>
              </w:rPr>
              <w:t>投标保证金的利息计算原则：</w:t>
            </w:r>
          </w:p>
          <w:p>
            <w:pPr>
              <w:wordWrap w:val="0"/>
              <w:spacing w:line="280" w:lineRule="exact"/>
              <w:ind w:firstLine="420"/>
              <w:rPr>
                <w:rFonts w:hint="eastAsia"/>
                <w:color w:val="auto"/>
                <w:sz w:val="18"/>
                <w:szCs w:val="18"/>
                <w:highlight w:val="none"/>
              </w:rPr>
            </w:pPr>
            <w:r>
              <w:rPr>
                <w:rFonts w:hint="eastAsia"/>
                <w:color w:val="auto"/>
                <w:sz w:val="18"/>
                <w:szCs w:val="18"/>
                <w:highlight w:val="none"/>
              </w:rPr>
              <w:t>（1）计算利息的起始日期为投标截止当日，终止日期为招标人退还投标保证金日期的前一日；</w:t>
            </w:r>
          </w:p>
          <w:p>
            <w:pPr>
              <w:wordWrap w:val="0"/>
              <w:spacing w:line="280" w:lineRule="exact"/>
              <w:ind w:firstLine="420"/>
              <w:rPr>
                <w:rFonts w:hint="eastAsia"/>
                <w:color w:val="auto"/>
                <w:sz w:val="18"/>
                <w:szCs w:val="18"/>
                <w:highlight w:val="none"/>
              </w:rPr>
            </w:pPr>
            <w:r>
              <w:rPr>
                <w:rFonts w:hint="eastAsia"/>
                <w:color w:val="auto"/>
                <w:sz w:val="18"/>
                <w:szCs w:val="18"/>
                <w:highlight w:val="none"/>
              </w:rPr>
              <w:t>（2）投标保证金的利息按照第（1）款所述计息时间段内招标人指定汇入银行公告的活期存款利率计付，并扣除招标人汇款手续费；</w:t>
            </w:r>
          </w:p>
          <w:p>
            <w:pPr>
              <w:spacing w:line="360" w:lineRule="exact"/>
              <w:ind w:firstLine="270" w:firstLineChars="150"/>
              <w:jc w:val="left"/>
              <w:rPr>
                <w:rFonts w:hint="eastAsia"/>
                <w:color w:val="auto"/>
                <w:sz w:val="18"/>
                <w:szCs w:val="18"/>
                <w:highlight w:val="none"/>
              </w:rPr>
            </w:pPr>
            <w:r>
              <w:rPr>
                <w:rFonts w:hint="eastAsia"/>
                <w:color w:val="auto"/>
                <w:sz w:val="18"/>
                <w:szCs w:val="18"/>
                <w:highlight w:val="none"/>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3.4.4</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color w:val="auto"/>
                <w:sz w:val="18"/>
                <w:szCs w:val="18"/>
                <w:highlight w:val="none"/>
              </w:rPr>
            </w:pPr>
            <w:r>
              <w:rPr>
                <w:rStyle w:val="67"/>
                <w:color w:val="auto"/>
                <w:szCs w:val="21"/>
                <w:highlight w:val="none"/>
                <w:lang w:val="zh-TW" w:eastAsia="zh-TW"/>
              </w:rPr>
              <w:t>不予退还投标保证金的情形</w:t>
            </w:r>
          </w:p>
        </w:tc>
        <w:tc>
          <w:tcPr>
            <w:tcW w:w="6323" w:type="dxa"/>
            <w:gridSpan w:val="4"/>
            <w:tcBorders>
              <w:left w:val="single" w:color="auto" w:sz="4" w:space="0"/>
              <w:right w:val="single" w:color="auto" w:sz="12" w:space="0"/>
            </w:tcBorders>
            <w:noWrap w:val="0"/>
            <w:vAlign w:val="center"/>
          </w:tcPr>
          <w:p>
            <w:pPr>
              <w:spacing w:line="360" w:lineRule="exact"/>
              <w:ind w:firstLine="270" w:firstLineChars="150"/>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3.5.2</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近年财务状况的年份要求</w:t>
            </w:r>
          </w:p>
        </w:tc>
        <w:tc>
          <w:tcPr>
            <w:tcW w:w="6323" w:type="dxa"/>
            <w:gridSpan w:val="4"/>
            <w:tcBorders>
              <w:left w:val="single" w:color="auto" w:sz="4" w:space="0"/>
              <w:right w:val="single" w:color="auto" w:sz="12" w:space="0"/>
            </w:tcBorders>
            <w:noWrap w:val="0"/>
            <w:vAlign w:val="center"/>
          </w:tcPr>
          <w:p>
            <w:pPr>
              <w:spacing w:line="360" w:lineRule="exact"/>
              <w:rPr>
                <w:rFonts w:hint="eastAsia" w:ascii="宋体" w:hAnsi="宋体"/>
                <w:color w:val="auto"/>
                <w:highlight w:val="none"/>
              </w:rPr>
            </w:pPr>
            <w:r>
              <w:rPr>
                <w:rFonts w:hint="eastAsia" w:ascii="宋体" w:hAnsi="宋体"/>
                <w:color w:val="auto"/>
                <w:highlight w:val="none"/>
                <w:lang w:val="en-US" w:eastAsia="zh-CN"/>
              </w:rPr>
              <w:t>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3.5.3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近年完成的项目的年份要求</w:t>
            </w:r>
          </w:p>
        </w:tc>
        <w:tc>
          <w:tcPr>
            <w:tcW w:w="6323" w:type="dxa"/>
            <w:gridSpan w:val="4"/>
            <w:tcBorders>
              <w:left w:val="single" w:color="auto" w:sz="4" w:space="0"/>
              <w:right w:val="single" w:color="auto" w:sz="12" w:space="0"/>
            </w:tcBorders>
            <w:noWrap w:val="0"/>
            <w:vAlign w:val="center"/>
          </w:tcPr>
          <w:p>
            <w:pPr>
              <w:spacing w:line="320" w:lineRule="exact"/>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□不作要求</w:t>
            </w:r>
          </w:p>
          <w:p>
            <w:pPr>
              <w:spacing w:line="320" w:lineRule="exact"/>
              <w:rPr>
                <w:rFonts w:hint="eastAsia"/>
                <w:color w:val="auto"/>
                <w:szCs w:val="21"/>
                <w:highlight w:val="none"/>
                <w:u w:val="single"/>
              </w:rPr>
            </w:pPr>
            <w:r>
              <w:rPr>
                <w:rFonts w:hint="eastAsia" w:ascii="宋体" w:hAnsi="宋体"/>
                <w:color w:val="auto"/>
                <w:highlight w:val="none"/>
              </w:rPr>
              <w:t>□近5年：</w:t>
            </w:r>
            <w:r>
              <w:rPr>
                <w:rFonts w:hint="eastAsia" w:ascii="宋体" w:hAnsi="宋体"/>
                <w:color w:val="auto"/>
                <w:szCs w:val="21"/>
                <w:highlight w:val="none"/>
              </w:rPr>
              <w:t>自招标公告正式发布之日前5年至</w:t>
            </w:r>
            <w:r>
              <w:rPr>
                <w:rFonts w:hint="eastAsia"/>
                <w:color w:val="auto"/>
                <w:szCs w:val="21"/>
                <w:highlight w:val="none"/>
                <w:u w:val="single"/>
              </w:rPr>
              <w:t>投标截止时</w:t>
            </w:r>
          </w:p>
          <w:p>
            <w:pPr>
              <w:spacing w:line="320" w:lineRule="exact"/>
              <w:rPr>
                <w:rFonts w:hint="eastAsia"/>
                <w:color w:val="auto"/>
                <w:szCs w:val="21"/>
                <w:highlight w:val="none"/>
                <w:u w:val="single"/>
              </w:rPr>
            </w:pPr>
            <w:r>
              <w:rPr>
                <w:rFonts w:hint="eastAsia" w:ascii="宋体" w:hAnsi="宋体"/>
                <w:color w:val="auto"/>
                <w:highlight w:val="none"/>
              </w:rPr>
              <w:t>□近10年：</w:t>
            </w:r>
            <w:r>
              <w:rPr>
                <w:rFonts w:hint="eastAsia" w:ascii="宋体" w:hAnsi="宋体"/>
                <w:color w:val="auto"/>
                <w:szCs w:val="21"/>
                <w:highlight w:val="none"/>
              </w:rPr>
              <w:t>自招标公告正式发布之日前10年至</w:t>
            </w:r>
            <w:r>
              <w:rPr>
                <w:rFonts w:hint="eastAsia"/>
                <w:color w:val="auto"/>
                <w:szCs w:val="21"/>
                <w:highlight w:val="none"/>
                <w:u w:val="single"/>
              </w:rPr>
              <w:t>投标截止时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3.5.</w:t>
            </w:r>
            <w:r>
              <w:rPr>
                <w:rFonts w:hint="eastAsia" w:ascii="宋体" w:hAnsi="宋体"/>
                <w:color w:val="auto"/>
                <w:kern w:val="0"/>
                <w:szCs w:val="21"/>
                <w:highlight w:val="none"/>
                <w:lang w:val="en-US" w:eastAsia="zh-CN"/>
              </w:rPr>
              <w:t>4</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近年发生的诉讼及仲裁情况的年份要求</w:t>
            </w:r>
          </w:p>
        </w:tc>
        <w:tc>
          <w:tcPr>
            <w:tcW w:w="6323" w:type="dxa"/>
            <w:gridSpan w:val="4"/>
            <w:tcBorders>
              <w:left w:val="single" w:color="auto" w:sz="4" w:space="0"/>
              <w:right w:val="single" w:color="auto" w:sz="12" w:space="0"/>
            </w:tcBorders>
            <w:noWrap w:val="0"/>
            <w:vAlign w:val="center"/>
          </w:tcPr>
          <w:p>
            <w:pPr>
              <w:spacing w:line="360" w:lineRule="exact"/>
              <w:rPr>
                <w:rFonts w:hint="eastAsia" w:ascii="宋体" w:hAnsi="宋体"/>
                <w:color w:val="auto"/>
                <w:highlight w:val="none"/>
              </w:rPr>
            </w:pPr>
            <w:r>
              <w:rPr>
                <w:rFonts w:hint="eastAsia" w:ascii="宋体" w:hAnsi="宋体"/>
                <w:color w:val="auto"/>
                <w:highlight w:val="none"/>
              </w:rPr>
              <w:t>近3年：</w:t>
            </w:r>
            <w:r>
              <w:rPr>
                <w:rFonts w:hint="eastAsia" w:ascii="宋体" w:hAnsi="宋体"/>
                <w:color w:val="auto"/>
                <w:szCs w:val="21"/>
                <w:highlight w:val="none"/>
              </w:rPr>
              <w:t>自招标公告正式发布之日前3年</w:t>
            </w:r>
            <w:r>
              <w:rPr>
                <w:rFonts w:hint="eastAsia"/>
                <w:color w:val="auto"/>
                <w:szCs w:val="21"/>
                <w:highlight w:val="none"/>
              </w:rPr>
              <w:t>至</w:t>
            </w:r>
            <w:r>
              <w:rPr>
                <w:rFonts w:hint="eastAsia"/>
                <w:color w:val="auto"/>
                <w:szCs w:val="21"/>
                <w:highlight w:val="none"/>
                <w:u w:val="single"/>
              </w:rPr>
              <w:t>投标截止时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3.6</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是否允许递交备选投标方案</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rPr>
                <w:rFonts w:hint="eastAsia"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pPr>
              <w:autoSpaceDE w:val="0"/>
              <w:autoSpaceDN w:val="0"/>
              <w:adjustRightInd w:val="0"/>
              <w:spacing w:line="360" w:lineRule="exact"/>
              <w:ind w:right="6"/>
              <w:rPr>
                <w:rFonts w:hint="eastAsia" w:ascii="宋体" w:hAnsi="宋体"/>
                <w:b/>
                <w:color w:val="auto"/>
                <w:szCs w:val="21"/>
                <w:highlight w:val="none"/>
              </w:rPr>
            </w:pPr>
            <w:r>
              <w:rPr>
                <w:rFonts w:hint="eastAsia" w:ascii="宋体" w:hAnsi="宋体"/>
                <w:bCs/>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5.1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ind w:right="6"/>
              <w:jc w:val="center"/>
              <w:rPr>
                <w:rFonts w:hint="eastAsia" w:ascii="宋体" w:hAnsi="宋体"/>
                <w:color w:val="auto"/>
                <w:kern w:val="0"/>
                <w:szCs w:val="21"/>
                <w:highlight w:val="none"/>
              </w:rPr>
            </w:pPr>
            <w:r>
              <w:rPr>
                <w:rFonts w:hint="eastAsia" w:ascii="宋体" w:hAnsi="宋体"/>
                <w:color w:val="auto"/>
                <w:kern w:val="0"/>
                <w:szCs w:val="21"/>
                <w:highlight w:val="none"/>
              </w:rPr>
              <w:t>开标时间和地点</w:t>
            </w:r>
          </w:p>
        </w:tc>
        <w:tc>
          <w:tcPr>
            <w:tcW w:w="6323" w:type="dxa"/>
            <w:gridSpan w:val="4"/>
            <w:tcBorders>
              <w:left w:val="single" w:color="auto" w:sz="4" w:space="0"/>
              <w:right w:val="single" w:color="auto" w:sz="12" w:space="0"/>
            </w:tcBorders>
            <w:noWrap w:val="0"/>
            <w:vAlign w:val="center"/>
          </w:tcPr>
          <w:p>
            <w:pPr>
              <w:autoSpaceDE w:val="0"/>
              <w:autoSpaceDN w:val="0"/>
              <w:spacing w:line="360" w:lineRule="exact"/>
              <w:ind w:firstLine="420" w:firstLineChars="200"/>
              <w:rPr>
                <w:rFonts w:hint="eastAsia" w:ascii="宋体" w:hAnsi="宋体"/>
                <w:color w:val="auto"/>
                <w:highlight w:val="none"/>
              </w:rPr>
            </w:pPr>
            <w:r>
              <w:rPr>
                <w:rFonts w:hint="eastAsia" w:ascii="宋体" w:hAnsi="宋体"/>
                <w:color w:val="auto"/>
                <w:highlight w:val="none"/>
              </w:rPr>
              <w:t>开标时间：同投标截止时间</w:t>
            </w:r>
          </w:p>
          <w:p>
            <w:pPr>
              <w:autoSpaceDE w:val="0"/>
              <w:autoSpaceDN w:val="0"/>
              <w:spacing w:line="360" w:lineRule="exact"/>
              <w:ind w:firstLine="420" w:firstLineChars="200"/>
              <w:rPr>
                <w:rFonts w:hint="eastAsia" w:ascii="宋体" w:hAnsi="宋体"/>
                <w:color w:val="auto"/>
                <w:highlight w:val="none"/>
                <w:u w:val="single"/>
              </w:rPr>
            </w:pPr>
            <w:r>
              <w:rPr>
                <w:rFonts w:hint="eastAsia" w:ascii="宋体" w:hAnsi="宋体"/>
                <w:color w:val="auto"/>
                <w:highlight w:val="none"/>
              </w:rPr>
              <w:t>开标地点：</w:t>
            </w:r>
            <w:r>
              <w:rPr>
                <w:rFonts w:hint="eastAsia" w:ascii="宋体" w:hAnsi="宋体"/>
                <w:color w:val="auto"/>
                <w:szCs w:val="21"/>
                <w:highlight w:val="none"/>
              </w:rPr>
              <w:t>在电子交易平台上在线公开开标，</w:t>
            </w:r>
            <w:r>
              <w:rPr>
                <w:rFonts w:hint="eastAsia" w:ascii="宋体" w:hAnsi="宋体"/>
                <w:color w:val="auto"/>
                <w:highlight w:val="none"/>
              </w:rPr>
              <w:t>投标人应在线参加开标。</w:t>
            </w:r>
            <w:r>
              <w:rPr>
                <w:rFonts w:hint="eastAsia" w:ascii="宋体" w:hAnsi="宋体"/>
                <w:color w:val="auto"/>
                <w:szCs w:val="21"/>
                <w:highlight w:val="none"/>
              </w:rPr>
              <w:t>同时在</w:t>
            </w:r>
            <w:r>
              <w:rPr>
                <w:rFonts w:hint="eastAsia" w:ascii="宋体" w:hAnsi="宋体"/>
                <w:color w:val="auto"/>
                <w:szCs w:val="21"/>
                <w:highlight w:val="none"/>
                <w:u w:val="single"/>
              </w:rPr>
              <w:t xml:space="preserve">      （</w:t>
            </w:r>
            <w:r>
              <w:rPr>
                <w:rFonts w:hint="eastAsia" w:ascii="宋体" w:hAnsi="宋体"/>
                <w:color w:val="auto"/>
                <w:szCs w:val="21"/>
                <w:highlight w:val="none"/>
              </w:rPr>
              <w:t>交易场所）设置在线开标会场，投标人可到场参加开标会。</w:t>
            </w:r>
            <w:r>
              <w:rPr>
                <w:rFonts w:hint="eastAsia" w:ascii="宋体"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Cs w:val="21"/>
                <w:highlight w:val="none"/>
              </w:rPr>
            </w:pPr>
            <w:r>
              <w:rPr>
                <w:rFonts w:hint="eastAsia" w:ascii="宋体" w:hAnsi="宋体" w:cs="宋体"/>
                <w:color w:val="auto"/>
                <w:highlight w:val="none"/>
              </w:rPr>
              <w:t>6.1.1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highlight w:val="none"/>
              </w:rPr>
              <w:t>评标委员会的组建</w:t>
            </w:r>
          </w:p>
        </w:tc>
        <w:tc>
          <w:tcPr>
            <w:tcW w:w="6323" w:type="dxa"/>
            <w:gridSpan w:val="4"/>
            <w:tcBorders>
              <w:left w:val="single" w:color="auto" w:sz="4" w:space="0"/>
              <w:right w:val="single" w:color="auto" w:sz="12" w:space="0"/>
            </w:tcBorders>
            <w:noWrap w:val="0"/>
            <w:vAlign w:val="center"/>
          </w:tcPr>
          <w:p>
            <w:pPr>
              <w:spacing w:line="360" w:lineRule="exact"/>
              <w:jc w:val="left"/>
              <w:rPr>
                <w:rFonts w:hint="eastAsia" w:ascii="宋体" w:hAnsi="宋体"/>
                <w:color w:val="auto"/>
                <w:szCs w:val="21"/>
                <w:highlight w:val="none"/>
              </w:rPr>
            </w:pPr>
            <w:r>
              <w:rPr>
                <w:rFonts w:hint="eastAsia" w:ascii="宋体" w:hAnsi="宋体"/>
                <w:color w:val="auto"/>
                <w:szCs w:val="21"/>
                <w:highlight w:val="none"/>
              </w:rPr>
              <w:t>评标委员会构成：</w:t>
            </w:r>
            <w:r>
              <w:rPr>
                <w:rFonts w:hint="eastAsia" w:ascii="宋体" w:hAnsi="宋体"/>
                <w:color w:val="auto"/>
                <w:szCs w:val="21"/>
                <w:highlight w:val="none"/>
                <w:u w:val="single"/>
              </w:rPr>
              <w:t xml:space="preserve">    </w:t>
            </w:r>
            <w:r>
              <w:rPr>
                <w:rFonts w:hint="eastAsia" w:ascii="宋体" w:hAnsi="宋体"/>
                <w:color w:val="auto"/>
                <w:szCs w:val="21"/>
                <w:highlight w:val="none"/>
              </w:rPr>
              <w:t>人，其中招标人代表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人,专家</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评标专家确定方式：</w:t>
            </w:r>
          </w:p>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按规定从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
              </w:rPr>
              <w:t>（</w:t>
            </w:r>
            <w:r>
              <w:rPr>
                <w:rFonts w:hint="eastAsia" w:ascii="宋体" w:hAnsi="宋体"/>
                <w:color w:val="auto"/>
                <w:szCs w:val="21"/>
                <w:highlight w:val="none"/>
                <w:u w:val="single"/>
              </w:rPr>
              <w:t>交通运输部或福建省</w:t>
            </w:r>
            <w:r>
              <w:rPr>
                <w:rFonts w:hint="eastAsia" w:ascii="宋体" w:hAnsi="宋体"/>
                <w:color w:val="auto"/>
                <w:szCs w:val="21"/>
                <w:highlight w:val="none"/>
                <w:u w:val="single"/>
                <w:lang w:val="en"/>
              </w:rPr>
              <w:t>）</w:t>
            </w:r>
            <w:r>
              <w:rPr>
                <w:rFonts w:hint="eastAsia" w:ascii="宋体" w:hAnsi="宋体"/>
                <w:color w:val="auto"/>
                <w:szCs w:val="21"/>
                <w:highlight w:val="none"/>
                <w:u w:val="single"/>
              </w:rPr>
              <w:t xml:space="preserve"> 评标</w:t>
            </w:r>
            <w:r>
              <w:rPr>
                <w:rFonts w:hint="eastAsia" w:ascii="宋体" w:hAnsi="宋体"/>
                <w:color w:val="auto"/>
                <w:szCs w:val="21"/>
                <w:highlight w:val="none"/>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ascii="宋体" w:hAnsi="宋体" w:cs="宋体"/>
                <w:color w:val="auto"/>
                <w:highlight w:val="none"/>
              </w:rPr>
            </w:pPr>
            <w:r>
              <w:rPr>
                <w:rFonts w:hint="eastAsia" w:ascii="宋体" w:hAnsi="宋体" w:cs="宋体"/>
                <w:color w:val="auto"/>
                <w:highlight w:val="none"/>
              </w:rPr>
              <w:t>6.3.1</w:t>
            </w:r>
          </w:p>
        </w:tc>
        <w:tc>
          <w:tcPr>
            <w:tcW w:w="1814" w:type="dxa"/>
            <w:gridSpan w:val="2"/>
            <w:tcBorders>
              <w:left w:val="single" w:color="auto" w:sz="4" w:space="0"/>
              <w:right w:val="single" w:color="auto" w:sz="4" w:space="0"/>
            </w:tcBorders>
            <w:noWrap w:val="0"/>
            <w:vAlign w:val="center"/>
          </w:tcPr>
          <w:p>
            <w:pPr>
              <w:wordWrap w:val="0"/>
              <w:spacing w:before="156" w:beforeLines="50" w:line="300" w:lineRule="auto"/>
              <w:jc w:val="left"/>
              <w:rPr>
                <w:rFonts w:hint="eastAsia" w:ascii="宋体" w:hAnsi="宋体"/>
                <w:color w:val="auto"/>
                <w:highlight w:val="none"/>
              </w:rPr>
            </w:pPr>
            <w:r>
              <w:rPr>
                <w:rFonts w:hint="eastAsia" w:ascii="宋体" w:hAnsi="宋体" w:cs="宋体"/>
                <w:color w:val="auto"/>
                <w:szCs w:val="21"/>
                <w:highlight w:val="none"/>
              </w:rPr>
              <w:t>评标办法</w:t>
            </w:r>
          </w:p>
        </w:tc>
        <w:tc>
          <w:tcPr>
            <w:tcW w:w="6323" w:type="dxa"/>
            <w:gridSpan w:val="4"/>
            <w:tcBorders>
              <w:left w:val="single" w:color="auto" w:sz="4" w:space="0"/>
              <w:right w:val="single" w:color="auto" w:sz="12" w:space="0"/>
            </w:tcBorders>
            <w:noWrap w:val="0"/>
            <w:vAlign w:val="center"/>
          </w:tcPr>
          <w:p>
            <w:pPr>
              <w:widowControl/>
              <w:jc w:val="left"/>
              <w:rPr>
                <w:color w:val="auto"/>
                <w:szCs w:val="21"/>
                <w:highlight w:val="none"/>
              </w:rPr>
            </w:pPr>
            <w:r>
              <w:rPr>
                <w:rFonts w:hint="eastAsia" w:ascii="宋体" w:hAnsi="宋体" w:cs="宋体"/>
                <w:color w:val="auto"/>
                <w:kern w:val="0"/>
                <w:szCs w:val="21"/>
                <w:highlight w:val="none"/>
                <w:lang w:bidi="ar"/>
              </w:rPr>
              <w:t xml:space="preserve">定性评审法，适用于： </w:t>
            </w:r>
          </w:p>
          <w:p>
            <w:pPr>
              <w:widowControl/>
              <w:jc w:val="left"/>
              <w:rPr>
                <w:color w:val="auto"/>
                <w:szCs w:val="21"/>
                <w:highlight w:val="none"/>
              </w:rPr>
            </w:pPr>
            <w:r>
              <w:rPr>
                <w:rFonts w:hint="eastAsia" w:ascii="宋体" w:hAnsi="宋体" w:cs="宋体"/>
                <w:color w:val="auto"/>
                <w:kern w:val="0"/>
                <w:szCs w:val="21"/>
                <w:highlight w:val="none"/>
                <w:lang w:bidi="ar"/>
              </w:rPr>
              <w:t>□其他项目。是否将该类评标办法第 2.1.1 项第（4）目“资格审查”先于第（3）目“确定入围投标人”进行：</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（是或否） </w:t>
            </w:r>
          </w:p>
          <w:p>
            <w:pPr>
              <w:wordWrap w:val="0"/>
              <w:spacing w:before="156" w:beforeLines="50" w:line="300" w:lineRule="auto"/>
              <w:rPr>
                <w:rFonts w:hint="eastAsia" w:ascii="宋体" w:hAnsi="宋体"/>
                <w:color w:val="auto"/>
                <w:szCs w:val="21"/>
                <w:highlight w:val="none"/>
              </w:rPr>
            </w:pPr>
            <w:r>
              <w:rPr>
                <w:rFonts w:hint="eastAsia" w:ascii="宋体" w:hAnsi="宋体" w:cs="宋体"/>
                <w:color w:val="auto"/>
                <w:kern w:val="0"/>
                <w:szCs w:val="21"/>
                <w:highlight w:val="none"/>
                <w:lang w:bidi="ar"/>
              </w:rPr>
              <w:t>□简易招标法项目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wordWrap w:val="0"/>
              <w:spacing w:before="156" w:beforeLines="50" w:line="300" w:lineRule="auto"/>
              <w:jc w:val="center"/>
              <w:rPr>
                <w:rFonts w:hint="eastAsia" w:ascii="宋体" w:hAnsi="宋体" w:cs="宋体"/>
                <w:color w:val="auto"/>
                <w:highlight w:val="none"/>
              </w:rPr>
            </w:pPr>
            <w:r>
              <w:rPr>
                <w:rFonts w:hint="eastAsia" w:ascii="宋体" w:hAnsi="宋体" w:cs="宋体"/>
                <w:color w:val="auto"/>
                <w:szCs w:val="21"/>
                <w:highlight w:val="none"/>
              </w:rPr>
              <w:t>6.4</w:t>
            </w:r>
          </w:p>
        </w:tc>
        <w:tc>
          <w:tcPr>
            <w:tcW w:w="1814" w:type="dxa"/>
            <w:gridSpan w:val="2"/>
            <w:tcBorders>
              <w:left w:val="single" w:color="auto" w:sz="4" w:space="0"/>
              <w:right w:val="single" w:color="auto" w:sz="4" w:space="0"/>
            </w:tcBorders>
            <w:noWrap w:val="0"/>
            <w:vAlign w:val="center"/>
          </w:tcPr>
          <w:p>
            <w:pPr>
              <w:wordWrap w:val="0"/>
              <w:spacing w:before="156" w:beforeLines="5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定标候选人公示媒介及期限</w:t>
            </w:r>
          </w:p>
        </w:tc>
        <w:tc>
          <w:tcPr>
            <w:tcW w:w="6323" w:type="dxa"/>
            <w:gridSpan w:val="4"/>
            <w:tcBorders>
              <w:left w:val="single" w:color="auto" w:sz="4" w:space="0"/>
              <w:right w:val="single" w:color="auto" w:sz="12" w:space="0"/>
            </w:tcBorders>
            <w:noWrap w:val="0"/>
            <w:vAlign w:val="center"/>
          </w:tcPr>
          <w:p>
            <w:pPr>
              <w:spacing w:line="360" w:lineRule="exact"/>
              <w:jc w:val="left"/>
              <w:rPr>
                <w:rFonts w:hint="eastAsia" w:ascii="宋体" w:hAnsi="宋体"/>
                <w:color w:val="auto"/>
                <w:szCs w:val="21"/>
                <w:highlight w:val="none"/>
              </w:rPr>
            </w:pPr>
            <w:r>
              <w:rPr>
                <w:rFonts w:hint="eastAsia" w:ascii="宋体" w:hAnsi="宋体"/>
                <w:color w:val="auto"/>
                <w:szCs w:val="21"/>
                <w:highlight w:val="none"/>
              </w:rPr>
              <w:t>公示媒介：</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jc w:val="left"/>
              <w:rPr>
                <w:rFonts w:hint="eastAsia"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exact"/>
              <w:jc w:val="left"/>
              <w:rPr>
                <w:rFonts w:hint="eastAsia" w:ascii="宋体" w:hAnsi="宋体" w:cs="宋体"/>
                <w:color w:val="auto"/>
                <w:kern w:val="0"/>
                <w:szCs w:val="21"/>
                <w:highlight w:val="none"/>
                <w:lang w:bidi="ar"/>
              </w:rPr>
            </w:pPr>
            <w:r>
              <w:rPr>
                <w:rFonts w:hint="eastAsia" w:ascii="宋体" w:hAnsi="宋体"/>
                <w:color w:val="auto"/>
                <w:szCs w:val="21"/>
                <w:highlight w:val="none"/>
              </w:rPr>
              <w:t>公示的其他内容：</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highlight w:val="none"/>
              </w:rPr>
            </w:pPr>
            <w:r>
              <w:rPr>
                <w:rFonts w:hint="eastAsia" w:ascii="宋体" w:hAnsi="宋体" w:cs="宋体"/>
                <w:color w:val="auto"/>
                <w:kern w:val="0"/>
                <w:szCs w:val="21"/>
                <w:highlight w:val="none"/>
              </w:rPr>
              <w:t>7.1.2</w:t>
            </w:r>
          </w:p>
        </w:tc>
        <w:tc>
          <w:tcPr>
            <w:tcW w:w="1814" w:type="dxa"/>
            <w:gridSpan w:val="2"/>
            <w:tcBorders>
              <w:left w:val="single" w:color="auto" w:sz="4" w:space="0"/>
              <w:right w:val="single" w:color="auto" w:sz="4" w:space="0"/>
            </w:tcBorders>
            <w:noWrap w:val="0"/>
            <w:vAlign w:val="center"/>
          </w:tcPr>
          <w:p>
            <w:pPr>
              <w:wordWrap w:val="0"/>
              <w:spacing w:before="156" w:beforeLines="50" w:line="300" w:lineRule="auto"/>
              <w:jc w:val="left"/>
              <w:rPr>
                <w:rFonts w:hint="eastAsia" w:ascii="宋体" w:hAnsi="宋体"/>
                <w:color w:val="auto"/>
                <w:highlight w:val="none"/>
              </w:rPr>
            </w:pPr>
            <w:r>
              <w:rPr>
                <w:rFonts w:hint="eastAsia" w:ascii="宋体" w:hAnsi="宋体" w:cs="宋体"/>
                <w:color w:val="auto"/>
                <w:szCs w:val="21"/>
                <w:highlight w:val="none"/>
              </w:rPr>
              <w:t>定标票决办法</w:t>
            </w:r>
          </w:p>
        </w:tc>
        <w:tc>
          <w:tcPr>
            <w:tcW w:w="6323" w:type="dxa"/>
            <w:gridSpan w:val="4"/>
            <w:tcBorders>
              <w:left w:val="single" w:color="auto" w:sz="4" w:space="0"/>
              <w:right w:val="single" w:color="auto" w:sz="12" w:space="0"/>
            </w:tcBorders>
            <w:noWrap w:val="0"/>
            <w:vAlign w:val="center"/>
          </w:tcPr>
          <w:p>
            <w:pPr>
              <w:spacing w:line="360" w:lineRule="exact"/>
              <w:jc w:val="left"/>
              <w:rPr>
                <w:rFonts w:hint="eastAsia"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票决定标法中的</w:t>
            </w:r>
            <w:r>
              <w:rPr>
                <w:rFonts w:hint="eastAsia" w:ascii="宋体" w:hAnsi="宋体"/>
                <w:color w:val="auto"/>
                <w:szCs w:val="21"/>
                <w:highlight w:val="none"/>
                <w:lang w:val="zh-CN" w:bidi="zh-CN"/>
              </w:rPr>
              <w:sym w:font="Wingdings 2" w:char="00A3"/>
            </w:r>
            <w:r>
              <w:rPr>
                <w:rFonts w:hint="eastAsia" w:ascii="宋体" w:hAnsi="宋体"/>
                <w:color w:val="auto"/>
                <w:szCs w:val="21"/>
                <w:highlight w:val="none"/>
                <w:lang w:val="zh-CN" w:bidi="zh-CN"/>
              </w:rPr>
              <w:t>直接票决法或□逐轮票决法</w:t>
            </w:r>
          </w:p>
          <w:p>
            <w:pPr>
              <w:spacing w:line="360" w:lineRule="exact"/>
              <w:jc w:val="left"/>
              <w:rPr>
                <w:rFonts w:hint="eastAsia"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票决抽签定标法</w:t>
            </w:r>
          </w:p>
          <w:p>
            <w:pPr>
              <w:spacing w:line="360" w:lineRule="exact"/>
              <w:jc w:val="left"/>
              <w:rPr>
                <w:rFonts w:hint="eastAsia" w:ascii="宋体" w:hAnsi="宋体"/>
                <w:color w:val="auto"/>
                <w:kern w:val="0"/>
                <w:szCs w:val="21"/>
                <w:highlight w:val="none"/>
              </w:rPr>
            </w:pPr>
            <w:r>
              <w:rPr>
                <w:rFonts w:hint="eastAsia" w:ascii="宋体" w:hAnsi="宋体"/>
                <w:color w:val="auto"/>
                <w:szCs w:val="21"/>
                <w:highlight w:val="none"/>
                <w:lang w:val="zh-CN" w:bidi="zh-CN"/>
              </w:rPr>
              <w:sym w:font="Wingdings 2" w:char="00A3"/>
            </w:r>
            <w:r>
              <w:rPr>
                <w:rFonts w:hint="eastAsia" w:ascii="宋体" w:hAnsi="宋体"/>
                <w:color w:val="auto"/>
                <w:szCs w:val="21"/>
                <w:highlight w:val="none"/>
                <w:lang w:val="zh-CN" w:bidi="zh-CN"/>
              </w:rPr>
              <w:t xml:space="preserve"> </w:t>
            </w:r>
            <w:r>
              <w:rPr>
                <w:rFonts w:hint="eastAsia" w:ascii="宋体" w:hAnsi="宋体"/>
                <w:color w:val="auto"/>
                <w:szCs w:val="21"/>
                <w:highlight w:val="none"/>
              </w:rPr>
              <w:t>票决低价定标法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b/>
                <w:bCs/>
                <w:i/>
                <w:iCs/>
                <w:color w:val="auto"/>
                <w:kern w:val="0"/>
                <w:szCs w:val="21"/>
                <w:highlight w:val="none"/>
              </w:rPr>
            </w:pPr>
            <w:r>
              <w:rPr>
                <w:rFonts w:hint="eastAsia" w:ascii="宋体" w:hAnsi="宋体" w:cs="宋体"/>
                <w:color w:val="auto"/>
                <w:kern w:val="0"/>
                <w:szCs w:val="21"/>
                <w:highlight w:val="none"/>
              </w:rPr>
              <w:t>7.1.3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b/>
                <w:bCs/>
                <w:i/>
                <w:iCs/>
                <w:color w:val="auto"/>
                <w:kern w:val="0"/>
                <w:szCs w:val="21"/>
                <w:highlight w:val="none"/>
              </w:rPr>
            </w:pPr>
            <w:r>
              <w:rPr>
                <w:rFonts w:hint="eastAsia" w:ascii="宋体" w:hAnsi="宋体"/>
                <w:color w:val="auto"/>
                <w:kern w:val="0"/>
                <w:szCs w:val="21"/>
                <w:highlight w:val="none"/>
              </w:rPr>
              <w:t>中标公示媒体</w:t>
            </w:r>
          </w:p>
        </w:tc>
        <w:tc>
          <w:tcPr>
            <w:tcW w:w="6323" w:type="dxa"/>
            <w:gridSpan w:val="4"/>
            <w:tcBorders>
              <w:left w:val="single" w:color="auto" w:sz="4" w:space="0"/>
              <w:right w:val="single" w:color="auto" w:sz="12" w:space="0"/>
            </w:tcBorders>
            <w:noWrap w:val="0"/>
            <w:vAlign w:val="center"/>
          </w:tcPr>
          <w:p>
            <w:pPr>
              <w:autoSpaceDE w:val="0"/>
              <w:autoSpaceDN w:val="0"/>
              <w:adjustRightInd w:val="0"/>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公示方式：网站公示</w:t>
            </w:r>
          </w:p>
          <w:p>
            <w:pPr>
              <w:autoSpaceDE w:val="0"/>
              <w:autoSpaceDN w:val="0"/>
              <w:adjustRightInd w:val="0"/>
              <w:spacing w:line="360" w:lineRule="exact"/>
              <w:jc w:val="left"/>
              <w:rPr>
                <w:rFonts w:hint="eastAsia" w:ascii="宋体" w:hAnsi="宋体"/>
                <w:b/>
                <w:bCs/>
                <w:i/>
                <w:iCs/>
                <w:color w:val="auto"/>
                <w:szCs w:val="21"/>
                <w:highlight w:val="none"/>
              </w:rPr>
            </w:pPr>
            <w:r>
              <w:rPr>
                <w:rFonts w:hint="eastAsia" w:ascii="宋体" w:hAnsi="宋体"/>
                <w:color w:val="auto"/>
                <w:kern w:val="0"/>
                <w:szCs w:val="21"/>
                <w:highlight w:val="none"/>
              </w:rPr>
              <w:t>公示网站：</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）、电子招标投标交易平台</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5"/>
                <w:rFonts w:hint="eastAsia" w:ascii="宋体" w:hAnsi="宋体" w:cs="宋体"/>
                <w:color w:val="auto"/>
                <w:szCs w:val="21"/>
                <w:highlight w:val="none"/>
              </w:rPr>
              <w:t>）、电子招标投标交易平台</w:t>
            </w:r>
            <w:r>
              <w:rPr>
                <w:rFonts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06"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7.3.1</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履约担保（不超过中标合同金额的10%）</w:t>
            </w:r>
          </w:p>
        </w:tc>
        <w:tc>
          <w:tcPr>
            <w:tcW w:w="6323" w:type="dxa"/>
            <w:gridSpan w:val="4"/>
            <w:tcBorders>
              <w:left w:val="single" w:color="auto" w:sz="4" w:space="0"/>
              <w:right w:val="single" w:color="auto" w:sz="12" w:space="0"/>
            </w:tcBorders>
            <w:noWrap w:val="0"/>
            <w:vAlign w:val="center"/>
          </w:tcPr>
          <w:p>
            <w:pPr>
              <w:autoSpaceDE w:val="0"/>
              <w:autoSpaceDN w:val="0"/>
              <w:spacing w:line="320" w:lineRule="exact"/>
              <w:rPr>
                <w:rFonts w:hint="eastAsia" w:cs="Times New Roman"/>
                <w:color w:val="auto"/>
                <w:szCs w:val="21"/>
                <w:highlight w:val="none"/>
              </w:rPr>
            </w:pPr>
            <w:r>
              <w:rPr>
                <w:rFonts w:hint="eastAsia" w:ascii="宋体" w:hAnsi="宋体" w:cs="Times New Roman"/>
                <w:color w:val="auto"/>
                <w:szCs w:val="21"/>
                <w:highlight w:val="none"/>
              </w:rPr>
              <w:t>（1）履约担保的金额：</w:t>
            </w:r>
            <w:r>
              <w:rPr>
                <w:rFonts w:hint="eastAsia" w:ascii="宋体" w:hAnsi="宋体" w:cs="Times New Roman"/>
                <w:color w:val="auto"/>
                <w:kern w:val="0"/>
                <w:szCs w:val="21"/>
                <w:highlight w:val="none"/>
              </w:rPr>
              <w:t>中标合同金额</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cs="Times New Roman"/>
                <w:color w:val="auto"/>
                <w:szCs w:val="21"/>
                <w:highlight w:val="none"/>
              </w:rPr>
              <w:t>。</w:t>
            </w:r>
          </w:p>
          <w:p>
            <w:pPr>
              <w:autoSpaceDE w:val="0"/>
              <w:autoSpaceDN w:val="0"/>
              <w:spacing w:line="32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（2）中标人应在收到中标通知书后30天内，在签订合同协议书之前提交。</w:t>
            </w:r>
          </w:p>
          <w:p>
            <w:pPr>
              <w:spacing w:line="32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（3）履约</w:t>
            </w:r>
            <w:r>
              <w:rPr>
                <w:rFonts w:ascii="宋体" w:hAnsi="宋体" w:cs="Times New Roman"/>
                <w:color w:val="auto"/>
                <w:szCs w:val="21"/>
                <w:highlight w:val="none"/>
              </w:rPr>
              <w:t>保证金提交的方式</w:t>
            </w:r>
            <w:r>
              <w:rPr>
                <w:rFonts w:hint="eastAsia" w:ascii="宋体" w:hAnsi="宋体" w:cs="Times New Roman"/>
                <w:color w:val="auto"/>
                <w:szCs w:val="21"/>
                <w:highlight w:val="none"/>
              </w:rPr>
              <w:t>（可按以下任一方式提交）</w:t>
            </w:r>
            <w:r>
              <w:rPr>
                <w:rFonts w:hint="eastAsia" w:ascii="宋体" w:hAnsi="宋体" w:cs="Times New Roman"/>
                <w:color w:val="auto"/>
                <w:szCs w:val="21"/>
                <w:highlight w:val="none"/>
              </w:rPr>
              <w:br w:type="textWrapping"/>
            </w:r>
            <w:r>
              <w:rPr>
                <w:rFonts w:hint="eastAsia" w:ascii="汉仪书宋二S" w:hAnsi="汉仪书宋二S" w:eastAsia="汉仪书宋二S" w:cs="汉仪书宋二S"/>
                <w:color w:val="auto"/>
                <w:szCs w:val="21"/>
                <w:highlight w:val="none"/>
              </w:rPr>
              <w:t>①</w:t>
            </w:r>
            <w:r>
              <w:rPr>
                <w:rFonts w:hint="eastAsia" w:ascii="宋体" w:hAnsi="宋体" w:cs="Times New Roman"/>
                <w:color w:val="auto"/>
                <w:szCs w:val="21"/>
                <w:highlight w:val="none"/>
              </w:rPr>
              <w:t>保函形式</w:t>
            </w:r>
          </w:p>
          <w:p>
            <w:pPr>
              <w:spacing w:line="320" w:lineRule="exact"/>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银行：</w:t>
            </w:r>
            <w:r>
              <w:rPr>
                <w:rFonts w:hint="eastAsia" w:ascii="宋体" w:hAnsi="宋体" w:cs="Times New Roman"/>
                <w:bCs/>
                <w:color w:val="auto"/>
                <w:szCs w:val="21"/>
                <w:highlight w:val="none"/>
                <w:u w:val="single"/>
              </w:rPr>
              <w:t xml:space="preserve">                                               </w:t>
            </w:r>
          </w:p>
          <w:p>
            <w:pPr>
              <w:autoSpaceDE w:val="0"/>
              <w:autoSpaceDN w:val="0"/>
              <w:spacing w:line="320" w:lineRule="exact"/>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其他金融机构：</w:t>
            </w:r>
            <w:r>
              <w:rPr>
                <w:rFonts w:hint="eastAsia" w:ascii="宋体" w:hAnsi="宋体" w:cs="Times New Roman"/>
                <w:bCs/>
                <w:color w:val="auto"/>
                <w:szCs w:val="21"/>
                <w:highlight w:val="none"/>
                <w:u w:val="single"/>
              </w:rPr>
              <w:t xml:space="preserve">  </w:t>
            </w:r>
          </w:p>
          <w:p>
            <w:pPr>
              <w:autoSpaceDE w:val="0"/>
              <w:autoSpaceDN w:val="0"/>
              <w:spacing w:line="360" w:lineRule="exact"/>
              <w:rPr>
                <w:rFonts w:hint="eastAsia"/>
                <w:color w:val="auto"/>
                <w:szCs w:val="21"/>
                <w:highlight w:val="none"/>
              </w:rPr>
            </w:pPr>
            <w:r>
              <w:rPr>
                <w:rFonts w:hint="eastAsia" w:ascii="汉仪书宋二S" w:hAnsi="汉仪书宋二S" w:eastAsia="汉仪书宋二S" w:cs="汉仪书宋二S"/>
                <w:color w:val="auto"/>
                <w:szCs w:val="21"/>
                <w:highlight w:val="none"/>
              </w:rPr>
              <w:t>②</w:t>
            </w:r>
            <w:r>
              <w:rPr>
                <w:rFonts w:hint="eastAsia" w:ascii="宋体" w:hAnsi="宋体" w:eastAsia="汉仪书宋二S" w:cs="Times New Roman"/>
                <w:color w:val="auto"/>
                <w:szCs w:val="21"/>
                <w:highlight w:val="none"/>
              </w:rPr>
              <w:t>现金形式</w:t>
            </w:r>
            <w:r>
              <w:rPr>
                <w:rFonts w:hint="eastAsia" w:ascii="宋体" w:hAnsi="宋体" w:cs="Times New Roman"/>
                <w:color w:val="auto"/>
                <w:szCs w:val="21"/>
                <w:highlight w:val="none"/>
              </w:rPr>
              <w:t>：</w:t>
            </w:r>
            <w:r>
              <w:rPr>
                <w:rFonts w:hint="eastAsia" w:ascii="宋体" w:hAnsi="宋体" w:cs="宋体"/>
                <w:color w:val="auto"/>
                <w:szCs w:val="21"/>
                <w:highlight w:val="none"/>
                <w:u w:val="single"/>
              </w:rPr>
              <w:t>应从投标人基本账户</w:t>
            </w:r>
            <w:r>
              <w:rPr>
                <w:rFonts w:hint="eastAsia" w:ascii="宋体" w:hAnsi="宋体" w:cs="宋体"/>
                <w:bCs/>
                <w:color w:val="auto"/>
                <w:szCs w:val="21"/>
                <w:highlight w:val="none"/>
                <w:u w:val="single"/>
              </w:rPr>
              <w:t>以</w:t>
            </w:r>
            <w:r>
              <w:rPr>
                <w:rFonts w:hint="eastAsia" w:ascii="宋体" w:hAnsi="宋体" w:cs="宋体"/>
                <w:color w:val="auto"/>
                <w:szCs w:val="21"/>
                <w:highlight w:val="none"/>
                <w:u w:val="single"/>
              </w:rPr>
              <w:t>电汇或银行转账方式提交(以款项到达时间为准)，并应在电汇或银行转账单上注明为本招标项目的履约保证金。</w:t>
            </w:r>
            <w:r>
              <w:rPr>
                <w:rFonts w:hint="eastAsia" w:ascii="宋体" w:hAnsi="宋体" w:cs="Times New Roman"/>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02"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7.3.2</w:t>
            </w:r>
          </w:p>
        </w:tc>
        <w:tc>
          <w:tcPr>
            <w:tcW w:w="1814" w:type="dxa"/>
            <w:gridSpan w:val="2"/>
            <w:tcBorders>
              <w:left w:val="single" w:color="auto" w:sz="4" w:space="0"/>
              <w:right w:val="single" w:color="auto" w:sz="4" w:space="0"/>
            </w:tcBorders>
            <w:noWrap w:val="0"/>
            <w:vAlign w:val="center"/>
          </w:tcPr>
          <w:p>
            <w:pPr>
              <w:autoSpaceDE w:val="0"/>
              <w:autoSpaceDN w:val="0"/>
              <w:spacing w:line="360" w:lineRule="exact"/>
              <w:jc w:val="left"/>
              <w:rPr>
                <w:rFonts w:hint="eastAsia" w:ascii="宋体" w:hAnsi="宋体"/>
                <w:color w:val="auto"/>
                <w:szCs w:val="21"/>
                <w:highlight w:val="none"/>
              </w:rPr>
            </w:pPr>
            <w:r>
              <w:rPr>
                <w:rFonts w:hint="eastAsia" w:ascii="宋体" w:hAnsi="宋体"/>
                <w:color w:val="auto"/>
                <w:szCs w:val="21"/>
                <w:highlight w:val="none"/>
              </w:rPr>
              <w:t>未按要求提交履约担保的处理</w:t>
            </w:r>
          </w:p>
        </w:tc>
        <w:tc>
          <w:tcPr>
            <w:tcW w:w="6323" w:type="dxa"/>
            <w:gridSpan w:val="4"/>
            <w:tcBorders>
              <w:left w:val="single" w:color="auto" w:sz="4" w:space="0"/>
              <w:right w:val="single" w:color="auto" w:sz="12" w:space="0"/>
            </w:tcBorders>
            <w:noWrap w:val="0"/>
            <w:vAlign w:val="center"/>
          </w:tcPr>
          <w:p>
            <w:pPr>
              <w:autoSpaceDE w:val="0"/>
              <w:autoSpaceDN w:val="0"/>
              <w:spacing w:line="360" w:lineRule="exact"/>
              <w:rPr>
                <w:rFonts w:hint="eastAsia" w:ascii="宋体" w:hAnsi="宋体"/>
                <w:color w:val="auto"/>
                <w:szCs w:val="21"/>
                <w:highlight w:val="none"/>
              </w:rPr>
            </w:pPr>
            <w:r>
              <w:rPr>
                <w:rFonts w:hint="eastAsia" w:ascii="宋体" w:hAnsi="宋体"/>
                <w:color w:val="auto"/>
                <w:szCs w:val="21"/>
                <w:highlight w:val="none"/>
              </w:rPr>
              <w:t>中标人不能按本章第7.3.1款要求提交履约担保的，视为放弃中标，其投标保证金不予退还，给招标人造成的损失超过投标保证金数额的，中标人还应当对超过部分予以赔偿。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44"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7.4.3</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签订合同</w:t>
            </w:r>
          </w:p>
        </w:tc>
        <w:tc>
          <w:tcPr>
            <w:tcW w:w="6323" w:type="dxa"/>
            <w:gridSpan w:val="4"/>
            <w:tcBorders>
              <w:left w:val="single" w:color="auto" w:sz="4" w:space="0"/>
              <w:right w:val="single" w:color="auto" w:sz="12" w:space="0"/>
            </w:tcBorders>
            <w:noWrap w:val="0"/>
            <w:vAlign w:val="center"/>
          </w:tcPr>
          <w:p>
            <w:pPr>
              <w:autoSpaceDE w:val="0"/>
              <w:autoSpaceDN w:val="0"/>
              <w:spacing w:line="360" w:lineRule="exact"/>
              <w:rPr>
                <w:rFonts w:hint="eastAsia"/>
                <w:color w:val="auto"/>
                <w:szCs w:val="21"/>
                <w:highlight w:val="none"/>
              </w:rPr>
            </w:pPr>
            <w:r>
              <w:rPr>
                <w:rFonts w:hint="eastAsia"/>
                <w:color w:val="auto"/>
                <w:szCs w:val="21"/>
                <w:highlight w:val="none"/>
              </w:rPr>
              <w:t>在签订合同的同时，应签订相应的廉政协议和安全生产协议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7"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9.5</w:t>
            </w:r>
          </w:p>
        </w:tc>
        <w:tc>
          <w:tcPr>
            <w:tcW w:w="1814"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b/>
                <w:bCs/>
                <w:color w:val="auto"/>
                <w:kern w:val="0"/>
                <w:szCs w:val="21"/>
                <w:highlight w:val="none"/>
              </w:rPr>
            </w:pPr>
            <w:r>
              <w:rPr>
                <w:rFonts w:ascii="宋体" w:hAnsi="宋体"/>
                <w:b/>
                <w:bCs/>
                <w:color w:val="auto"/>
                <w:szCs w:val="21"/>
                <w:highlight w:val="none"/>
              </w:rPr>
              <w:t>行政监督部门</w:t>
            </w:r>
          </w:p>
        </w:tc>
        <w:tc>
          <w:tcPr>
            <w:tcW w:w="6323" w:type="dxa"/>
            <w:gridSpan w:val="4"/>
            <w:tcBorders>
              <w:left w:val="single" w:color="auto" w:sz="4" w:space="0"/>
              <w:right w:val="single" w:color="auto" w:sz="12" w:space="0"/>
            </w:tcBorders>
            <w:noWrap w:val="0"/>
            <w:vAlign w:val="center"/>
          </w:tcPr>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1）单位名称：</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rPr>
              <w:t>地   址：</w:t>
            </w:r>
            <w:r>
              <w:rPr>
                <w:rFonts w:hint="eastAsia" w:ascii="宋体" w:hAnsi="宋体" w:cs="黑体"/>
                <w:bCs/>
                <w:color w:val="auto"/>
                <w:sz w:val="24"/>
                <w:highlight w:val="none"/>
                <w:u w:val="single"/>
              </w:rPr>
              <w:t>_________________________</w:t>
            </w:r>
            <w:r>
              <w:rPr>
                <w:rFonts w:hint="eastAsia" w:ascii="宋体" w:hAnsi="宋体"/>
                <w:b/>
                <w:bCs/>
                <w:color w:val="auto"/>
                <w:szCs w:val="21"/>
                <w:highlight w:val="none"/>
                <w:u w:val="single"/>
              </w:rPr>
              <w:t xml:space="preserve"> </w:t>
            </w:r>
          </w:p>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电   话：</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传   真：</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邮   编：</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2）单位名称：</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w:t>
            </w:r>
          </w:p>
          <w:p>
            <w:pPr>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rPr>
              <w:t>地   址：</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rPr>
              <w:t>电   话：</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rPr>
              <w:t>传   真：</w:t>
            </w:r>
            <w:r>
              <w:rPr>
                <w:rFonts w:hint="eastAsia" w:ascii="宋体" w:hAnsi="宋体" w:cs="黑体"/>
                <w:bCs/>
                <w:color w:val="auto"/>
                <w:sz w:val="24"/>
                <w:highlight w:val="none"/>
                <w:u w:val="single"/>
              </w:rPr>
              <w:t>_________________________</w:t>
            </w:r>
          </w:p>
          <w:p>
            <w:pPr>
              <w:spacing w:line="360" w:lineRule="exact"/>
              <w:rPr>
                <w:rFonts w:hint="eastAsia" w:ascii="宋体" w:hAnsi="宋体"/>
                <w:b/>
                <w:bCs/>
                <w:color w:val="auto"/>
                <w:szCs w:val="21"/>
                <w:highlight w:val="none"/>
              </w:rPr>
            </w:pPr>
            <w:r>
              <w:rPr>
                <w:rFonts w:hint="eastAsia" w:ascii="宋体" w:hAnsi="宋体"/>
                <w:b/>
                <w:bCs/>
                <w:color w:val="auto"/>
                <w:szCs w:val="21"/>
                <w:highlight w:val="none"/>
              </w:rPr>
              <w:t>邮   编：</w:t>
            </w:r>
            <w:r>
              <w:rPr>
                <w:rFonts w:hint="eastAsia" w:ascii="宋体" w:hAnsi="宋体" w:cs="黑体"/>
                <w:bCs/>
                <w:color w:val="auto"/>
                <w:sz w:val="24"/>
                <w:highlight w:val="none"/>
                <w:u w:val="single"/>
              </w:rPr>
              <w:t>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14" w:type="dxa"/>
            <w:gridSpan w:val="2"/>
            <w:tcBorders>
              <w:left w:val="single" w:color="auto" w:sz="4" w:space="0"/>
              <w:right w:val="single" w:color="auto" w:sz="4" w:space="0"/>
            </w:tcBorders>
            <w:noWrap w:val="0"/>
            <w:vAlign w:val="center"/>
          </w:tcPr>
          <w:p>
            <w:pPr>
              <w:spacing w:line="360" w:lineRule="exact"/>
              <w:jc w:val="center"/>
              <w:rPr>
                <w:rFonts w:hint="eastAsia" w:ascii="宋体" w:hAnsi="宋体"/>
                <w:color w:val="auto"/>
                <w:szCs w:val="21"/>
                <w:highlight w:val="none"/>
              </w:rPr>
            </w:pPr>
            <w:r>
              <w:rPr>
                <w:rFonts w:hint="eastAsia" w:ascii="宋体" w:hAnsi="宋体"/>
                <w:b/>
                <w:bCs/>
                <w:color w:val="auto"/>
                <w:highlight w:val="none"/>
              </w:rPr>
              <w:t>需要补充的其他内容</w:t>
            </w:r>
          </w:p>
        </w:tc>
        <w:tc>
          <w:tcPr>
            <w:tcW w:w="6323" w:type="dxa"/>
            <w:gridSpan w:val="4"/>
            <w:tcBorders>
              <w:left w:val="single" w:color="auto" w:sz="4" w:space="0"/>
              <w:right w:val="single" w:color="auto" w:sz="12" w:space="0"/>
            </w:tcBorders>
            <w:noWrap w:val="0"/>
            <w:vAlign w:val="center"/>
          </w:tcPr>
          <w:p>
            <w:pPr>
              <w:spacing w:line="360" w:lineRule="exact"/>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10.1</w:t>
            </w:r>
            <w:r>
              <w:rPr>
                <w:rFonts w:hint="eastAsia" w:ascii="宋体" w:hAnsi="宋体"/>
                <w:color w:val="auto"/>
                <w:highlight w:val="none"/>
              </w:rPr>
              <w:t>评标结束后，定标候选人提交的投标报价、企业业绩、信用分享用情况、项目经理姓名、项目技术负责人姓名和相关证书编号，以及被否决投标的投标人名称、否决依据和原因等将在</w:t>
            </w:r>
            <w:r>
              <w:rPr>
                <w:rFonts w:hint="eastAsia" w:ascii="宋体" w:hAnsi="宋体"/>
                <w:color w:val="auto"/>
                <w:highlight w:val="none"/>
                <w:u w:val="single"/>
              </w:rPr>
              <w:t>交易网站上</w:t>
            </w:r>
            <w:r>
              <w:rPr>
                <w:rFonts w:hint="eastAsia" w:ascii="宋体" w:hAnsi="宋体"/>
                <w:color w:val="auto"/>
                <w:highlight w:val="none"/>
              </w:rPr>
              <w:t>进行公示</w:t>
            </w:r>
            <w:r>
              <w:rPr>
                <w:rFonts w:hint="eastAsia"/>
                <w:color w:val="auto"/>
                <w:szCs w:val="21"/>
                <w:highlight w:val="none"/>
              </w:rPr>
              <w:t>，</w:t>
            </w:r>
            <w:r>
              <w:rPr>
                <w:rFonts w:hint="eastAsia" w:ascii="宋体" w:hAnsi="宋体"/>
                <w:color w:val="auto"/>
                <w:szCs w:val="21"/>
                <w:highlight w:val="none"/>
              </w:rPr>
              <w:t>接受社会监督。若经查实存在弄虚作假行为，招标人将取消其定标候选人资格，并报省交通运输厅按法律、法规、规章及福建省交通建设市场信用考核管理办法有关规定处理。</w:t>
            </w:r>
          </w:p>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rPr>
              <w:t>10.2 潜在投标人或者投标人及其他利害关系人对招标文件或者评标结果有异议的，应当在《中华人民共和国招标投标法实施条例》规定的期限内以书面形式向招标人提出。异议的内容和要求应当符合《工程建设项目招标投标活动投诉处理办法》（国家发改委等七部委令第11号）第七条的规定，否则不予受理。对恶意虚假投诉的，将报请行政主管部门按有关规定进行处理，并限制其参加相应项目投标。</w:t>
            </w:r>
          </w:p>
          <w:p>
            <w:pPr>
              <w:tabs>
                <w:tab w:val="left" w:pos="480"/>
              </w:tabs>
              <w:adjustRightInd w:val="0"/>
              <w:snapToGrid w:val="0"/>
              <w:spacing w:line="324" w:lineRule="auto"/>
              <w:ind w:firstLine="420" w:firstLineChars="200"/>
              <w:rPr>
                <w:rFonts w:hint="eastAsia" w:ascii="宋体" w:hAnsi="宋体"/>
                <w:snapToGrid w:val="0"/>
                <w:color w:val="auto"/>
                <w:kern w:val="0"/>
                <w:szCs w:val="21"/>
                <w:highlight w:val="none"/>
              </w:rPr>
            </w:pPr>
            <w:r>
              <w:rPr>
                <w:rFonts w:hint="eastAsia" w:ascii="宋体" w:hAnsi="宋体"/>
                <w:color w:val="auto"/>
                <w:szCs w:val="21"/>
                <w:highlight w:val="none"/>
              </w:rPr>
              <w:t>10.</w:t>
            </w:r>
            <w:r>
              <w:rPr>
                <w:rFonts w:hint="eastAsia" w:ascii="宋体" w:hAnsi="宋体"/>
                <w:color w:val="auto"/>
                <w:szCs w:val="21"/>
                <w:highlight w:val="none"/>
                <w:lang w:val="en-US" w:eastAsia="zh-CN"/>
              </w:rPr>
              <w:t>3</w:t>
            </w:r>
            <w:r>
              <w:rPr>
                <w:rFonts w:hint="eastAsia" w:ascii="宋体" w:hAnsi="宋体"/>
                <w:snapToGrid w:val="0"/>
                <w:color w:val="auto"/>
                <w:kern w:val="0"/>
                <w:szCs w:val="21"/>
                <w:highlight w:val="none"/>
              </w:rPr>
              <w:t>中标人在中标结果公示结束前应向招标代理递交纸质版投标文件一式五份，纸质投标文件应与交易系统递交的电子文件一致。</w:t>
            </w:r>
          </w:p>
          <w:p>
            <w:pPr>
              <w:spacing w:line="360" w:lineRule="exact"/>
              <w:ind w:firstLine="420" w:firstLineChars="200"/>
              <w:jc w:val="left"/>
              <w:textAlignment w:val="center"/>
              <w:rPr>
                <w:rFonts w:hint="eastAsia" w:ascii="宋体" w:hAnsi="宋体"/>
                <w:color w:val="auto"/>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4</w:t>
            </w:r>
            <w:r>
              <w:rPr>
                <w:rFonts w:hint="eastAsia" w:ascii="宋体" w:hAnsi="宋体"/>
                <w:color w:val="auto"/>
                <w:szCs w:val="21"/>
                <w:highlight w:val="none"/>
              </w:rPr>
              <w:t>其他要求：</w:t>
            </w:r>
          </w:p>
          <w:p>
            <w:pPr>
              <w:spacing w:line="360" w:lineRule="exact"/>
              <w:ind w:firstLine="420" w:firstLineChars="200"/>
              <w:jc w:val="left"/>
              <w:textAlignment w:val="center"/>
              <w:rPr>
                <w:rFonts w:hint="eastAsia" w:ascii="宋体" w:hAnsi="宋体"/>
                <w:bCs/>
                <w:color w:val="auto"/>
                <w:szCs w:val="21"/>
                <w:highlight w:val="none"/>
              </w:rPr>
            </w:pPr>
            <w:r>
              <w:rPr>
                <w:rFonts w:hint="eastAsia" w:ascii="宋体" w:hAnsi="宋体"/>
                <w:color w:val="auto"/>
                <w:szCs w:val="21"/>
                <w:highlight w:val="none"/>
              </w:rPr>
              <w:t>……</w:t>
            </w:r>
          </w:p>
        </w:tc>
      </w:tr>
    </w:tbl>
    <w:p>
      <w:pPr>
        <w:rPr>
          <w:rStyle w:val="63"/>
          <w:rFonts w:ascii="宋体" w:hAnsi="宋体"/>
          <w:color w:val="auto"/>
          <w:sz w:val="24"/>
          <w:szCs w:val="24"/>
          <w:highlight w:val="none"/>
        </w:rPr>
      </w:pPr>
    </w:p>
    <w:p>
      <w:pPr>
        <w:rPr>
          <w:rStyle w:val="63"/>
          <w:rFonts w:hint="eastAsia" w:ascii="宋体" w:hAnsi="宋体"/>
          <w:color w:val="auto"/>
          <w:sz w:val="24"/>
          <w:szCs w:val="24"/>
          <w:highlight w:val="none"/>
        </w:rPr>
      </w:pPr>
      <w:r>
        <w:rPr>
          <w:rStyle w:val="63"/>
          <w:rFonts w:ascii="宋体" w:hAnsi="宋体"/>
          <w:color w:val="auto"/>
          <w:sz w:val="24"/>
          <w:szCs w:val="24"/>
          <w:highlight w:val="none"/>
        </w:rPr>
        <w:br w:type="page"/>
      </w:r>
      <w:r>
        <w:rPr>
          <w:rStyle w:val="63"/>
          <w:rFonts w:hint="eastAsia" w:ascii="宋体" w:hAnsi="宋体"/>
          <w:color w:val="auto"/>
          <w:sz w:val="24"/>
          <w:szCs w:val="24"/>
          <w:highlight w:val="none"/>
        </w:rPr>
        <w:t>附件</w:t>
      </w:r>
    </w:p>
    <w:p>
      <w:pPr>
        <w:pStyle w:val="6"/>
        <w:jc w:val="center"/>
        <w:rPr>
          <w:rFonts w:hint="eastAsia" w:ascii="宋体" w:hAnsi="宋体"/>
          <w:color w:val="auto"/>
          <w:highlight w:val="none"/>
        </w:rPr>
      </w:pPr>
      <w:bookmarkStart w:id="60" w:name="_Toc463798992"/>
      <w:bookmarkStart w:id="61" w:name="_Toc19612"/>
      <w:bookmarkStart w:id="62" w:name="_Toc382997648"/>
      <w:bookmarkStart w:id="63" w:name="_Toc490832272"/>
      <w:r>
        <w:rPr>
          <w:rFonts w:hint="eastAsia" w:ascii="宋体" w:hAnsi="宋体"/>
          <w:color w:val="auto"/>
          <w:highlight w:val="none"/>
        </w:rPr>
        <w:t>附件1 资格审查条件(资质最低条件)</w:t>
      </w:r>
      <w:bookmarkEnd w:id="60"/>
      <w:bookmarkEnd w:id="61"/>
      <w:bookmarkEnd w:id="62"/>
      <w:bookmarkEnd w:id="63"/>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897" w:type="dxa"/>
            <w:noWrap w:val="0"/>
            <w:vAlign w:val="center"/>
          </w:tcPr>
          <w:p>
            <w:pPr>
              <w:jc w:val="center"/>
              <w:rPr>
                <w:rFonts w:hint="eastAsia" w:ascii="宋体" w:hAnsi="宋体"/>
                <w:bCs/>
                <w:color w:val="auto"/>
                <w:szCs w:val="21"/>
                <w:highlight w:val="none"/>
              </w:rPr>
            </w:pPr>
            <w:r>
              <w:rPr>
                <w:rFonts w:hint="eastAsia" w:ascii="宋体" w:hAnsi="宋体"/>
                <w:b/>
                <w:color w:val="auto"/>
                <w:szCs w:val="21"/>
                <w:highlight w:val="none"/>
              </w:rPr>
              <w:t>企业资质最低要求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97" w:type="dxa"/>
            <w:noWrap w:val="0"/>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1、具有</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资质等级证书；</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2、具备独立的法人资格、有效的营业执照、有效的安全生产许可证。</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3、本招标项目</w:t>
            </w:r>
            <w:r>
              <w:rPr>
                <w:rFonts w:hint="eastAsia" w:ascii="宋体" w:hAnsi="宋体" w:cs="Times New Roman"/>
                <w:b/>
                <w:color w:val="auto"/>
                <w:szCs w:val="21"/>
                <w:highlight w:val="none"/>
                <w:u w:val="single"/>
              </w:rPr>
              <w:t xml:space="preserve"> </w:t>
            </w:r>
            <w:r>
              <w:rPr>
                <w:rFonts w:hint="eastAsia" w:ascii="宋体" w:hAnsi="宋体" w:cs="Times New Roman"/>
                <w:color w:val="auto"/>
                <w:szCs w:val="21"/>
                <w:highlight w:val="none"/>
                <w:u w:val="single"/>
              </w:rPr>
              <w:t>（接受或不接受，要求两种及以上不同专业资质要求的，不得出现“不接受”联合体投标词汇）</w:t>
            </w:r>
            <w:r>
              <w:rPr>
                <w:rFonts w:hint="eastAsia" w:ascii="宋体" w:hAnsi="宋体" w:cs="Times New Roman"/>
                <w:b/>
                <w:color w:val="auto"/>
                <w:szCs w:val="21"/>
                <w:highlight w:val="none"/>
                <w:u w:val="single"/>
              </w:rPr>
              <w:t xml:space="preserve"> </w:t>
            </w:r>
            <w:r>
              <w:rPr>
                <w:rFonts w:hint="eastAsia" w:ascii="宋体" w:hAnsi="宋体" w:cs="Times New Roman"/>
                <w:color w:val="auto"/>
                <w:szCs w:val="21"/>
                <w:highlight w:val="none"/>
              </w:rPr>
              <w:t>联合体投标。</w:t>
            </w:r>
          </w:p>
          <w:p>
            <w:pPr>
              <w:pStyle w:val="2"/>
              <w:ind w:left="0" w:leftChars="0" w:firstLine="0" w:firstLineChars="0"/>
              <w:rPr>
                <w:rFonts w:hint="eastAsia"/>
                <w:color w:val="auto"/>
                <w:highlight w:val="none"/>
              </w:rPr>
            </w:pPr>
            <w:r>
              <w:rPr>
                <w:rFonts w:ascii="宋体" w:hAnsi="宋体" w:cs="Times New Roman"/>
                <w:color w:val="auto"/>
                <w:szCs w:val="21"/>
                <w:highlight w:val="none"/>
                <w:lang w:val="en"/>
              </w:rPr>
              <w:t>.....</w:t>
            </w:r>
          </w:p>
        </w:tc>
      </w:tr>
    </w:tbl>
    <w:p>
      <w:pPr>
        <w:rPr>
          <w:rFonts w:hint="eastAsia" w:ascii="宋体" w:hAnsi="宋体"/>
          <w:b/>
          <w:bCs/>
          <w:color w:val="auto"/>
          <w:sz w:val="24"/>
          <w:highlight w:val="none"/>
        </w:rPr>
      </w:pPr>
      <w:r>
        <w:rPr>
          <w:rFonts w:hint="eastAsia" w:ascii="宋体" w:hAnsi="宋体" w:cs="Times New Roman"/>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pPr>
        <w:pStyle w:val="6"/>
        <w:jc w:val="center"/>
        <w:rPr>
          <w:rFonts w:hint="eastAsia"/>
          <w:color w:val="auto"/>
          <w:highlight w:val="none"/>
        </w:rPr>
      </w:pPr>
      <w:bookmarkStart w:id="64" w:name="_Toc463798993"/>
      <w:bookmarkStart w:id="65" w:name="_Toc490832273"/>
      <w:r>
        <w:rPr>
          <w:rFonts w:hint="eastAsia" w:ascii="宋体" w:hAnsi="宋体"/>
          <w:color w:val="auto"/>
          <w:highlight w:val="none"/>
        </w:rPr>
        <w:t>附件2 资格审查条件(财务最低要求)</w:t>
      </w:r>
      <w:bookmarkEnd w:id="64"/>
      <w:bookmarkEnd w:id="65"/>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369" w:hRule="atLeast"/>
          <w:jc w:val="center"/>
        </w:trPr>
        <w:tc>
          <w:tcPr>
            <w:tcW w:w="8755" w:type="dxa"/>
            <w:tcBorders>
              <w:bottom w:val="single" w:color="auto" w:sz="4" w:space="0"/>
            </w:tcBorders>
            <w:noWrap w:val="0"/>
            <w:vAlign w:val="center"/>
          </w:tcPr>
          <w:p>
            <w:pPr>
              <w:jc w:val="center"/>
              <w:rPr>
                <w:rFonts w:hint="eastAsia" w:ascii="宋体" w:hAnsi="宋体"/>
                <w:color w:val="auto"/>
                <w:szCs w:val="21"/>
                <w:highlight w:val="none"/>
              </w:rPr>
            </w:pPr>
            <w:r>
              <w:rPr>
                <w:rFonts w:hint="eastAsia" w:ascii="宋体" w:hAnsi="宋体"/>
                <w:b/>
                <w:color w:val="auto"/>
                <w:sz w:val="24"/>
                <w:highlight w:val="none"/>
              </w:rPr>
              <w:t>财务最低要求</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jc w:val="center"/>
        </w:trPr>
        <w:tc>
          <w:tcPr>
            <w:tcW w:w="8755" w:type="dxa"/>
            <w:tcBorders>
              <w:top w:val="single" w:color="auto" w:sz="4" w:space="0"/>
            </w:tcBorders>
            <w:noWrap w:val="0"/>
            <w:vAlign w:val="top"/>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不需要</w:t>
            </w:r>
          </w:p>
        </w:tc>
      </w:tr>
    </w:tbl>
    <w:p>
      <w:pPr>
        <w:pStyle w:val="6"/>
        <w:jc w:val="center"/>
        <w:rPr>
          <w:rFonts w:ascii="宋体" w:hAnsi="宋体"/>
          <w:b w:val="0"/>
          <w:bCs w:val="0"/>
          <w:color w:val="auto"/>
          <w:sz w:val="24"/>
          <w:highlight w:val="none"/>
        </w:rPr>
      </w:pPr>
      <w:bookmarkStart w:id="66" w:name="_Toc26283"/>
      <w:bookmarkStart w:id="67" w:name="_Toc382997649"/>
      <w:bookmarkStart w:id="68" w:name="_Toc463798994"/>
    </w:p>
    <w:p>
      <w:pPr>
        <w:pStyle w:val="6"/>
        <w:jc w:val="center"/>
        <w:rPr>
          <w:color w:val="auto"/>
          <w:highlight w:val="none"/>
        </w:rPr>
      </w:pPr>
      <w:bookmarkStart w:id="69" w:name="_Toc490832274"/>
      <w:r>
        <w:rPr>
          <w:rFonts w:hint="eastAsia" w:ascii="宋体" w:hAnsi="宋体"/>
          <w:color w:val="auto"/>
          <w:highlight w:val="none"/>
        </w:rPr>
        <w:t>附件3资格审查条件(业绩最低要求)</w:t>
      </w:r>
      <w:bookmarkEnd w:id="66"/>
      <w:bookmarkEnd w:id="67"/>
      <w:bookmarkEnd w:id="68"/>
      <w:bookmarkEnd w:id="69"/>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755" w:type="dxa"/>
            <w:noWrap w:val="0"/>
            <w:vAlign w:val="center"/>
          </w:tcPr>
          <w:p>
            <w:pPr>
              <w:jc w:val="center"/>
              <w:rPr>
                <w:rFonts w:hint="eastAsia" w:ascii="宋体" w:hAnsi="宋体"/>
                <w:bCs/>
                <w:color w:val="auto"/>
                <w:szCs w:val="21"/>
                <w:highlight w:val="none"/>
              </w:rPr>
            </w:pPr>
            <w:r>
              <w:rPr>
                <w:rFonts w:hint="eastAsia" w:ascii="宋体" w:hAnsi="宋体"/>
                <w:b/>
                <w:color w:val="auto"/>
                <w:sz w:val="24"/>
                <w:highlight w:val="none"/>
              </w:rPr>
              <w:t>业绩最低要求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8755" w:type="dxa"/>
            <w:noWrap w:val="0"/>
            <w:vAlign w:val="top"/>
          </w:tcPr>
          <w:p>
            <w:pPr>
              <w:spacing w:line="300" w:lineRule="exact"/>
              <w:ind w:firstLine="480" w:firstLineChars="200"/>
              <w:rPr>
                <w:rFonts w:hint="eastAsia" w:ascii="宋体" w:hAnsi="宋体"/>
                <w:color w:val="auto"/>
                <w:sz w:val="20"/>
                <w:szCs w:val="20"/>
                <w:highlight w:val="none"/>
                <w:u w:val="single"/>
              </w:rPr>
            </w:pPr>
            <w:r>
              <w:rPr>
                <w:rFonts w:hint="eastAsia" w:ascii="宋体" w:hAnsi="宋体"/>
                <w:color w:val="auto"/>
                <w:sz w:val="24"/>
                <w:highlight w:val="none"/>
              </w:rPr>
              <w:t xml:space="preserve">  </w:t>
            </w:r>
            <w:r>
              <w:rPr>
                <w:rFonts w:hint="eastAsia" w:ascii="宋体" w:hAnsi="宋体" w:cs="宋体"/>
                <w:color w:val="auto"/>
                <w:highlight w:val="none"/>
              </w:rPr>
              <w:t xml:space="preserve"> </w:t>
            </w:r>
          </w:p>
        </w:tc>
      </w:tr>
    </w:tbl>
    <w:p>
      <w:pPr>
        <w:ind w:firstLine="420" w:firstLineChars="200"/>
        <w:rPr>
          <w:rFonts w:hint="eastAsia" w:ascii="宋体" w:hAnsi="宋体" w:cs="宋体"/>
          <w:color w:val="auto"/>
          <w:szCs w:val="21"/>
          <w:highlight w:val="none"/>
        </w:rPr>
      </w:pPr>
      <w:bookmarkStart w:id="70" w:name="_Toc490832275"/>
      <w:bookmarkStart w:id="71" w:name="_Toc382997650"/>
      <w:bookmarkStart w:id="72" w:name="_Toc463798995"/>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等级相适应(含批复文件中明确的结构预留等级)，且设定的最大建设规模等级不得超过沿海10万吨级（内河500吨级），</w:t>
      </w:r>
      <w:r>
        <w:rPr>
          <w:rFonts w:hint="eastAsia" w:ascii="宋体" w:hAnsi="宋体" w:cs="Times New Roman"/>
          <w:bCs/>
          <w:color w:val="auto"/>
          <w:szCs w:val="21"/>
          <w:highlight w:val="none"/>
        </w:rPr>
        <w:t>其中码头工程业绩不得设置货种、结构形式要求，航道工程施工业绩应为单独立项的航道工程（分标段航道工程业绩视为单独立项的航道工程业绩）</w:t>
      </w:r>
      <w:r>
        <w:rPr>
          <w:rFonts w:hint="eastAsia" w:ascii="宋体" w:hAnsi="宋体" w:cs="宋体"/>
          <w:color w:val="auto"/>
          <w:szCs w:val="21"/>
          <w:highlight w:val="none"/>
        </w:rPr>
        <w:t>。招标人不得设置人员业绩。</w:t>
      </w:r>
    </w:p>
    <w:p>
      <w:pPr>
        <w:wordWrap w:val="0"/>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s="Times New Roman"/>
          <w:color w:val="auto"/>
          <w:highlight w:val="none"/>
        </w:rPr>
        <w:t>业绩证明材料：</w:t>
      </w:r>
      <w:r>
        <w:rPr>
          <w:rFonts w:hint="eastAsia" w:ascii="宋体" w:hAnsi="宋体" w:cs="Times New Roman"/>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w:t>
      </w:r>
      <w:r>
        <w:rPr>
          <w:rFonts w:hint="eastAsia" w:ascii="宋体" w:hAnsi="宋体" w:cs="Times New Roman"/>
          <w:color w:val="auto"/>
          <w:szCs w:val="21"/>
          <w:highlight w:val="none"/>
          <w:lang w:eastAsia="zh-CN"/>
        </w:rPr>
        <w:t>http://220.160.53.3:30050/gzwz/</w:t>
      </w:r>
      <w:r>
        <w:rPr>
          <w:rFonts w:hint="eastAsia" w:ascii="宋体" w:hAnsi="宋体" w:cs="Times New Roman"/>
          <w:color w:val="auto"/>
          <w:szCs w:val="21"/>
          <w:highlight w:val="none"/>
        </w:rPr>
        <w:t>）中查询到的网页截图（并注明查询路径）；并提供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交(竣)工验收证书或交工验收表、竣工验收现场核查报告（均同时附上质量鉴定意见）的扫描件，航道工程还需提供单独立项的工可批复文件扫描件。</w:t>
      </w:r>
    </w:p>
    <w:p>
      <w:pPr>
        <w:wordWrap w:val="0"/>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w:t>
      </w:r>
      <w:r>
        <w:rPr>
          <w:rFonts w:ascii="宋体" w:hAnsi="宋体" w:cs="Times New Roman"/>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cs="Times New Roman"/>
          <w:bCs/>
          <w:color w:val="auto"/>
          <w:szCs w:val="21"/>
          <w:highlight w:val="none"/>
        </w:rPr>
        <w:t>独立投标人或联合体牵头人的自身业绩。</w:t>
      </w:r>
    </w:p>
    <w:p>
      <w:pPr>
        <w:pStyle w:val="6"/>
        <w:jc w:val="center"/>
        <w:rPr>
          <w:rFonts w:hint="eastAsia" w:ascii="宋体" w:hAnsi="宋体"/>
          <w:color w:val="auto"/>
          <w:highlight w:val="none"/>
        </w:rPr>
      </w:pPr>
    </w:p>
    <w:p>
      <w:pPr>
        <w:pStyle w:val="6"/>
        <w:jc w:val="center"/>
        <w:rPr>
          <w:rFonts w:hint="eastAsia"/>
          <w:color w:val="auto"/>
          <w:highlight w:val="none"/>
        </w:rPr>
      </w:pPr>
      <w:r>
        <w:rPr>
          <w:rFonts w:hint="eastAsia" w:ascii="宋体" w:hAnsi="宋体"/>
          <w:color w:val="auto"/>
          <w:highlight w:val="none"/>
        </w:rPr>
        <w:t>附件4 资格审查条件(信誉最低要求)</w:t>
      </w:r>
      <w:bookmarkEnd w:id="70"/>
      <w:bookmarkEnd w:id="71"/>
      <w:bookmarkEnd w:id="72"/>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7" w:type="dxa"/>
            <w:tcBorders>
              <w:bottom w:val="single" w:color="auto" w:sz="4" w:space="0"/>
            </w:tcBorders>
            <w:noWrap w:val="0"/>
            <w:vAlign w:val="center"/>
          </w:tcPr>
          <w:p>
            <w:pPr>
              <w:jc w:val="center"/>
              <w:rPr>
                <w:rFonts w:hint="eastAsia" w:ascii="宋体" w:hAnsi="宋体"/>
                <w:color w:val="auto"/>
                <w:highlight w:val="none"/>
              </w:rPr>
            </w:pPr>
            <w:r>
              <w:rPr>
                <w:rFonts w:hint="eastAsia" w:ascii="宋体" w:hAnsi="宋体"/>
                <w:b/>
                <w:color w:val="auto"/>
                <w:sz w:val="24"/>
                <w:highlight w:val="none"/>
              </w:rPr>
              <w:t>信誉最低要求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897" w:type="dxa"/>
            <w:tcBorders>
              <w:top w:val="single" w:color="auto" w:sz="4" w:space="0"/>
            </w:tcBorders>
            <w:noWrap w:val="0"/>
            <w:vAlign w:val="top"/>
          </w:tcPr>
          <w:p>
            <w:pPr>
              <w:wordWrap w:val="0"/>
              <w:spacing w:line="320" w:lineRule="exact"/>
              <w:rPr>
                <w:rFonts w:hint="eastAsia" w:ascii="宋体" w:hAnsi="宋体"/>
                <w:color w:val="auto"/>
                <w:szCs w:val="21"/>
                <w:highlight w:val="none"/>
              </w:rPr>
            </w:pPr>
            <w:r>
              <w:rPr>
                <w:rFonts w:hint="eastAsia" w:ascii="宋体" w:hAnsi="宋体"/>
                <w:color w:val="auto"/>
                <w:szCs w:val="21"/>
                <w:highlight w:val="none"/>
              </w:rPr>
              <w:t>1、企业未处于被有关主管部门责令停业、投标资格被取消。</w:t>
            </w:r>
          </w:p>
          <w:p>
            <w:pPr>
              <w:wordWrap w:val="0"/>
              <w:spacing w:line="320" w:lineRule="exact"/>
              <w:rPr>
                <w:rFonts w:hint="eastAsia" w:ascii="宋体" w:hAnsi="宋体"/>
                <w:color w:val="auto"/>
                <w:szCs w:val="21"/>
                <w:highlight w:val="none"/>
              </w:rPr>
            </w:pPr>
            <w:r>
              <w:rPr>
                <w:rFonts w:hint="eastAsia" w:ascii="宋体" w:hAnsi="宋体"/>
                <w:color w:val="auto"/>
                <w:szCs w:val="21"/>
                <w:highlight w:val="none"/>
              </w:rPr>
              <w:t>2、未被交通运输部或福建省交通运输厅或建设主管部门或发展改革部门等取消项目所在地的投标资格或禁止进入该行政区域水运工程建设市场且处于有效期内。</w:t>
            </w:r>
          </w:p>
          <w:p>
            <w:pPr>
              <w:wordWrap w:val="0"/>
              <w:spacing w:line="320" w:lineRule="exact"/>
              <w:rPr>
                <w:rFonts w:hint="eastAsia" w:ascii="宋体" w:hAnsi="宋体"/>
                <w:color w:val="auto"/>
                <w:szCs w:val="21"/>
                <w:highlight w:val="none"/>
              </w:rPr>
            </w:pPr>
            <w:r>
              <w:rPr>
                <w:rFonts w:hint="eastAsia" w:ascii="宋体" w:hAnsi="宋体"/>
                <w:color w:val="auto"/>
                <w:szCs w:val="21"/>
                <w:highlight w:val="none"/>
              </w:rPr>
              <w:t>3、在国家企业信用信息公示系统（http://www.gsxt.gov.cn/）中被列入严重违法失信企业名单（不包括投标人分支机构），资格审查不予通过。</w:t>
            </w:r>
          </w:p>
          <w:p>
            <w:pPr>
              <w:wordWrap w:val="0"/>
              <w:spacing w:line="320" w:lineRule="exact"/>
              <w:rPr>
                <w:rFonts w:hint="eastAsia" w:ascii="宋体" w:hAnsi="宋体"/>
                <w:color w:val="auto"/>
                <w:szCs w:val="21"/>
                <w:highlight w:val="none"/>
              </w:rPr>
            </w:pPr>
            <w:r>
              <w:rPr>
                <w:rFonts w:hint="eastAsia" w:ascii="宋体" w:hAnsi="宋体"/>
                <w:color w:val="auto"/>
                <w:szCs w:val="21"/>
                <w:highlight w:val="none"/>
              </w:rPr>
              <w:t>4、被最高人民法院在“信用中国”网站（</w:t>
            </w:r>
            <w:r>
              <w:rPr>
                <w:rFonts w:ascii="宋体" w:hAnsi="宋体"/>
                <w:color w:val="auto"/>
                <w:szCs w:val="21"/>
                <w:highlight w:val="none"/>
              </w:rPr>
              <w:t>www.creditchina.gov.cn</w:t>
            </w:r>
            <w:r>
              <w:rPr>
                <w:rFonts w:hint="eastAsia" w:ascii="宋体" w:hAnsi="宋体"/>
                <w:color w:val="auto"/>
                <w:szCs w:val="21"/>
                <w:highlight w:val="none"/>
              </w:rPr>
              <w:t>）或“中国执行信息公开网”网站（http://zxgk.court.gov.cn/shixin/）列入失信被执行人名单（不包括投标人分支机构），资格审查不予通过。</w:t>
            </w:r>
          </w:p>
          <w:p>
            <w:pPr>
              <w:wordWrap w:val="0"/>
              <w:spacing w:line="320" w:lineRule="exact"/>
              <w:rPr>
                <w:rFonts w:hint="eastAsia" w:ascii="宋体" w:hAnsi="宋体"/>
                <w:color w:val="auto"/>
                <w:szCs w:val="21"/>
                <w:highlight w:val="none"/>
              </w:rPr>
            </w:pPr>
            <w:r>
              <w:rPr>
                <w:rFonts w:hint="eastAsia" w:ascii="宋体" w:hAnsi="宋体"/>
                <w:color w:val="auto"/>
                <w:szCs w:val="21"/>
                <w:highlight w:val="none"/>
              </w:rPr>
              <w:t>5、近三年内投标人及其法定代表人、拟委任的项目负责人有行贿犯罪行为的，资格审查不予通过。</w:t>
            </w:r>
          </w:p>
          <w:p>
            <w:pPr>
              <w:wordWrap w:val="0"/>
              <w:spacing w:line="320" w:lineRule="exact"/>
              <w:rPr>
                <w:rFonts w:hint="eastAsia"/>
                <w:color w:val="auto"/>
                <w:szCs w:val="21"/>
                <w:highlight w:val="none"/>
              </w:rPr>
            </w:pPr>
          </w:p>
          <w:p>
            <w:pPr>
              <w:wordWrap w:val="0"/>
              <w:spacing w:line="320" w:lineRule="exact"/>
              <w:rPr>
                <w:rFonts w:hint="eastAsia" w:ascii="宋体" w:hAnsi="宋体"/>
                <w:color w:val="auto"/>
                <w:szCs w:val="21"/>
                <w:highlight w:val="none"/>
              </w:rPr>
            </w:pPr>
            <w:r>
              <w:rPr>
                <w:rFonts w:hint="eastAsia"/>
                <w:color w:val="auto"/>
                <w:szCs w:val="21"/>
                <w:highlight w:val="none"/>
              </w:rPr>
              <w:t>备注：在福建省交通运输厅最新发布的信用考核定级为AA、A级且在有效期限内的单位，资格审查阶段，当其他条件满足时，其履约信誉可免于审查，直接通过资格审查。</w:t>
            </w:r>
          </w:p>
        </w:tc>
      </w:tr>
    </w:tbl>
    <w:p>
      <w:pPr>
        <w:pStyle w:val="6"/>
        <w:jc w:val="center"/>
        <w:rPr>
          <w:color w:val="auto"/>
          <w:highlight w:val="none"/>
        </w:rPr>
      </w:pPr>
      <w:bookmarkStart w:id="73" w:name="_Toc382997652"/>
      <w:bookmarkStart w:id="74" w:name="_Toc463798996"/>
      <w:bookmarkStart w:id="75" w:name="_Toc26701"/>
    </w:p>
    <w:p>
      <w:pPr>
        <w:pStyle w:val="6"/>
        <w:jc w:val="center"/>
        <w:rPr>
          <w:rFonts w:hint="eastAsia"/>
          <w:color w:val="auto"/>
          <w:highlight w:val="none"/>
        </w:rPr>
      </w:pPr>
      <w:bookmarkStart w:id="76" w:name="_Toc490832276"/>
      <w:r>
        <w:rPr>
          <w:rFonts w:hint="eastAsia" w:ascii="宋体" w:hAnsi="宋体"/>
          <w:color w:val="auto"/>
          <w:highlight w:val="none"/>
        </w:rPr>
        <w:t>附件5 资格审查条件(主要人员最低要求)</w:t>
      </w:r>
      <w:bookmarkEnd w:id="73"/>
      <w:bookmarkEnd w:id="74"/>
      <w:bookmarkEnd w:id="75"/>
      <w:bookmarkEnd w:id="76"/>
    </w:p>
    <w:tbl>
      <w:tblPr>
        <w:tblStyle w:val="3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14"/>
        <w:gridCol w:w="1090"/>
        <w:gridCol w:w="66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314" w:type="dxa"/>
            <w:tcBorders>
              <w:top w:val="single" w:color="auto" w:sz="12"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人员</w:t>
            </w:r>
          </w:p>
        </w:tc>
        <w:tc>
          <w:tcPr>
            <w:tcW w:w="109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6605" w:type="dxa"/>
            <w:tcBorders>
              <w:top w:val="single" w:color="auto" w:sz="12" w:space="0"/>
              <w:left w:val="single" w:color="auto" w:sz="4" w:space="0"/>
              <w:bottom w:val="single" w:color="auto" w:sz="4" w:space="0"/>
            </w:tcBorders>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主要人员最低要求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14"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项目经理</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zCs w:val="21"/>
                <w:highlight w:val="none"/>
              </w:rPr>
            </w:pPr>
            <w:r>
              <w:rPr>
                <w:rFonts w:hint="eastAsia" w:ascii="宋体" w:hAnsi="宋体"/>
                <w:color w:val="auto"/>
                <w:szCs w:val="21"/>
                <w:highlight w:val="none"/>
              </w:rPr>
              <w:t>1</w:t>
            </w:r>
          </w:p>
        </w:tc>
        <w:tc>
          <w:tcPr>
            <w:tcW w:w="6605" w:type="dxa"/>
            <w:tcBorders>
              <w:top w:val="single" w:color="auto" w:sz="4" w:space="0"/>
              <w:left w:val="single" w:color="auto" w:sz="4" w:space="0"/>
              <w:bottom w:val="single" w:color="auto" w:sz="4" w:space="0"/>
            </w:tcBorders>
            <w:noWrap w:val="0"/>
            <w:vAlign w:val="top"/>
          </w:tcPr>
          <w:p>
            <w:pPr>
              <w:spacing w:line="400" w:lineRule="exact"/>
              <w:rPr>
                <w:rFonts w:hint="eastAsia" w:ascii="宋体" w:hAnsi="宋体"/>
                <w:b/>
                <w:color w:val="auto"/>
                <w:szCs w:val="21"/>
                <w:highlight w:val="none"/>
              </w:rPr>
            </w:pPr>
            <w:r>
              <w:rPr>
                <w:color w:val="auto"/>
                <w:szCs w:val="21"/>
                <w:highlight w:val="none"/>
              </w:rPr>
              <w:t>具有</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注册建造师执业资格</w:t>
            </w:r>
            <w:r>
              <w:rPr>
                <w:rFonts w:hint="eastAsia"/>
                <w:color w:val="auto"/>
                <w:szCs w:val="21"/>
                <w:highlight w:val="none"/>
              </w:rPr>
              <w:t>，具备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技术职称，并持有合格有效的</w:t>
            </w:r>
            <w:r>
              <w:rPr>
                <w:color w:val="auto"/>
                <w:szCs w:val="21"/>
                <w:highlight w:val="none"/>
              </w:rPr>
              <w:t>安全生产考核合格证书B证</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314" w:type="dxa"/>
            <w:tcBorders>
              <w:top w:val="single" w:color="auto" w:sz="4" w:space="0"/>
              <w:bottom w:val="single" w:color="auto" w:sz="12" w:space="0"/>
              <w:right w:val="single" w:color="auto" w:sz="4" w:space="0"/>
            </w:tcBorders>
            <w:noWrap w:val="0"/>
            <w:vAlign w:val="top"/>
          </w:tcPr>
          <w:p>
            <w:pPr>
              <w:spacing w:line="440" w:lineRule="exact"/>
              <w:rPr>
                <w:rFonts w:hint="eastAsia" w:ascii="宋体" w:hAnsi="宋体"/>
                <w:b/>
                <w:color w:val="auto"/>
                <w:sz w:val="20"/>
                <w:szCs w:val="20"/>
                <w:highlight w:val="none"/>
              </w:rPr>
            </w:pPr>
            <w:r>
              <w:rPr>
                <w:rFonts w:hint="eastAsia" w:ascii="宋体" w:hAnsi="宋体"/>
                <w:b/>
                <w:color w:val="auto"/>
                <w:szCs w:val="21"/>
                <w:highlight w:val="none"/>
              </w:rPr>
              <w:t>技术负责人</w:t>
            </w:r>
          </w:p>
        </w:tc>
        <w:tc>
          <w:tcPr>
            <w:tcW w:w="1090" w:type="dxa"/>
            <w:tcBorders>
              <w:top w:val="single" w:color="auto" w:sz="4" w:space="0"/>
              <w:left w:val="single" w:color="auto" w:sz="4" w:space="0"/>
              <w:bottom w:val="single" w:color="auto" w:sz="12" w:space="0"/>
            </w:tcBorders>
            <w:noWrap w:val="0"/>
            <w:vAlign w:val="center"/>
          </w:tcPr>
          <w:p>
            <w:pPr>
              <w:spacing w:line="440" w:lineRule="exact"/>
              <w:jc w:val="center"/>
              <w:rPr>
                <w:rFonts w:hint="eastAsia" w:ascii="宋体" w:hAnsi="宋体"/>
                <w:b/>
                <w:color w:val="auto"/>
                <w:sz w:val="20"/>
                <w:szCs w:val="20"/>
                <w:highlight w:val="none"/>
              </w:rPr>
            </w:pPr>
            <w:r>
              <w:rPr>
                <w:rFonts w:hint="eastAsia"/>
                <w:color w:val="auto"/>
                <w:szCs w:val="21"/>
                <w:highlight w:val="none"/>
              </w:rPr>
              <w:t>1</w:t>
            </w:r>
          </w:p>
        </w:tc>
        <w:tc>
          <w:tcPr>
            <w:tcW w:w="6605" w:type="dxa"/>
            <w:tcBorders>
              <w:top w:val="single" w:color="auto" w:sz="4" w:space="0"/>
              <w:left w:val="single" w:color="auto" w:sz="4" w:space="0"/>
              <w:bottom w:val="single" w:color="auto" w:sz="12" w:space="0"/>
            </w:tcBorders>
            <w:noWrap w:val="0"/>
            <w:vAlign w:val="top"/>
          </w:tcPr>
          <w:p>
            <w:pPr>
              <w:spacing w:line="440" w:lineRule="exact"/>
              <w:rPr>
                <w:rFonts w:hint="eastAsia" w:ascii="宋体" w:hAnsi="宋体"/>
                <w:b/>
                <w:color w:val="auto"/>
                <w:sz w:val="20"/>
                <w:szCs w:val="20"/>
                <w:highlight w:val="none"/>
              </w:rPr>
            </w:pPr>
            <w:r>
              <w:rPr>
                <w:rFonts w:hint="eastAsia"/>
                <w:color w:val="auto"/>
                <w:szCs w:val="21"/>
                <w:highlight w:val="none"/>
              </w:rPr>
              <w:t>资格要求：具备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w:t>
            </w:r>
          </w:p>
        </w:tc>
      </w:tr>
    </w:tbl>
    <w:p>
      <w:pPr>
        <w:rPr>
          <w:rFonts w:hint="eastAsia"/>
          <w:color w:val="auto"/>
          <w:highlight w:val="none"/>
        </w:rPr>
      </w:pPr>
      <w:bookmarkStart w:id="77" w:name="_Toc382997653"/>
      <w:bookmarkStart w:id="78" w:name="_Toc21292"/>
    </w:p>
    <w:p>
      <w:pPr>
        <w:rPr>
          <w:rFonts w:hint="eastAsia"/>
          <w:color w:val="auto"/>
          <w:highlight w:val="none"/>
        </w:rPr>
      </w:pPr>
    </w:p>
    <w:p>
      <w:pPr>
        <w:pStyle w:val="6"/>
        <w:jc w:val="center"/>
        <w:rPr>
          <w:rFonts w:hint="eastAsia"/>
          <w:color w:val="auto"/>
          <w:highlight w:val="none"/>
        </w:rPr>
      </w:pPr>
      <w:bookmarkStart w:id="79" w:name="_Toc463798997"/>
      <w:bookmarkStart w:id="80" w:name="_Toc490832277"/>
      <w:r>
        <w:rPr>
          <w:rFonts w:hint="eastAsia"/>
          <w:color w:val="auto"/>
          <w:highlight w:val="none"/>
        </w:rPr>
        <w:t>附件6 资格审查条件(其他最低要求)</w:t>
      </w:r>
      <w:bookmarkEnd w:id="77"/>
      <w:bookmarkEnd w:id="78"/>
      <w:bookmarkEnd w:id="79"/>
      <w:bookmarkEnd w:id="80"/>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920" w:type="dxa"/>
            <w:noWrap w:val="0"/>
            <w:vAlign w:val="top"/>
          </w:tcPr>
          <w:p>
            <w:pPr>
              <w:spacing w:line="440" w:lineRule="exact"/>
              <w:ind w:firstLine="205" w:firstLineChars="98"/>
              <w:jc w:val="left"/>
              <w:rPr>
                <w:rFonts w:hint="eastAsia" w:ascii="宋体" w:hAnsi="宋体"/>
                <w:color w:val="auto"/>
                <w:szCs w:val="21"/>
                <w:highlight w:val="none"/>
              </w:rPr>
            </w:pPr>
            <w:r>
              <w:rPr>
                <w:rFonts w:hint="eastAsia" w:ascii="宋体" w:hAnsi="宋体"/>
                <w:color w:val="auto"/>
                <w:szCs w:val="21"/>
                <w:highlight w:val="none"/>
              </w:rPr>
              <w:t>1、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spacing w:line="440" w:lineRule="exact"/>
              <w:ind w:firstLine="205" w:firstLineChars="98"/>
              <w:jc w:val="left"/>
              <w:rPr>
                <w:rFonts w:ascii="宋体" w:hAnsi="宋体"/>
                <w:color w:val="auto"/>
                <w:szCs w:val="21"/>
                <w:highlight w:val="none"/>
              </w:rPr>
            </w:pPr>
          </w:p>
        </w:tc>
      </w:tr>
    </w:tbl>
    <w:p>
      <w:pPr>
        <w:rPr>
          <w:rFonts w:hint="eastAsia" w:ascii="宋体" w:hAnsi="宋体" w:cs="Times New Roman"/>
          <w:bCs/>
          <w:color w:val="auto"/>
          <w:szCs w:val="21"/>
          <w:highlight w:val="none"/>
        </w:rPr>
      </w:pPr>
      <w:r>
        <w:rPr>
          <w:rFonts w:hint="eastAsia" w:ascii="宋体" w:hAnsi="宋体" w:cs="Times New Roman"/>
          <w:bCs/>
          <w:color w:val="auto"/>
          <w:szCs w:val="21"/>
          <w:highlight w:val="none"/>
        </w:rPr>
        <w:t>注：常用施工机械、试验仪器、设备等，不作为资格审查条件。</w:t>
      </w:r>
    </w:p>
    <w:p>
      <w:pPr>
        <w:rPr>
          <w:rFonts w:ascii="宋体" w:hAnsi="宋体"/>
          <w:b/>
          <w:color w:val="auto"/>
          <w:szCs w:val="21"/>
          <w:highlight w:val="none"/>
        </w:rPr>
      </w:pPr>
    </w:p>
    <w:p>
      <w:pPr>
        <w:pStyle w:val="6"/>
        <w:jc w:val="center"/>
        <w:rPr>
          <w:color w:val="auto"/>
          <w:highlight w:val="none"/>
        </w:rPr>
      </w:pPr>
      <w:bookmarkStart w:id="81" w:name="_Toc490832278"/>
      <w:r>
        <w:rPr>
          <w:rFonts w:hint="eastAsia"/>
          <w:color w:val="auto"/>
          <w:highlight w:val="none"/>
        </w:rPr>
        <w:t>附件7 其他主要管理人员和技术人员最低要求</w:t>
      </w:r>
      <w:bookmarkEnd w:id="81"/>
    </w:p>
    <w:p>
      <w:pPr>
        <w:spacing w:before="156" w:beforeLines="50" w:after="156"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3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249"/>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jc w:val="center"/>
              <w:rPr>
                <w:b/>
                <w:color w:val="auto"/>
                <w:szCs w:val="21"/>
                <w:highlight w:val="none"/>
              </w:rPr>
            </w:pPr>
            <w:r>
              <w:rPr>
                <w:rFonts w:hint="eastAsia"/>
                <w:b/>
                <w:color w:val="auto"/>
                <w:szCs w:val="21"/>
                <w:highlight w:val="none"/>
              </w:rPr>
              <w:t>其它主要管理人员和技术人员</w:t>
            </w:r>
          </w:p>
        </w:tc>
        <w:tc>
          <w:tcPr>
            <w:tcW w:w="3249" w:type="dxa"/>
            <w:noWrap w:val="0"/>
            <w:vAlign w:val="top"/>
          </w:tcPr>
          <w:p>
            <w:pPr>
              <w:spacing w:line="440" w:lineRule="exact"/>
              <w:jc w:val="center"/>
              <w:rPr>
                <w:b/>
                <w:color w:val="auto"/>
                <w:szCs w:val="21"/>
                <w:highlight w:val="none"/>
              </w:rPr>
            </w:pPr>
            <w:r>
              <w:rPr>
                <w:rFonts w:hint="eastAsia"/>
                <w:b/>
                <w:color w:val="auto"/>
                <w:szCs w:val="21"/>
                <w:highlight w:val="none"/>
              </w:rPr>
              <w:t>数量</w:t>
            </w:r>
          </w:p>
        </w:tc>
        <w:tc>
          <w:tcPr>
            <w:tcW w:w="2788" w:type="dxa"/>
            <w:noWrap w:val="0"/>
            <w:vAlign w:val="top"/>
          </w:tcPr>
          <w:p>
            <w:pPr>
              <w:spacing w:line="440" w:lineRule="exact"/>
              <w:jc w:val="center"/>
              <w:rPr>
                <w:b/>
                <w:color w:val="auto"/>
                <w:szCs w:val="21"/>
                <w:highlight w:val="none"/>
              </w:rPr>
            </w:pPr>
            <w:r>
              <w:rPr>
                <w:rFonts w:hint="eastAsia"/>
                <w:b/>
                <w:color w:val="auto"/>
                <w:szCs w:val="21"/>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noWrap w:val="0"/>
            <w:vAlign w:val="top"/>
          </w:tcPr>
          <w:p>
            <w:pPr>
              <w:spacing w:line="440" w:lineRule="exact"/>
              <w:rPr>
                <w:color w:val="auto"/>
                <w:sz w:val="18"/>
                <w:szCs w:val="18"/>
                <w:highlight w:val="none"/>
              </w:rPr>
            </w:pPr>
          </w:p>
        </w:tc>
        <w:tc>
          <w:tcPr>
            <w:tcW w:w="3249" w:type="dxa"/>
            <w:noWrap w:val="0"/>
            <w:vAlign w:val="top"/>
          </w:tcPr>
          <w:p>
            <w:pPr>
              <w:spacing w:line="440" w:lineRule="exact"/>
              <w:rPr>
                <w:color w:val="auto"/>
                <w:sz w:val="18"/>
                <w:szCs w:val="18"/>
                <w:highlight w:val="none"/>
              </w:rPr>
            </w:pPr>
          </w:p>
        </w:tc>
        <w:tc>
          <w:tcPr>
            <w:tcW w:w="2788" w:type="dxa"/>
            <w:noWrap w:val="0"/>
            <w:vAlign w:val="top"/>
          </w:tcPr>
          <w:p>
            <w:pPr>
              <w:spacing w:line="440" w:lineRule="exact"/>
              <w:rPr>
                <w:color w:val="auto"/>
                <w:sz w:val="18"/>
                <w:szCs w:val="18"/>
                <w:highlight w:val="none"/>
              </w:rPr>
            </w:pPr>
          </w:p>
        </w:tc>
      </w:tr>
    </w:tbl>
    <w:p>
      <w:pPr>
        <w:spacing w:line="360" w:lineRule="auto"/>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它主要人员指工程部负责人、质检部负责人、预算员、测量员、专职安全员、专职环保管理员等，招标人应根据工程实际在本表中列明有关人员、数量及资格要求，本表不作为资格审查条件，投标人无需提供上述人员名单和详细资料，也无需在投标文件中提交本表格；但投标人必须承诺中标后应按本表最低要求的数量和资格投入人员。</w:t>
      </w:r>
    </w:p>
    <w:p>
      <w:pPr>
        <w:spacing w:line="360" w:lineRule="auto"/>
        <w:ind w:firstLine="420" w:firstLineChars="200"/>
        <w:rPr>
          <w:color w:val="auto"/>
          <w:szCs w:val="21"/>
          <w:highlight w:val="none"/>
        </w:r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招标人将在合同签订前要求中标人按照本表的最低要求填报派驻本标段的其他主要管理人员和技术人员，在经招标人审批后作为派驻本标段的项目管理机构主要人员。若确需更换，应重新报招标人审批。</w:t>
      </w:r>
    </w:p>
    <w:p>
      <w:pPr>
        <w:spacing w:line="360" w:lineRule="auto"/>
        <w:ind w:firstLine="420" w:firstLineChars="200"/>
        <w:rPr>
          <w:color w:val="auto"/>
          <w:szCs w:val="21"/>
          <w:highlight w:val="none"/>
        </w:rPr>
      </w:pPr>
      <w:r>
        <w:rPr>
          <w:color w:val="auto"/>
          <w:szCs w:val="21"/>
          <w:highlight w:val="none"/>
        </w:rPr>
        <w:t>3</w:t>
      </w:r>
      <w:r>
        <w:rPr>
          <w:rFonts w:hint="eastAsia" w:ascii="宋体" w:hAnsi="宋体"/>
          <w:color w:val="auto"/>
          <w:szCs w:val="21"/>
          <w:highlight w:val="none"/>
        </w:rPr>
        <w:t>、</w:t>
      </w:r>
      <w:r>
        <w:rPr>
          <w:rFonts w:hint="eastAsia"/>
          <w:color w:val="auto"/>
          <w:szCs w:val="21"/>
          <w:highlight w:val="none"/>
        </w:rPr>
        <w:t>专职安全员须有安全生产培训考核合格证书（C证）。</w:t>
      </w:r>
    </w:p>
    <w:p>
      <w:pPr>
        <w:rPr>
          <w:rFonts w:ascii="宋体" w:hAnsi="宋体"/>
          <w:b/>
          <w:color w:val="auto"/>
          <w:szCs w:val="21"/>
          <w:highlight w:val="none"/>
        </w:rPr>
      </w:pPr>
      <w:r>
        <w:rPr>
          <w:rFonts w:ascii="宋体" w:hAnsi="宋体"/>
          <w:b/>
          <w:color w:val="auto"/>
          <w:szCs w:val="21"/>
          <w:highlight w:val="none"/>
        </w:rPr>
        <w:br w:type="page"/>
      </w:r>
    </w:p>
    <w:p>
      <w:pPr>
        <w:pStyle w:val="6"/>
        <w:jc w:val="center"/>
        <w:rPr>
          <w:rFonts w:hint="eastAsia" w:ascii="宋体" w:hAnsi="宋体"/>
          <w:color w:val="auto"/>
          <w:szCs w:val="21"/>
          <w:highlight w:val="none"/>
        </w:rPr>
      </w:pPr>
      <w:bookmarkStart w:id="82" w:name="_Toc463798999"/>
      <w:bookmarkStart w:id="83" w:name="_Toc31722"/>
      <w:bookmarkStart w:id="84" w:name="_Toc490832279"/>
      <w:bookmarkStart w:id="85" w:name="_Toc26028"/>
      <w:bookmarkStart w:id="86" w:name="_Toc382997654"/>
      <w:r>
        <w:rPr>
          <w:rFonts w:hint="eastAsia" w:ascii="宋体" w:hAnsi="宋体"/>
          <w:color w:val="auto"/>
          <w:sz w:val="36"/>
          <w:szCs w:val="21"/>
          <w:highlight w:val="none"/>
        </w:rPr>
        <w:t>投标人须知正文</w:t>
      </w:r>
      <w:bookmarkEnd w:id="82"/>
      <w:bookmarkEnd w:id="83"/>
      <w:bookmarkEnd w:id="84"/>
    </w:p>
    <w:p>
      <w:pPr>
        <w:pStyle w:val="6"/>
        <w:spacing w:before="0" w:after="0" w:line="360" w:lineRule="auto"/>
        <w:rPr>
          <w:rFonts w:hint="eastAsia" w:ascii="宋体" w:hAnsi="宋体"/>
          <w:color w:val="auto"/>
          <w:szCs w:val="21"/>
          <w:highlight w:val="none"/>
        </w:rPr>
      </w:pPr>
      <w:bookmarkStart w:id="87" w:name="_Toc383012985"/>
      <w:bookmarkStart w:id="88" w:name="_Toc419824996"/>
      <w:bookmarkStart w:id="89" w:name="_Toc419825345"/>
      <w:bookmarkStart w:id="90" w:name="_Toc419729345"/>
      <w:bookmarkStart w:id="91" w:name="_Toc419724278"/>
      <w:bookmarkStart w:id="92" w:name="_Toc382997932"/>
      <w:bookmarkStart w:id="93" w:name="_Toc490832280"/>
      <w:bookmarkStart w:id="94" w:name="_Toc383512679"/>
      <w:bookmarkStart w:id="95" w:name="_Toc463799000"/>
      <w:bookmarkStart w:id="96" w:name="_Toc32413"/>
      <w:bookmarkStart w:id="97" w:name="_Toc383006458"/>
      <w:r>
        <w:rPr>
          <w:rFonts w:hint="eastAsia" w:ascii="宋体" w:hAnsi="宋体"/>
          <w:color w:val="auto"/>
          <w:szCs w:val="21"/>
          <w:highlight w:val="none"/>
        </w:rPr>
        <w:t>1.总则</w:t>
      </w:r>
      <w:bookmarkEnd w:id="85"/>
      <w:bookmarkEnd w:id="86"/>
      <w:bookmarkEnd w:id="87"/>
      <w:bookmarkEnd w:id="88"/>
      <w:bookmarkEnd w:id="89"/>
      <w:bookmarkEnd w:id="90"/>
      <w:bookmarkEnd w:id="91"/>
      <w:bookmarkEnd w:id="92"/>
      <w:bookmarkEnd w:id="93"/>
      <w:bookmarkEnd w:id="94"/>
      <w:bookmarkEnd w:id="95"/>
      <w:bookmarkEnd w:id="96"/>
      <w:bookmarkEnd w:id="97"/>
    </w:p>
    <w:p>
      <w:pPr>
        <w:pStyle w:val="6"/>
        <w:spacing w:before="0" w:after="0" w:line="360" w:lineRule="auto"/>
        <w:rPr>
          <w:rFonts w:hint="eastAsia" w:ascii="宋体" w:hAnsi="宋体"/>
          <w:color w:val="auto"/>
          <w:sz w:val="24"/>
          <w:szCs w:val="21"/>
          <w:highlight w:val="none"/>
        </w:rPr>
      </w:pPr>
      <w:bookmarkStart w:id="98" w:name="_Toc488483464"/>
      <w:bookmarkStart w:id="99" w:name="_Toc3457"/>
      <w:bookmarkStart w:id="100" w:name="_Toc486685889"/>
      <w:bookmarkStart w:id="101" w:name="_Toc383006459"/>
      <w:bookmarkStart w:id="102" w:name="_Toc419824997"/>
      <w:bookmarkStart w:id="103" w:name="_Toc419729346"/>
      <w:bookmarkStart w:id="104" w:name="_Toc463799001"/>
      <w:bookmarkStart w:id="105" w:name="_Toc488492823"/>
      <w:bookmarkStart w:id="106" w:name="_Toc382997655"/>
      <w:bookmarkStart w:id="107" w:name="_Toc419825346"/>
      <w:bookmarkStart w:id="108" w:name="_Toc382997933"/>
      <w:bookmarkStart w:id="109" w:name="_Toc2561"/>
      <w:bookmarkStart w:id="110" w:name="_Toc383012986"/>
      <w:bookmarkStart w:id="111" w:name="_Toc419724279"/>
      <w:bookmarkStart w:id="112" w:name="_Toc490832281"/>
      <w:bookmarkStart w:id="113" w:name="_Toc487653170"/>
      <w:bookmarkStart w:id="114" w:name="_Toc488483592"/>
      <w:bookmarkStart w:id="115" w:name="_Toc383512680"/>
      <w:r>
        <w:rPr>
          <w:rFonts w:hint="eastAsia" w:ascii="宋体" w:hAnsi="宋体"/>
          <w:color w:val="auto"/>
          <w:sz w:val="24"/>
          <w:szCs w:val="21"/>
          <w:highlight w:val="none"/>
        </w:rPr>
        <w:t>1.1 项目概况</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根据《中华人民共和国招标投标法》、《中华人民共和国招标投标法实施条例》等有关法律、法规和规章的规定，本招标项目已具备招标条件，现对本标段施工进行招标。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  本招标项目招标人：</w:t>
      </w:r>
      <w:r>
        <w:rPr>
          <w:rFonts w:hint="eastAsia" w:ascii="宋体" w:hAnsi="宋体"/>
          <w:color w:val="auto"/>
          <w:szCs w:val="21"/>
          <w:highlight w:val="none"/>
          <w:u w:val="single"/>
        </w:rPr>
        <w:t xml:space="preserve">见投标人须知前附表。 </w:t>
      </w:r>
      <w:r>
        <w:rPr>
          <w:rFonts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  本招标项目招标代理机构：</w:t>
      </w:r>
      <w:r>
        <w:rPr>
          <w:rFonts w:hint="eastAsia" w:ascii="宋体" w:hAnsi="宋体"/>
          <w:color w:val="auto"/>
          <w:szCs w:val="21"/>
          <w:highlight w:val="none"/>
          <w:u w:val="single"/>
        </w:rPr>
        <w:t>见投标人须知前附表。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1.1.4  本招标项目名称：</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1.1.5  本招标项目建设地点：</w:t>
      </w:r>
      <w:r>
        <w:rPr>
          <w:rFonts w:hint="eastAsia" w:ascii="宋体" w:hAnsi="宋体"/>
          <w:color w:val="auto"/>
          <w:szCs w:val="21"/>
          <w:highlight w:val="none"/>
          <w:u w:val="single"/>
        </w:rPr>
        <w:t>见投标人须知前附表。</w:t>
      </w:r>
    </w:p>
    <w:p>
      <w:pPr>
        <w:pStyle w:val="6"/>
        <w:spacing w:before="0" w:after="0" w:line="360" w:lineRule="auto"/>
        <w:rPr>
          <w:rFonts w:ascii="宋体" w:hAnsi="宋体"/>
          <w:color w:val="auto"/>
          <w:sz w:val="28"/>
          <w:szCs w:val="28"/>
          <w:highlight w:val="none"/>
        </w:rPr>
      </w:pPr>
      <w:bookmarkStart w:id="116" w:name="_Toc488492824"/>
      <w:bookmarkStart w:id="117" w:name="_Toc383512681"/>
      <w:bookmarkStart w:id="118" w:name="_Toc382997934"/>
      <w:bookmarkStart w:id="119" w:name="_Toc8206"/>
      <w:bookmarkStart w:id="120" w:name="_Toc419729347"/>
      <w:bookmarkStart w:id="121" w:name="_Toc419824998"/>
      <w:bookmarkStart w:id="122" w:name="_Toc419825347"/>
      <w:bookmarkStart w:id="123" w:name="_Toc486685890"/>
      <w:bookmarkStart w:id="124" w:name="_Toc488483465"/>
      <w:bookmarkStart w:id="125" w:name="_Toc234382591"/>
      <w:bookmarkStart w:id="126" w:name="_Toc383006460"/>
      <w:bookmarkStart w:id="127" w:name="_Toc383012987"/>
      <w:bookmarkStart w:id="128" w:name="_Toc488483593"/>
      <w:bookmarkStart w:id="129" w:name="_Toc382997656"/>
      <w:bookmarkStart w:id="130" w:name="_Toc419724280"/>
      <w:bookmarkStart w:id="131" w:name="_Toc11764"/>
      <w:bookmarkStart w:id="132" w:name="_Toc490832282"/>
      <w:bookmarkStart w:id="133" w:name="_Toc463799002"/>
      <w:bookmarkStart w:id="134" w:name="_Toc487653171"/>
      <w:r>
        <w:rPr>
          <w:rFonts w:ascii="宋体" w:hAnsi="宋体"/>
          <w:color w:val="auto"/>
          <w:sz w:val="28"/>
          <w:szCs w:val="28"/>
          <w:highlight w:val="none"/>
        </w:rPr>
        <w:t>1.2 资金来源和落实情况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ind w:firstLine="420" w:firstLineChars="200"/>
        <w:rPr>
          <w:rFonts w:hint="eastAsia" w:ascii="宋体" w:hAnsi="宋体"/>
          <w:color w:val="auto"/>
          <w:szCs w:val="21"/>
          <w:highlight w:val="none"/>
        </w:rPr>
      </w:pPr>
      <w:bookmarkStart w:id="135" w:name="_Toc383512682"/>
      <w:bookmarkStart w:id="136" w:name="_Toc383006461"/>
      <w:bookmarkStart w:id="137" w:name="_Toc382997657"/>
      <w:bookmarkStart w:id="138" w:name="_Toc382997935"/>
      <w:bookmarkStart w:id="139" w:name="_Toc383012988"/>
      <w:bookmarkStart w:id="140" w:name="_Toc419724281"/>
      <w:bookmarkStart w:id="141" w:name="_Toc234382592"/>
      <w:bookmarkStart w:id="142" w:name="_Toc8949"/>
      <w:r>
        <w:rPr>
          <w:rFonts w:hint="eastAsia" w:ascii="宋体" w:hAnsi="宋体"/>
          <w:color w:val="auto"/>
          <w:szCs w:val="21"/>
          <w:highlight w:val="none"/>
        </w:rPr>
        <w:t>1.2.1  本招标项目的资金来源：</w:t>
      </w:r>
      <w:r>
        <w:rPr>
          <w:rFonts w:hint="eastAsia" w:ascii="宋体" w:hAnsi="宋体"/>
          <w:color w:val="auto"/>
          <w:szCs w:val="21"/>
          <w:highlight w:val="none"/>
          <w:u w:val="single"/>
        </w:rPr>
        <w:t>见投标人须知前附表。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本招标项目的出资比例：</w:t>
      </w:r>
      <w:r>
        <w:rPr>
          <w:rFonts w:hint="eastAsia" w:ascii="宋体" w:hAnsi="宋体"/>
          <w:color w:val="auto"/>
          <w:szCs w:val="21"/>
          <w:highlight w:val="none"/>
          <w:u w:val="single"/>
        </w:rPr>
        <w:t>见投标人须知前附表。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1.2.3  本招标项目的资金落实情况：</w:t>
      </w:r>
      <w:r>
        <w:rPr>
          <w:rFonts w:hint="eastAsia" w:ascii="宋体" w:hAnsi="宋体"/>
          <w:color w:val="auto"/>
          <w:szCs w:val="21"/>
          <w:highlight w:val="none"/>
          <w:u w:val="single"/>
        </w:rPr>
        <w:t>见投标人须知前附表。</w:t>
      </w:r>
    </w:p>
    <w:p>
      <w:pPr>
        <w:pStyle w:val="6"/>
        <w:spacing w:before="0" w:after="0" w:line="360" w:lineRule="auto"/>
        <w:rPr>
          <w:rFonts w:hint="eastAsia" w:ascii="宋体" w:hAnsi="宋体"/>
          <w:color w:val="auto"/>
          <w:sz w:val="28"/>
          <w:szCs w:val="28"/>
          <w:highlight w:val="none"/>
        </w:rPr>
      </w:pPr>
      <w:bookmarkStart w:id="143" w:name="_Toc419824999"/>
      <w:bookmarkStart w:id="144" w:name="_Toc419729348"/>
      <w:bookmarkStart w:id="145" w:name="_Toc419825348"/>
      <w:bookmarkStart w:id="146" w:name="_Toc7466"/>
      <w:bookmarkStart w:id="147" w:name="_Toc488483594"/>
      <w:bookmarkStart w:id="148" w:name="_Toc487653172"/>
      <w:bookmarkStart w:id="149" w:name="_Toc486685891"/>
      <w:bookmarkStart w:id="150" w:name="_Toc488492825"/>
      <w:bookmarkStart w:id="151" w:name="_Toc488483466"/>
      <w:bookmarkStart w:id="152" w:name="_Toc490832283"/>
      <w:bookmarkStart w:id="153" w:name="_Toc463799003"/>
      <w:r>
        <w:rPr>
          <w:rFonts w:ascii="宋体" w:hAnsi="宋体"/>
          <w:color w:val="auto"/>
          <w:sz w:val="28"/>
          <w:szCs w:val="28"/>
          <w:highlight w:val="none"/>
        </w:rPr>
        <w:t xml:space="preserve">1.3 </w:t>
      </w:r>
      <w:bookmarkEnd w:id="135"/>
      <w:bookmarkEnd w:id="136"/>
      <w:bookmarkEnd w:id="137"/>
      <w:bookmarkEnd w:id="138"/>
      <w:bookmarkEnd w:id="139"/>
      <w:bookmarkEnd w:id="140"/>
      <w:bookmarkEnd w:id="141"/>
      <w:bookmarkEnd w:id="142"/>
      <w:r>
        <w:rPr>
          <w:rFonts w:hint="eastAsia" w:ascii="宋体" w:hAnsi="宋体"/>
          <w:color w:val="auto"/>
          <w:sz w:val="28"/>
          <w:szCs w:val="28"/>
          <w:highlight w:val="none"/>
        </w:rPr>
        <w:t>招标范围、计划工期和质量要求</w:t>
      </w:r>
      <w:bookmarkEnd w:id="143"/>
      <w:bookmarkEnd w:id="144"/>
      <w:bookmarkEnd w:id="145"/>
      <w:bookmarkEnd w:id="146"/>
      <w:bookmarkEnd w:id="147"/>
      <w:bookmarkEnd w:id="148"/>
      <w:bookmarkEnd w:id="149"/>
      <w:bookmarkEnd w:id="150"/>
      <w:bookmarkEnd w:id="151"/>
      <w:bookmarkEnd w:id="152"/>
      <w:bookmarkEnd w:id="153"/>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  本次招标范围：</w:t>
      </w:r>
      <w:r>
        <w:rPr>
          <w:rFonts w:hint="eastAsia" w:ascii="宋体" w:hAnsi="宋体"/>
          <w:color w:val="auto"/>
          <w:szCs w:val="21"/>
          <w:highlight w:val="none"/>
          <w:u w:val="single"/>
        </w:rPr>
        <w:t>见投标人须知前附表。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本标段的计划工期：</w:t>
      </w:r>
      <w:r>
        <w:rPr>
          <w:rFonts w:hint="eastAsia" w:ascii="宋体" w:hAnsi="宋体"/>
          <w:color w:val="auto"/>
          <w:szCs w:val="21"/>
          <w:highlight w:val="none"/>
          <w:u w:val="single"/>
        </w:rPr>
        <w:t>见投标人须知前附表。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本标段的质量要求：满足施工图设计和规范要求，达到合格标准。</w:t>
      </w:r>
    </w:p>
    <w:p>
      <w:pPr>
        <w:pStyle w:val="6"/>
        <w:spacing w:before="0" w:after="0" w:line="360" w:lineRule="auto"/>
        <w:rPr>
          <w:rFonts w:ascii="宋体" w:hAnsi="宋体"/>
          <w:color w:val="auto"/>
          <w:sz w:val="28"/>
          <w:szCs w:val="28"/>
          <w:highlight w:val="none"/>
        </w:rPr>
      </w:pPr>
      <w:bookmarkStart w:id="154" w:name="_Toc28730"/>
      <w:bookmarkStart w:id="155" w:name="_Toc382997658"/>
      <w:bookmarkStart w:id="156" w:name="_Toc419825349"/>
      <w:bookmarkStart w:id="157" w:name="_Toc419729349"/>
      <w:bookmarkStart w:id="158" w:name="_Toc490832284"/>
      <w:bookmarkStart w:id="159" w:name="_Toc488483467"/>
      <w:bookmarkStart w:id="160" w:name="_Toc463799004"/>
      <w:bookmarkStart w:id="161" w:name="_Toc488492826"/>
      <w:bookmarkStart w:id="162" w:name="_Toc486685892"/>
      <w:bookmarkStart w:id="163" w:name="_Toc234382594"/>
      <w:bookmarkStart w:id="164" w:name="_Toc419724282"/>
      <w:bookmarkStart w:id="165" w:name="_Toc382997936"/>
      <w:bookmarkStart w:id="166" w:name="_Toc419825000"/>
      <w:bookmarkStart w:id="167" w:name="_Toc383512683"/>
      <w:bookmarkStart w:id="168" w:name="_Toc9811"/>
      <w:bookmarkStart w:id="169" w:name="_Toc383006462"/>
      <w:bookmarkStart w:id="170" w:name="_Toc487653173"/>
      <w:bookmarkStart w:id="171" w:name="_Toc383012989"/>
      <w:bookmarkStart w:id="172" w:name="_Toc488483595"/>
      <w:r>
        <w:rPr>
          <w:rFonts w:ascii="宋体" w:hAnsi="宋体"/>
          <w:color w:val="auto"/>
          <w:sz w:val="28"/>
          <w:szCs w:val="28"/>
          <w:highlight w:val="none"/>
        </w:rPr>
        <w:t>1.4 投标人资格要求</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投标人应具备承担本标段施工的资质条件、能力和信誉。</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（1）资质最低条件：见投标人须知前附表。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（2）财务最低要求：见投标人须知前附表。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（3）业绩最低要求：见投标人须知前附表。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（4）信誉最低要求：见投标人须知前附表。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（5）主要人员最低要求：见投标人须知前附表。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（6）其他最低要求：见投标人须知前附表。</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投标人须知前附表规定接受联合体投标的，除应符合本章第1.4.1 项的要求外，还应遵守以下规定：</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wordWrap/>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wordWrap/>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（5）尽管委任了联合体牵头人，但联合体各成员在投标、 签订合同与履行合同过程中，仍负有连带的和各自的法律责任。</w:t>
      </w:r>
    </w:p>
    <w:p>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联合体参与投标的，福建省交通建设市场信用考核评价等级按联合体牵头人的信用等级确定；厦门市建筑施工企业信用综合评价结果应当按照联合体中信用综合评价等级最低的企业确定联合体的信用综合评价等级（对于联合体为母公司与在厦控股子公司或关联公司情形另有规定的，从其规定）。</w:t>
      </w:r>
    </w:p>
    <w:p>
      <w:pPr>
        <w:wordWrap w:val="0"/>
        <w:spacing w:line="320" w:lineRule="exact"/>
        <w:ind w:firstLine="420" w:firstLineChars="200"/>
        <w:rPr>
          <w:rFonts w:hint="eastAsia"/>
          <w:color w:val="auto"/>
          <w:szCs w:val="21"/>
          <w:highlight w:val="none"/>
        </w:rPr>
      </w:pPr>
      <w:r>
        <w:rPr>
          <w:rFonts w:hint="eastAsia"/>
          <w:color w:val="auto"/>
          <w:szCs w:val="21"/>
          <w:highlight w:val="none"/>
        </w:rPr>
        <w:t xml:space="preserve">1.4.3 </w:t>
      </w:r>
      <w:r>
        <w:rPr>
          <w:color w:val="auto"/>
          <w:szCs w:val="21"/>
          <w:highlight w:val="none"/>
        </w:rPr>
        <w:t>投标人（包括联合体各成员）不得与本标段相关单位存在下列关联关系：</w:t>
      </w:r>
    </w:p>
    <w:p>
      <w:pPr>
        <w:wordWrap w:val="0"/>
        <w:spacing w:line="320" w:lineRule="exact"/>
        <w:ind w:firstLine="420" w:firstLineChars="200"/>
        <w:rPr>
          <w:rFonts w:hint="eastAsia"/>
          <w:color w:val="auto"/>
          <w:szCs w:val="21"/>
          <w:highlight w:val="none"/>
        </w:rPr>
      </w:pPr>
      <w:r>
        <w:rPr>
          <w:color w:val="auto"/>
          <w:szCs w:val="21"/>
          <w:highlight w:val="none"/>
        </w:rPr>
        <w:t xml:space="preserve">（1）为招标人不具有独立法人资格的附属机构（单位）； </w:t>
      </w:r>
    </w:p>
    <w:p>
      <w:pPr>
        <w:wordWrap w:val="0"/>
        <w:spacing w:line="320" w:lineRule="exact"/>
        <w:ind w:firstLine="420" w:firstLineChars="200"/>
        <w:rPr>
          <w:rFonts w:hint="eastAsia"/>
          <w:color w:val="auto"/>
          <w:szCs w:val="21"/>
          <w:highlight w:val="none"/>
        </w:rPr>
      </w:pPr>
      <w:r>
        <w:rPr>
          <w:color w:val="auto"/>
          <w:szCs w:val="21"/>
          <w:highlight w:val="none"/>
        </w:rPr>
        <w:t>（2）与招标人存在利害关系且可能影响招标公正性；</w:t>
      </w:r>
    </w:p>
    <w:p>
      <w:pPr>
        <w:wordWrap w:val="0"/>
        <w:spacing w:line="320" w:lineRule="exact"/>
        <w:ind w:firstLine="420" w:firstLineChars="200"/>
        <w:rPr>
          <w:rFonts w:hint="eastAsia"/>
          <w:color w:val="auto"/>
          <w:szCs w:val="21"/>
          <w:highlight w:val="none"/>
        </w:rPr>
      </w:pPr>
      <w:r>
        <w:rPr>
          <w:color w:val="auto"/>
          <w:szCs w:val="21"/>
          <w:highlight w:val="none"/>
        </w:rPr>
        <w:t>（3）与本标段的其他投标人同为一个单位负责人；</w:t>
      </w:r>
    </w:p>
    <w:p>
      <w:pPr>
        <w:wordWrap w:val="0"/>
        <w:spacing w:line="320" w:lineRule="exact"/>
        <w:ind w:firstLine="420" w:firstLineChars="200"/>
        <w:rPr>
          <w:rFonts w:hint="eastAsia"/>
          <w:color w:val="auto"/>
          <w:szCs w:val="21"/>
          <w:highlight w:val="none"/>
        </w:rPr>
      </w:pPr>
      <w:r>
        <w:rPr>
          <w:color w:val="auto"/>
          <w:szCs w:val="21"/>
          <w:highlight w:val="none"/>
        </w:rPr>
        <w:t>（4）与本标段的其他投标人存在控股、管理关系；</w:t>
      </w:r>
    </w:p>
    <w:p>
      <w:pPr>
        <w:wordWrap w:val="0"/>
        <w:spacing w:line="320" w:lineRule="exact"/>
        <w:ind w:firstLine="420" w:firstLineChars="200"/>
        <w:rPr>
          <w:rFonts w:hint="eastAsia"/>
          <w:color w:val="auto"/>
          <w:szCs w:val="21"/>
          <w:highlight w:val="none"/>
        </w:rPr>
      </w:pPr>
      <w:r>
        <w:rPr>
          <w:color w:val="auto"/>
          <w:szCs w:val="21"/>
          <w:highlight w:val="none"/>
        </w:rPr>
        <w:t>（5）为本标段前期准备提供设计或咨询服务的法人或其任何附属机构（单位）；</w:t>
      </w:r>
    </w:p>
    <w:p>
      <w:pPr>
        <w:wordWrap w:val="0"/>
        <w:spacing w:line="320" w:lineRule="exact"/>
        <w:ind w:firstLine="420" w:firstLineChars="200"/>
        <w:rPr>
          <w:rFonts w:hint="eastAsia"/>
          <w:color w:val="auto"/>
          <w:szCs w:val="21"/>
          <w:highlight w:val="none"/>
        </w:rPr>
      </w:pPr>
      <w:r>
        <w:rPr>
          <w:color w:val="auto"/>
          <w:szCs w:val="21"/>
          <w:highlight w:val="none"/>
        </w:rPr>
        <w:t>（6）为本标段的监理人；</w:t>
      </w:r>
    </w:p>
    <w:p>
      <w:pPr>
        <w:wordWrap w:val="0"/>
        <w:spacing w:line="320" w:lineRule="exact"/>
        <w:ind w:firstLine="420" w:firstLineChars="200"/>
        <w:rPr>
          <w:rFonts w:hint="eastAsia"/>
          <w:color w:val="auto"/>
          <w:szCs w:val="21"/>
          <w:highlight w:val="none"/>
        </w:rPr>
      </w:pPr>
      <w:r>
        <w:rPr>
          <w:color w:val="auto"/>
          <w:szCs w:val="21"/>
          <w:highlight w:val="none"/>
        </w:rPr>
        <w:t>（7）为本标段的代建人；</w:t>
      </w:r>
    </w:p>
    <w:p>
      <w:pPr>
        <w:wordWrap w:val="0"/>
        <w:spacing w:line="320" w:lineRule="exact"/>
        <w:ind w:firstLine="420" w:firstLineChars="200"/>
        <w:rPr>
          <w:color w:val="auto"/>
          <w:szCs w:val="21"/>
          <w:highlight w:val="none"/>
        </w:rPr>
      </w:pPr>
      <w:r>
        <w:rPr>
          <w:color w:val="auto"/>
          <w:szCs w:val="21"/>
          <w:highlight w:val="none"/>
        </w:rPr>
        <w:t>（8）为本标段的招标代理机构；</w:t>
      </w:r>
    </w:p>
    <w:p>
      <w:pPr>
        <w:wordWrap w:val="0"/>
        <w:spacing w:line="320" w:lineRule="exact"/>
        <w:ind w:firstLine="420" w:firstLineChars="200"/>
        <w:rPr>
          <w:rFonts w:hint="eastAsia"/>
          <w:color w:val="auto"/>
          <w:szCs w:val="21"/>
          <w:highlight w:val="none"/>
        </w:rPr>
      </w:pPr>
      <w:r>
        <w:rPr>
          <w:color w:val="auto"/>
          <w:szCs w:val="21"/>
          <w:highlight w:val="none"/>
        </w:rPr>
        <w:t>（9）与本标段的监理人或代建人或招标代理机构</w:t>
      </w:r>
      <w:r>
        <w:rPr>
          <w:rFonts w:hint="eastAsia"/>
          <w:color w:val="auto"/>
          <w:szCs w:val="21"/>
          <w:highlight w:val="none"/>
        </w:rPr>
        <w:t>或发布本公告的交易系统开发单位</w:t>
      </w:r>
      <w:r>
        <w:rPr>
          <w:color w:val="auto"/>
          <w:szCs w:val="21"/>
          <w:highlight w:val="none"/>
        </w:rPr>
        <w:t>同为一个法定代表人；</w:t>
      </w:r>
    </w:p>
    <w:p>
      <w:pPr>
        <w:wordWrap w:val="0"/>
        <w:spacing w:line="320" w:lineRule="exact"/>
        <w:ind w:firstLine="420" w:firstLineChars="200"/>
        <w:rPr>
          <w:rFonts w:hint="eastAsia"/>
          <w:color w:val="auto"/>
          <w:szCs w:val="21"/>
          <w:highlight w:val="none"/>
        </w:rPr>
      </w:pPr>
      <w:r>
        <w:rPr>
          <w:color w:val="auto"/>
          <w:szCs w:val="21"/>
          <w:highlight w:val="none"/>
        </w:rPr>
        <w:t>（10）与本标段的监理人或代建人或招标代理机构</w:t>
      </w:r>
      <w:r>
        <w:rPr>
          <w:rFonts w:hint="eastAsia"/>
          <w:color w:val="auto"/>
          <w:szCs w:val="21"/>
          <w:highlight w:val="none"/>
        </w:rPr>
        <w:t>或发布本公告的交易系统开发单位</w:t>
      </w:r>
      <w:r>
        <w:rPr>
          <w:color w:val="auto"/>
          <w:szCs w:val="21"/>
          <w:highlight w:val="none"/>
        </w:rPr>
        <w:t>存在控股或参股关系；</w:t>
      </w:r>
    </w:p>
    <w:p>
      <w:pPr>
        <w:wordWrap w:val="0"/>
        <w:spacing w:line="320" w:lineRule="exact"/>
        <w:ind w:firstLine="420" w:firstLineChars="200"/>
        <w:rPr>
          <w:color w:val="auto"/>
          <w:szCs w:val="21"/>
          <w:highlight w:val="none"/>
        </w:rPr>
      </w:pPr>
      <w:r>
        <w:rPr>
          <w:color w:val="auto"/>
          <w:szCs w:val="21"/>
          <w:highlight w:val="none"/>
        </w:rPr>
        <w:t>（11）法律法规或投标人须知前附表规定的其他情形。</w:t>
      </w:r>
    </w:p>
    <w:p>
      <w:pPr>
        <w:wordWrap w:val="0"/>
        <w:spacing w:line="320" w:lineRule="exact"/>
        <w:ind w:firstLine="420" w:firstLineChars="200"/>
        <w:rPr>
          <w:rFonts w:hint="eastAsia"/>
          <w:color w:val="auto"/>
          <w:szCs w:val="21"/>
          <w:highlight w:val="none"/>
        </w:rPr>
      </w:pPr>
      <w:r>
        <w:rPr>
          <w:rFonts w:hint="eastAsia"/>
          <w:color w:val="auto"/>
          <w:szCs w:val="21"/>
          <w:highlight w:val="none"/>
        </w:rPr>
        <w:t xml:space="preserve">1.4.4  </w:t>
      </w:r>
      <w:r>
        <w:rPr>
          <w:color w:val="auto"/>
          <w:szCs w:val="21"/>
          <w:highlight w:val="none"/>
        </w:rPr>
        <w:t>投标人（包括联合体各成员）不得存在下列不良状况或不良信用记录：</w:t>
      </w:r>
    </w:p>
    <w:p>
      <w:pPr>
        <w:wordWrap w:val="0"/>
        <w:spacing w:line="320" w:lineRule="exact"/>
        <w:ind w:firstLine="420" w:firstLineChars="200"/>
        <w:rPr>
          <w:color w:val="auto"/>
          <w:szCs w:val="21"/>
          <w:highlight w:val="none"/>
        </w:rPr>
      </w:pPr>
      <w:r>
        <w:rPr>
          <w:color w:val="auto"/>
          <w:szCs w:val="21"/>
          <w:highlight w:val="none"/>
        </w:rPr>
        <w:t>（1）</w:t>
      </w:r>
      <w:r>
        <w:rPr>
          <w:rFonts w:hint="eastAsia"/>
          <w:color w:val="auto"/>
          <w:szCs w:val="21"/>
          <w:highlight w:val="none"/>
        </w:rPr>
        <w:t>被交通运输部或福建省交通运输厅取消招标项目所在地的投标资格且处于有效期内</w:t>
      </w:r>
      <w:r>
        <w:rPr>
          <w:color w:val="auto"/>
          <w:szCs w:val="21"/>
          <w:highlight w:val="none"/>
        </w:rPr>
        <w:t>；</w:t>
      </w:r>
    </w:p>
    <w:p>
      <w:pPr>
        <w:wordWrap w:val="0"/>
        <w:spacing w:line="320" w:lineRule="exact"/>
        <w:ind w:firstLine="420" w:firstLineChars="200"/>
        <w:rPr>
          <w:color w:val="auto"/>
          <w:szCs w:val="21"/>
          <w:highlight w:val="none"/>
        </w:rPr>
      </w:pPr>
      <w:r>
        <w:rPr>
          <w:color w:val="auto"/>
          <w:szCs w:val="21"/>
          <w:highlight w:val="none"/>
        </w:rPr>
        <w:t>（2）被责令停业，暂扣或吊销执照，或吊销资质证书；</w:t>
      </w:r>
    </w:p>
    <w:p>
      <w:pPr>
        <w:wordWrap w:val="0"/>
        <w:spacing w:line="320" w:lineRule="exact"/>
        <w:ind w:firstLine="420" w:firstLineChars="200"/>
        <w:rPr>
          <w:color w:val="auto"/>
          <w:szCs w:val="21"/>
          <w:highlight w:val="none"/>
        </w:rPr>
      </w:pPr>
      <w:r>
        <w:rPr>
          <w:color w:val="auto"/>
          <w:szCs w:val="21"/>
          <w:highlight w:val="none"/>
        </w:rPr>
        <w:t>（3）进入清算程序，或被宣告破产，或其他丧失履约能力的情形；</w:t>
      </w:r>
    </w:p>
    <w:p>
      <w:pPr>
        <w:wordWrap w:val="0"/>
        <w:spacing w:line="320" w:lineRule="exact"/>
        <w:ind w:firstLine="420" w:firstLineChars="200"/>
        <w:rPr>
          <w:color w:val="auto"/>
          <w:szCs w:val="21"/>
          <w:highlight w:val="none"/>
        </w:rPr>
      </w:pPr>
      <w:r>
        <w:rPr>
          <w:color w:val="auto"/>
          <w:szCs w:val="21"/>
          <w:highlight w:val="none"/>
        </w:rPr>
        <w:t>（4）在国家企业信用信息公示系统（http://www.gsxt.gov.cn/）中被列入严重违法失信企业名单；</w:t>
      </w:r>
    </w:p>
    <w:p>
      <w:pPr>
        <w:wordWrap w:val="0"/>
        <w:spacing w:line="320" w:lineRule="exact"/>
        <w:ind w:firstLine="420" w:firstLineChars="200"/>
        <w:rPr>
          <w:color w:val="auto"/>
          <w:szCs w:val="21"/>
          <w:highlight w:val="none"/>
        </w:rPr>
      </w:pPr>
      <w:r>
        <w:rPr>
          <w:color w:val="auto"/>
          <w:szCs w:val="21"/>
          <w:highlight w:val="none"/>
        </w:rPr>
        <w:t>（5）在</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szCs w:val="21"/>
          <w:highlight w:val="none"/>
        </w:rPr>
        <w:t>网站（http://www.creditchina.gov.cn/）</w:t>
      </w:r>
      <w:r>
        <w:rPr>
          <w:rFonts w:hint="eastAsia"/>
          <w:color w:val="auto"/>
          <w:szCs w:val="21"/>
          <w:highlight w:val="none"/>
        </w:rPr>
        <w:t>或“中国执行信息公开网”网站（http://zxgk.court.gov.cn/shixin/）</w:t>
      </w:r>
      <w:r>
        <w:rPr>
          <w:color w:val="auto"/>
          <w:szCs w:val="21"/>
          <w:highlight w:val="none"/>
        </w:rPr>
        <w:t>中被列入失信被执行人名单；</w:t>
      </w:r>
    </w:p>
    <w:p>
      <w:pPr>
        <w:wordWrap w:val="0"/>
        <w:spacing w:line="320" w:lineRule="exact"/>
        <w:ind w:firstLine="420" w:firstLineChars="200"/>
        <w:rPr>
          <w:color w:val="auto"/>
          <w:szCs w:val="21"/>
          <w:highlight w:val="none"/>
        </w:rPr>
      </w:pPr>
      <w:r>
        <w:rPr>
          <w:color w:val="auto"/>
          <w:szCs w:val="21"/>
          <w:highlight w:val="none"/>
        </w:rPr>
        <w:t>（6）投标人或其法定代表人、拟委任的项目经理在近三年内有行贿犯罪行为的；</w:t>
      </w:r>
    </w:p>
    <w:p>
      <w:pPr>
        <w:wordWrap w:val="0"/>
        <w:spacing w:line="320" w:lineRule="exact"/>
        <w:ind w:firstLine="420" w:firstLineChars="200"/>
        <w:rPr>
          <w:rFonts w:hint="eastAsia"/>
          <w:color w:val="auto"/>
          <w:szCs w:val="21"/>
          <w:highlight w:val="none"/>
        </w:rPr>
      </w:pPr>
      <w:r>
        <w:rPr>
          <w:color w:val="auto"/>
          <w:szCs w:val="21"/>
          <w:highlight w:val="none"/>
        </w:rPr>
        <w:t>（7）法律法规或投标人须知前附表规定的其他情形。</w:t>
      </w:r>
    </w:p>
    <w:p>
      <w:pPr>
        <w:spacing w:line="360" w:lineRule="auto"/>
        <w:ind w:firstLine="420" w:firstLineChars="200"/>
        <w:rPr>
          <w:rFonts w:hint="eastAsia" w:ascii="宋体" w:hAnsi="宋体"/>
          <w:color w:val="auto"/>
          <w:szCs w:val="21"/>
          <w:highlight w:val="none"/>
        </w:rPr>
      </w:pPr>
    </w:p>
    <w:p>
      <w:pPr>
        <w:pStyle w:val="6"/>
        <w:spacing w:before="0" w:after="0" w:line="360" w:lineRule="auto"/>
        <w:rPr>
          <w:rFonts w:hint="eastAsia" w:ascii="宋体" w:hAnsi="宋体"/>
          <w:color w:val="auto"/>
          <w:sz w:val="28"/>
          <w:szCs w:val="28"/>
          <w:highlight w:val="none"/>
        </w:rPr>
      </w:pPr>
      <w:bookmarkStart w:id="173" w:name="_Toc383006463"/>
      <w:bookmarkStart w:id="174" w:name="_Toc419825350"/>
      <w:bookmarkStart w:id="175" w:name="_Toc419724283"/>
      <w:bookmarkStart w:id="176" w:name="_Toc234382595"/>
      <w:bookmarkStart w:id="177" w:name="_Toc490832285"/>
      <w:bookmarkStart w:id="178" w:name="_Toc488492827"/>
      <w:bookmarkStart w:id="179" w:name="_Toc486685893"/>
      <w:bookmarkStart w:id="180" w:name="_Toc382997659"/>
      <w:bookmarkStart w:id="181" w:name="_Toc383012990"/>
      <w:bookmarkStart w:id="182" w:name="_Toc487653174"/>
      <w:bookmarkStart w:id="183" w:name="_Toc16208"/>
      <w:bookmarkStart w:id="184" w:name="_Toc419825001"/>
      <w:bookmarkStart w:id="185" w:name="_Toc1226"/>
      <w:bookmarkStart w:id="186" w:name="_Toc463799005"/>
      <w:bookmarkStart w:id="187" w:name="_Toc419729350"/>
      <w:bookmarkStart w:id="188" w:name="_Toc382997937"/>
      <w:bookmarkStart w:id="189" w:name="_Toc488483596"/>
      <w:bookmarkStart w:id="190" w:name="_Toc488483468"/>
      <w:bookmarkStart w:id="191" w:name="_Toc383512684"/>
      <w:r>
        <w:rPr>
          <w:rFonts w:ascii="宋体" w:hAnsi="宋体"/>
          <w:color w:val="auto"/>
          <w:sz w:val="28"/>
          <w:szCs w:val="28"/>
          <w:highlight w:val="none"/>
        </w:rPr>
        <w:t xml:space="preserve">1.5 </w:t>
      </w:r>
      <w:r>
        <w:rPr>
          <w:rFonts w:hint="eastAsia" w:ascii="宋体" w:hAnsi="宋体"/>
          <w:color w:val="auto"/>
          <w:sz w:val="28"/>
          <w:szCs w:val="28"/>
          <w:highlight w:val="none"/>
        </w:rPr>
        <w:t>投标人</w:t>
      </w:r>
      <w:r>
        <w:rPr>
          <w:rFonts w:ascii="宋体" w:hAnsi="宋体"/>
          <w:color w:val="auto"/>
          <w:sz w:val="28"/>
          <w:szCs w:val="28"/>
          <w:highlight w:val="none"/>
        </w:rPr>
        <w:t>费用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color w:val="auto"/>
          <w:sz w:val="28"/>
          <w:szCs w:val="28"/>
          <w:highlight w:val="non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投标人准备和参加投标活动发生的费用自理。</w:t>
      </w:r>
    </w:p>
    <w:p>
      <w:pPr>
        <w:pStyle w:val="6"/>
        <w:spacing w:before="0" w:after="0" w:line="360" w:lineRule="auto"/>
        <w:rPr>
          <w:rFonts w:ascii="宋体" w:hAnsi="宋体"/>
          <w:color w:val="auto"/>
          <w:sz w:val="28"/>
          <w:szCs w:val="28"/>
          <w:highlight w:val="none"/>
        </w:rPr>
      </w:pPr>
      <w:bookmarkStart w:id="192" w:name="_Toc382997660"/>
      <w:bookmarkStart w:id="193" w:name="_Toc419729351"/>
      <w:bookmarkStart w:id="194" w:name="_Toc487653175"/>
      <w:bookmarkStart w:id="195" w:name="_Toc463799006"/>
      <w:bookmarkStart w:id="196" w:name="_Toc382997938"/>
      <w:bookmarkStart w:id="197" w:name="_Toc16550"/>
      <w:bookmarkStart w:id="198" w:name="_Toc234382596"/>
      <w:bookmarkStart w:id="199" w:name="_Toc383512685"/>
      <w:bookmarkStart w:id="200" w:name="_Toc383006464"/>
      <w:bookmarkStart w:id="201" w:name="_Toc383012991"/>
      <w:bookmarkStart w:id="202" w:name="_Toc419825351"/>
      <w:bookmarkStart w:id="203" w:name="_Toc488492828"/>
      <w:bookmarkStart w:id="204" w:name="_Toc17130"/>
      <w:bookmarkStart w:id="205" w:name="_Toc419825002"/>
      <w:bookmarkStart w:id="206" w:name="_Toc488483597"/>
      <w:bookmarkStart w:id="207" w:name="_Toc488483469"/>
      <w:bookmarkStart w:id="208" w:name="_Toc486685894"/>
      <w:bookmarkStart w:id="209" w:name="_Toc419724284"/>
      <w:bookmarkStart w:id="210" w:name="_Toc490832286"/>
      <w:r>
        <w:rPr>
          <w:rFonts w:ascii="宋体" w:hAnsi="宋体"/>
          <w:color w:val="auto"/>
          <w:sz w:val="28"/>
          <w:szCs w:val="28"/>
          <w:highlight w:val="none"/>
        </w:rPr>
        <w:t>1.6 保密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参与招标投标活动的各方应对招标文件和投标文件中的商业和技术等秘密保密</w:t>
      </w:r>
      <w:r>
        <w:rPr>
          <w:rFonts w:hint="eastAsia" w:ascii="宋体" w:hAnsi="宋体"/>
          <w:color w:val="auto"/>
          <w:szCs w:val="21"/>
          <w:highlight w:val="none"/>
        </w:rPr>
        <w:t>,</w:t>
      </w:r>
      <w:r>
        <w:rPr>
          <w:rFonts w:ascii="宋体" w:hAnsi="宋体"/>
          <w:color w:val="auto"/>
          <w:szCs w:val="21"/>
          <w:highlight w:val="none"/>
        </w:rPr>
        <w:t>违者应对由此造成的后果承担法律责任。</w:t>
      </w:r>
    </w:p>
    <w:p>
      <w:pPr>
        <w:pStyle w:val="6"/>
        <w:spacing w:before="0" w:after="0" w:line="360" w:lineRule="auto"/>
        <w:rPr>
          <w:rFonts w:ascii="宋体" w:hAnsi="宋体"/>
          <w:color w:val="auto"/>
          <w:sz w:val="28"/>
          <w:szCs w:val="28"/>
          <w:highlight w:val="none"/>
        </w:rPr>
      </w:pPr>
      <w:bookmarkStart w:id="211" w:name="_Toc463799007"/>
      <w:bookmarkStart w:id="212" w:name="_Toc382997939"/>
      <w:bookmarkStart w:id="213" w:name="_Toc488483470"/>
      <w:bookmarkStart w:id="214" w:name="_Toc490832287"/>
      <w:bookmarkStart w:id="215" w:name="_Toc234382597"/>
      <w:bookmarkStart w:id="216" w:name="_Toc419729352"/>
      <w:bookmarkStart w:id="217" w:name="_Toc486685895"/>
      <w:bookmarkStart w:id="218" w:name="_Toc419825003"/>
      <w:bookmarkStart w:id="219" w:name="_Toc383012992"/>
      <w:bookmarkStart w:id="220" w:name="_Toc488492829"/>
      <w:bookmarkStart w:id="221" w:name="_Toc419825352"/>
      <w:bookmarkStart w:id="222" w:name="_Toc383512686"/>
      <w:bookmarkStart w:id="223" w:name="_Toc383006465"/>
      <w:bookmarkStart w:id="224" w:name="_Toc382997661"/>
      <w:bookmarkStart w:id="225" w:name="_Toc419724285"/>
      <w:bookmarkStart w:id="226" w:name="_Toc487653176"/>
      <w:bookmarkStart w:id="227" w:name="_Toc18554"/>
      <w:bookmarkStart w:id="228" w:name="_Toc5243"/>
      <w:bookmarkStart w:id="229" w:name="_Toc488483598"/>
      <w:r>
        <w:rPr>
          <w:rFonts w:ascii="宋体" w:hAnsi="宋体"/>
          <w:color w:val="auto"/>
          <w:sz w:val="28"/>
          <w:szCs w:val="28"/>
          <w:highlight w:val="none"/>
        </w:rPr>
        <w:t>1.7 语言文字</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360" w:lineRule="auto"/>
        <w:ind w:firstLine="420" w:firstLineChars="200"/>
        <w:rPr>
          <w:rFonts w:ascii="宋体" w:hAnsi="宋体"/>
          <w:color w:val="auto"/>
          <w:szCs w:val="21"/>
          <w:highlight w:val="none"/>
        </w:rPr>
      </w:pPr>
      <w:r>
        <w:rPr>
          <w:rFonts w:ascii="宋体" w:hAnsi="宋体"/>
          <w:color w:val="auto"/>
          <w:szCs w:val="21"/>
          <w:highlight w:val="none"/>
        </w:rPr>
        <w:t>除专用术语外</w:t>
      </w:r>
      <w:r>
        <w:rPr>
          <w:rFonts w:hint="eastAsia" w:ascii="宋体" w:hAnsi="宋体"/>
          <w:color w:val="auto"/>
          <w:szCs w:val="21"/>
          <w:highlight w:val="none"/>
        </w:rPr>
        <w:t>,</w:t>
      </w:r>
      <w:r>
        <w:rPr>
          <w:rFonts w:ascii="宋体" w:hAnsi="宋体"/>
          <w:color w:val="auto"/>
          <w:szCs w:val="21"/>
          <w:highlight w:val="none"/>
        </w:rPr>
        <w:t>与招标投标有关的语言均使用中文。必要时专用术语应附有中文注释。</w:t>
      </w:r>
    </w:p>
    <w:p>
      <w:pPr>
        <w:pStyle w:val="6"/>
        <w:spacing w:before="0" w:after="0" w:line="360" w:lineRule="auto"/>
        <w:rPr>
          <w:rFonts w:ascii="宋体" w:hAnsi="宋体"/>
          <w:color w:val="auto"/>
          <w:sz w:val="28"/>
          <w:szCs w:val="28"/>
          <w:highlight w:val="none"/>
        </w:rPr>
      </w:pPr>
      <w:bookmarkStart w:id="230" w:name="_Toc383006466"/>
      <w:bookmarkStart w:id="231" w:name="_Toc419729353"/>
      <w:bookmarkStart w:id="232" w:name="_Toc488492830"/>
      <w:bookmarkStart w:id="233" w:name="_Toc488483599"/>
      <w:bookmarkStart w:id="234" w:name="_Toc383512687"/>
      <w:bookmarkStart w:id="235" w:name="_Toc488483471"/>
      <w:bookmarkStart w:id="236" w:name="_Toc7654"/>
      <w:bookmarkStart w:id="237" w:name="_Toc419825353"/>
      <w:bookmarkStart w:id="238" w:name="_Toc6954"/>
      <w:bookmarkStart w:id="239" w:name="_Toc419724286"/>
      <w:bookmarkStart w:id="240" w:name="_Toc490832288"/>
      <w:bookmarkStart w:id="241" w:name="_Toc463799008"/>
      <w:bookmarkStart w:id="242" w:name="_Toc383012993"/>
      <w:bookmarkStart w:id="243" w:name="_Toc486685896"/>
      <w:bookmarkStart w:id="244" w:name="_Toc234382598"/>
      <w:bookmarkStart w:id="245" w:name="_Toc382997662"/>
      <w:bookmarkStart w:id="246" w:name="_Toc382997940"/>
      <w:bookmarkStart w:id="247" w:name="_Toc419825004"/>
      <w:bookmarkStart w:id="248" w:name="_Toc487653177"/>
      <w:r>
        <w:rPr>
          <w:rFonts w:ascii="宋体" w:hAnsi="宋体"/>
          <w:color w:val="auto"/>
          <w:sz w:val="28"/>
          <w:szCs w:val="28"/>
          <w:highlight w:val="none"/>
        </w:rPr>
        <w:t>1.8 计量单位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所有计量均采用中华人民共和国法定计量单位。</w:t>
      </w:r>
    </w:p>
    <w:p>
      <w:pPr>
        <w:pStyle w:val="6"/>
        <w:spacing w:before="0" w:after="0" w:line="360" w:lineRule="auto"/>
        <w:rPr>
          <w:rFonts w:ascii="宋体" w:hAnsi="宋体"/>
          <w:color w:val="auto"/>
          <w:sz w:val="28"/>
          <w:szCs w:val="28"/>
          <w:highlight w:val="none"/>
        </w:rPr>
      </w:pPr>
      <w:bookmarkStart w:id="249" w:name="_Toc486685897"/>
      <w:bookmarkStart w:id="250" w:name="_Toc26045"/>
      <w:bookmarkStart w:id="251" w:name="_Toc490832289"/>
      <w:bookmarkStart w:id="252" w:name="_Toc382997663"/>
      <w:bookmarkStart w:id="253" w:name="_Toc383006467"/>
      <w:bookmarkStart w:id="254" w:name="_Toc419729354"/>
      <w:bookmarkStart w:id="255" w:name="_Toc419825354"/>
      <w:bookmarkStart w:id="256" w:name="_Toc419825005"/>
      <w:bookmarkStart w:id="257" w:name="_Toc488492831"/>
      <w:bookmarkStart w:id="258" w:name="_Toc234382599"/>
      <w:bookmarkStart w:id="259" w:name="_Toc488483472"/>
      <w:bookmarkStart w:id="260" w:name="_Toc383512688"/>
      <w:bookmarkStart w:id="261" w:name="_Toc463799009"/>
      <w:bookmarkStart w:id="262" w:name="_Toc383012994"/>
      <w:bookmarkStart w:id="263" w:name="_Toc487653178"/>
      <w:bookmarkStart w:id="264" w:name="_Toc30532"/>
      <w:bookmarkStart w:id="265" w:name="_Toc488483600"/>
      <w:bookmarkStart w:id="266" w:name="_Toc382997941"/>
      <w:bookmarkStart w:id="267" w:name="_Toc419724287"/>
      <w:r>
        <w:rPr>
          <w:rFonts w:ascii="宋体" w:hAnsi="宋体"/>
          <w:color w:val="auto"/>
          <w:sz w:val="28"/>
          <w:szCs w:val="28"/>
          <w:highlight w:val="none"/>
        </w:rPr>
        <w:t>1.9 踏勘现场</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wordWrap w:val="0"/>
        <w:spacing w:line="360" w:lineRule="exact"/>
        <w:ind w:firstLine="420" w:firstLineChars="200"/>
        <w:rPr>
          <w:color w:val="auto"/>
          <w:szCs w:val="21"/>
          <w:highlight w:val="none"/>
        </w:rPr>
      </w:pPr>
      <w:r>
        <w:rPr>
          <w:color w:val="auto"/>
          <w:szCs w:val="21"/>
          <w:highlight w:val="none"/>
        </w:rPr>
        <w:t>1.9.1</w:t>
      </w:r>
      <w:r>
        <w:rPr>
          <w:rFonts w:hint="eastAsia"/>
          <w:color w:val="auto"/>
          <w:szCs w:val="21"/>
          <w:highlight w:val="none"/>
        </w:rPr>
        <w:t xml:space="preserve"> 本次招标</w:t>
      </w:r>
      <w:r>
        <w:rPr>
          <w:rFonts w:hint="eastAsia"/>
          <w:color w:val="auto"/>
          <w:szCs w:val="21"/>
          <w:highlight w:val="none"/>
          <w:u w:val="single"/>
        </w:rPr>
        <w:t>不组织</w:t>
      </w:r>
      <w:r>
        <w:rPr>
          <w:rFonts w:hint="eastAsia"/>
          <w:color w:val="auto"/>
          <w:szCs w:val="21"/>
          <w:highlight w:val="none"/>
        </w:rPr>
        <w:t>踏勘现场。</w:t>
      </w:r>
      <w:r>
        <w:rPr>
          <w:color w:val="auto"/>
          <w:szCs w:val="21"/>
          <w:highlight w:val="none"/>
        </w:rPr>
        <w:t xml:space="preserve"> </w:t>
      </w:r>
    </w:p>
    <w:p>
      <w:pPr>
        <w:wordWrap w:val="0"/>
        <w:spacing w:line="360" w:lineRule="exact"/>
        <w:ind w:firstLine="420" w:firstLineChars="200"/>
        <w:rPr>
          <w:color w:val="auto"/>
          <w:szCs w:val="21"/>
          <w:highlight w:val="none"/>
        </w:rPr>
      </w:pPr>
      <w:r>
        <w:rPr>
          <w:color w:val="auto"/>
          <w:szCs w:val="21"/>
          <w:highlight w:val="none"/>
        </w:rPr>
        <w:t xml:space="preserve">1.9.2 </w:t>
      </w:r>
      <w:r>
        <w:rPr>
          <w:rFonts w:hint="eastAsia"/>
          <w:color w:val="auto"/>
          <w:szCs w:val="21"/>
          <w:highlight w:val="none"/>
        </w:rPr>
        <w:t>投标人可自行踏勘现场，所发生的费用自理。</w:t>
      </w:r>
    </w:p>
    <w:p>
      <w:pPr>
        <w:wordWrap w:val="0"/>
        <w:spacing w:line="360" w:lineRule="exact"/>
        <w:ind w:firstLine="420" w:firstLineChars="200"/>
        <w:rPr>
          <w:color w:val="auto"/>
          <w:szCs w:val="21"/>
          <w:highlight w:val="none"/>
        </w:rPr>
      </w:pPr>
      <w:r>
        <w:rPr>
          <w:color w:val="auto"/>
          <w:szCs w:val="21"/>
          <w:highlight w:val="none"/>
        </w:rPr>
        <w:t>1.9.3</w:t>
      </w:r>
      <w:r>
        <w:rPr>
          <w:rFonts w:hint="eastAsia"/>
          <w:color w:val="auto"/>
          <w:szCs w:val="21"/>
          <w:highlight w:val="none"/>
        </w:rPr>
        <w:t>投标人自行负责在踏勘现场中所发生的人员伤亡和财产损失。</w:t>
      </w:r>
    </w:p>
    <w:p>
      <w:pPr>
        <w:pStyle w:val="6"/>
        <w:spacing w:before="0" w:after="0" w:line="360" w:lineRule="auto"/>
        <w:rPr>
          <w:rFonts w:ascii="宋体" w:hAnsi="宋体"/>
          <w:color w:val="auto"/>
          <w:sz w:val="28"/>
          <w:szCs w:val="28"/>
          <w:highlight w:val="none"/>
        </w:rPr>
      </w:pPr>
      <w:bookmarkStart w:id="268" w:name="_Toc419724288"/>
      <w:bookmarkStart w:id="269" w:name="_Toc1684"/>
      <w:bookmarkStart w:id="270" w:name="_Toc28277"/>
      <w:bookmarkStart w:id="271" w:name="_Toc488483473"/>
      <w:bookmarkStart w:id="272" w:name="_Toc487653179"/>
      <w:bookmarkStart w:id="273" w:name="_Toc488483601"/>
      <w:bookmarkStart w:id="274" w:name="_Toc383512689"/>
      <w:bookmarkStart w:id="275" w:name="_Toc419825006"/>
      <w:bookmarkStart w:id="276" w:name="_Toc490832290"/>
      <w:bookmarkStart w:id="277" w:name="_Toc382997664"/>
      <w:bookmarkStart w:id="278" w:name="_Toc383012995"/>
      <w:bookmarkStart w:id="279" w:name="_Toc463799010"/>
      <w:bookmarkStart w:id="280" w:name="_Toc234382600"/>
      <w:bookmarkStart w:id="281" w:name="_Toc382997942"/>
      <w:bookmarkStart w:id="282" w:name="_Toc419825355"/>
      <w:bookmarkStart w:id="283" w:name="_Toc419729355"/>
      <w:bookmarkStart w:id="284" w:name="_Toc383006468"/>
      <w:bookmarkStart w:id="285" w:name="_Toc486685898"/>
      <w:bookmarkStart w:id="286" w:name="_Toc488492832"/>
      <w:r>
        <w:rPr>
          <w:rFonts w:ascii="宋体" w:hAnsi="宋体"/>
          <w:color w:val="auto"/>
          <w:sz w:val="28"/>
          <w:szCs w:val="28"/>
          <w:highlight w:val="none"/>
        </w:rPr>
        <w:t>1.10 投标预备会</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投标人不组织召开投标预备会。</w:t>
      </w:r>
    </w:p>
    <w:p>
      <w:pPr>
        <w:pStyle w:val="6"/>
        <w:spacing w:before="0" w:after="0" w:line="360" w:lineRule="auto"/>
        <w:rPr>
          <w:rFonts w:hint="eastAsia" w:ascii="宋体" w:hAnsi="宋体"/>
          <w:color w:val="auto"/>
          <w:sz w:val="28"/>
          <w:szCs w:val="28"/>
          <w:highlight w:val="none"/>
        </w:rPr>
      </w:pPr>
      <w:bookmarkStart w:id="287" w:name="_Toc463799011"/>
      <w:bookmarkStart w:id="288" w:name="_Toc383512690"/>
      <w:bookmarkStart w:id="289" w:name="_Toc382997943"/>
      <w:bookmarkStart w:id="290" w:name="_Toc382997665"/>
      <w:bookmarkStart w:id="291" w:name="_Toc2286"/>
      <w:bookmarkStart w:id="292" w:name="_Toc383006469"/>
      <w:bookmarkStart w:id="293" w:name="_Toc419724289"/>
      <w:bookmarkStart w:id="294" w:name="_Toc383012996"/>
      <w:bookmarkStart w:id="295" w:name="_Toc419825356"/>
      <w:bookmarkStart w:id="296" w:name="_Toc486685899"/>
      <w:bookmarkStart w:id="297" w:name="_Toc488483474"/>
      <w:bookmarkStart w:id="298" w:name="_Toc488492833"/>
      <w:bookmarkStart w:id="299" w:name="_Toc4761"/>
      <w:bookmarkStart w:id="300" w:name="_Toc490832291"/>
      <w:bookmarkStart w:id="301" w:name="_Toc487653180"/>
      <w:bookmarkStart w:id="302" w:name="_Toc419729356"/>
      <w:bookmarkStart w:id="303" w:name="_Toc488483602"/>
      <w:bookmarkStart w:id="304" w:name="_Toc419825007"/>
      <w:r>
        <w:rPr>
          <w:rFonts w:hint="eastAsia" w:ascii="宋体" w:hAnsi="宋体"/>
          <w:color w:val="auto"/>
          <w:sz w:val="28"/>
          <w:szCs w:val="28"/>
          <w:highlight w:val="none"/>
        </w:rPr>
        <w:t>1.11 分包</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firstLine="420" w:firstLineChars="200"/>
        <w:rPr>
          <w:rFonts w:hint="eastAsia" w:ascii="宋体" w:hAnsi="宋体"/>
          <w:color w:val="auto"/>
          <w:szCs w:val="21"/>
          <w:highlight w:val="none"/>
        </w:rPr>
      </w:pPr>
      <w:bookmarkStart w:id="305" w:name="_Toc383512691"/>
      <w:bookmarkStart w:id="306" w:name="_Toc234382602"/>
      <w:bookmarkStart w:id="307" w:name="_Toc382997944"/>
      <w:bookmarkStart w:id="308" w:name="_Toc382997666"/>
      <w:bookmarkStart w:id="309" w:name="_Toc17525"/>
      <w:bookmarkStart w:id="310" w:name="_Toc383006470"/>
      <w:bookmarkStart w:id="311" w:name="_Toc383012997"/>
      <w:bookmarkStart w:id="312" w:name="_Toc419724290"/>
      <w:r>
        <w:rPr>
          <w:rFonts w:hint="eastAsia" w:ascii="宋体" w:hAnsi="宋体"/>
          <w:color w:val="auto"/>
          <w:szCs w:val="21"/>
          <w:highlight w:val="none"/>
        </w:rPr>
        <w:t>投标人拟在中标后将中标项目的部分非主体、非关键性工作进行分包的，应符合投标人须知前附表规定的分包内容、分包金额和接受分包的第三人资质要求等限制性条件。中标人不得向他人转让中标项目，接受分包的人不得再次分包。中标人应当就分包项目向招标人负责，接受分包的人就分包项目承担连带责任。</w:t>
      </w:r>
    </w:p>
    <w:p>
      <w:pPr>
        <w:pStyle w:val="6"/>
        <w:spacing w:before="0" w:after="0" w:line="360" w:lineRule="auto"/>
        <w:rPr>
          <w:rFonts w:hint="eastAsia" w:ascii="宋体" w:hAnsi="宋体"/>
          <w:color w:val="auto"/>
          <w:sz w:val="28"/>
          <w:szCs w:val="28"/>
          <w:highlight w:val="none"/>
        </w:rPr>
      </w:pPr>
      <w:bookmarkStart w:id="313" w:name="_Toc419825008"/>
      <w:bookmarkStart w:id="314" w:name="_Toc419729357"/>
      <w:bookmarkStart w:id="315" w:name="_Toc419825357"/>
      <w:bookmarkStart w:id="316" w:name="_Toc463799012"/>
      <w:bookmarkStart w:id="317" w:name="_Toc488483603"/>
      <w:bookmarkStart w:id="318" w:name="_Toc486685900"/>
      <w:bookmarkStart w:id="319" w:name="_Toc488492834"/>
      <w:bookmarkStart w:id="320" w:name="_Toc490832292"/>
      <w:bookmarkStart w:id="321" w:name="_Toc10608"/>
      <w:bookmarkStart w:id="322" w:name="_Toc488483475"/>
      <w:bookmarkStart w:id="323" w:name="_Toc487653181"/>
      <w:r>
        <w:rPr>
          <w:rFonts w:ascii="宋体" w:hAnsi="宋体"/>
          <w:color w:val="auto"/>
          <w:sz w:val="28"/>
          <w:szCs w:val="28"/>
          <w:highlight w:val="none"/>
        </w:rPr>
        <w:t>1.12 偏</w:t>
      </w:r>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olor w:val="auto"/>
          <w:sz w:val="28"/>
          <w:szCs w:val="28"/>
          <w:highlight w:val="none"/>
        </w:rPr>
        <w:t>离</w:t>
      </w:r>
      <w:bookmarkEnd w:id="317"/>
      <w:bookmarkEnd w:id="318"/>
      <w:bookmarkEnd w:id="319"/>
      <w:bookmarkEnd w:id="320"/>
      <w:bookmarkEnd w:id="321"/>
      <w:bookmarkEnd w:id="322"/>
      <w:bookmarkEnd w:id="32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资格审查文件存在下列情形之一，按重大偏差处理，存在的其他问题和不明确之处，按细微偏差处理，应通过澄清的方式进行核实：</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投标文件未按招标文件要求盖章并由法定代表人或其书面授权的代理人签字的；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ascii="宋体" w:hAnsi="宋体" w:cs="Times New Roman"/>
          <w:color w:val="auto"/>
          <w:szCs w:val="21"/>
          <w:highlight w:val="none"/>
        </w:rPr>
        <w:t>投标联合体没有提交共同投标</w:t>
      </w:r>
      <w:r>
        <w:rPr>
          <w:rFonts w:hint="eastAsia" w:ascii="宋体" w:hAnsi="宋体" w:cs="Times New Roman"/>
          <w:color w:val="auto"/>
          <w:szCs w:val="21"/>
          <w:highlight w:val="none"/>
        </w:rPr>
        <w:t>的联合体</w:t>
      </w:r>
      <w:r>
        <w:rPr>
          <w:rFonts w:ascii="宋体" w:hAnsi="宋体" w:cs="Times New Roman"/>
          <w:color w:val="auto"/>
          <w:szCs w:val="21"/>
          <w:highlight w:val="none"/>
        </w:rPr>
        <w:t>协议</w:t>
      </w:r>
      <w:r>
        <w:rPr>
          <w:rFonts w:hint="eastAsia" w:ascii="宋体" w:hAnsi="宋体" w:cs="Times New Roman"/>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未按招标文件要求提交保证金的；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投标函未按照招标文件规定的格式填写，内容不全或者关键字迹模糊无法辨认的；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投标人不符合国家或者招标文件规定的资格条件的；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投标人名称或者组织结构与资格预审时不一致且未提供有效证明的；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（7）</w:t>
      </w:r>
      <w:r>
        <w:rPr>
          <w:rFonts w:ascii="宋体" w:hAnsi="宋体" w:cs="Times New Roman"/>
          <w:color w:val="auto"/>
          <w:szCs w:val="21"/>
          <w:highlight w:val="none"/>
        </w:rPr>
        <w:t>投标报价</w:t>
      </w:r>
      <w:r>
        <w:rPr>
          <w:rFonts w:hint="eastAsia" w:ascii="宋体" w:hAnsi="宋体" w:cs="Times New Roman"/>
          <w:color w:val="auto"/>
          <w:szCs w:val="21"/>
          <w:highlight w:val="none"/>
        </w:rPr>
        <w:t>明显低于成本或者</w:t>
      </w:r>
      <w:r>
        <w:rPr>
          <w:rFonts w:ascii="宋体" w:hAnsi="宋体" w:cs="Times New Roman"/>
          <w:color w:val="auto"/>
          <w:szCs w:val="21"/>
          <w:highlight w:val="none"/>
        </w:rPr>
        <w:t>高于招标文件设定的最高投标限价</w:t>
      </w:r>
      <w:r>
        <w:rPr>
          <w:rFonts w:hint="eastAsia" w:ascii="宋体" w:hAnsi="宋体" w:cs="Times New Roman"/>
          <w:color w:val="auto"/>
          <w:szCs w:val="21"/>
          <w:highlight w:val="none"/>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（8）</w:t>
      </w:r>
      <w:r>
        <w:rPr>
          <w:rFonts w:ascii="宋体" w:hAnsi="宋体" w:cs="Times New Roman"/>
          <w:color w:val="auto"/>
          <w:szCs w:val="21"/>
          <w:highlight w:val="none"/>
        </w:rPr>
        <w:t>同一投标人提交两个以上不同的投标文件或投标报价</w:t>
      </w:r>
      <w:r>
        <w:rPr>
          <w:rFonts w:hint="eastAsia" w:ascii="宋体" w:hAnsi="宋体" w:cs="Times New Roman"/>
          <w:color w:val="auto"/>
          <w:szCs w:val="21"/>
          <w:highlight w:val="none"/>
        </w:rPr>
        <w:t>，且未申明哪一个为最终报价的，</w:t>
      </w:r>
      <w:r>
        <w:rPr>
          <w:rFonts w:ascii="宋体" w:hAnsi="宋体" w:cs="Times New Roman"/>
          <w:color w:val="auto"/>
          <w:szCs w:val="21"/>
          <w:highlight w:val="none"/>
        </w:rPr>
        <w:t>但招标文件要求提交备选投标的除外</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ascii="宋体" w:hAnsi="宋体" w:cs="Times New Roman"/>
          <w:color w:val="auto"/>
          <w:szCs w:val="21"/>
          <w:highlight w:val="none"/>
        </w:rPr>
        <w:t>（</w:t>
      </w:r>
      <w:r>
        <w:rPr>
          <w:rFonts w:hint="eastAsia" w:ascii="宋体" w:hAnsi="宋体" w:cs="Times New Roman"/>
          <w:color w:val="auto"/>
          <w:szCs w:val="21"/>
          <w:highlight w:val="none"/>
        </w:rPr>
        <w:t>9</w:t>
      </w:r>
      <w:r>
        <w:rPr>
          <w:rFonts w:ascii="宋体" w:hAnsi="宋体" w:cs="Times New Roman"/>
          <w:color w:val="auto"/>
          <w:szCs w:val="21"/>
          <w:highlight w:val="none"/>
        </w:rPr>
        <w:t>）投标人有串通投标、</w:t>
      </w:r>
      <w:r>
        <w:rPr>
          <w:rFonts w:hint="eastAsia" w:ascii="宋体" w:hAnsi="宋体" w:cs="Times New Roman"/>
          <w:color w:val="auto"/>
          <w:szCs w:val="21"/>
          <w:highlight w:val="none"/>
        </w:rPr>
        <w:t>以他人名义或者存在其他</w:t>
      </w:r>
      <w:r>
        <w:rPr>
          <w:rFonts w:ascii="宋体" w:hAnsi="宋体" w:cs="Times New Roman"/>
          <w:color w:val="auto"/>
          <w:szCs w:val="21"/>
          <w:highlight w:val="none"/>
        </w:rPr>
        <w:t>弄虚作假、行贿等违法行为</w:t>
      </w:r>
      <w:r>
        <w:rPr>
          <w:rFonts w:hint="eastAsia" w:ascii="宋体" w:hAnsi="宋体" w:cs="Times New Roman"/>
          <w:color w:val="auto"/>
          <w:szCs w:val="21"/>
          <w:highlight w:val="none"/>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Times New Roman"/>
          <w:color w:val="auto"/>
          <w:szCs w:val="21"/>
          <w:highlight w:val="none"/>
        </w:rPr>
      </w:pPr>
      <w:r>
        <w:rPr>
          <w:rFonts w:hint="eastAsia" w:ascii="宋体" w:hAnsi="宋体" w:cs="Times New Roman"/>
          <w:color w:val="auto"/>
          <w:szCs w:val="21"/>
          <w:highlight w:val="none"/>
        </w:rPr>
        <w:t>（10）无正当理由不按评标委员会的要求对投标文件进行澄清或者说明的；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11</w:t>
      </w:r>
      <w:r>
        <w:rPr>
          <w:rFonts w:ascii="宋体" w:hAnsi="宋体"/>
          <w:color w:val="auto"/>
          <w:szCs w:val="21"/>
          <w:highlight w:val="none"/>
        </w:rPr>
        <w:t>）投标文件没有对招标文件的实质性要求和条件作出响应；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（12）投标人存在下列情形之一：</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a.为招标人不具有独立法人资格的附属机构（单位）；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b.为本标段前期准备提供设计或咨询服务的，但设计施工总承包的除外；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c.为本标段的监理人或试验检测单位；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d.为本标段的代建人；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e.为本标段提供招标代理服务的；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f.与本标段的监理人或试验检测单位或代建人或招标代理机构同为一个法定代表人的；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g.与本标段的监理人或试验检测单位或代建人或招标代理机构相互控股或参股的；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h.与本标段的监理人或试验检测单位或代建人或招标代理机构相互任职或工作的；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i被责令停业</w:t>
      </w:r>
      <w:r>
        <w:rPr>
          <w:rFonts w:hint="eastAsia" w:ascii="宋体" w:hAnsi="宋体"/>
          <w:color w:val="auto"/>
          <w:sz w:val="24"/>
          <w:highlight w:val="none"/>
        </w:rPr>
        <w:t>，</w:t>
      </w:r>
      <w:r>
        <w:rPr>
          <w:rFonts w:hint="eastAsia" w:ascii="宋体" w:hAnsi="宋体"/>
          <w:color w:val="auto"/>
          <w:szCs w:val="21"/>
          <w:highlight w:val="none"/>
        </w:rPr>
        <w:t xml:space="preserve">暂扣或者吊销许可证、暂扣活吊销执照的；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j.被暂停或取消投标资格的；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k.财产被接管或冻结，进入清算程序，或宣告破产，或其他丧失履约能力的；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l.涉及诉讼、仲裁的案件，经评标委员会认定会对承担本项目造成重大影响；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m.被交通运输部或福建省交通运输厅取消项目所在地的投标资格或禁止进入该区域水运建设市场且处于有效期内；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n.为投资参股本项目的法人单位；</w:t>
      </w:r>
    </w:p>
    <w:p>
      <w:pPr>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o</w:t>
      </w:r>
      <w:r>
        <w:rPr>
          <w:rFonts w:hint="eastAsia" w:ascii="宋体" w:hAnsi="宋体"/>
          <w:color w:val="auto"/>
          <w:szCs w:val="21"/>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pPr>
        <w:pStyle w:val="6"/>
        <w:spacing w:before="0" w:after="0" w:line="360" w:lineRule="auto"/>
        <w:rPr>
          <w:rFonts w:hint="eastAsia" w:ascii="宋体" w:hAnsi="宋体"/>
          <w:color w:val="auto"/>
          <w:highlight w:val="none"/>
        </w:rPr>
      </w:pPr>
      <w:bookmarkStart w:id="324" w:name="_Toc382997945"/>
      <w:bookmarkStart w:id="325" w:name="_Toc383012998"/>
      <w:bookmarkStart w:id="326" w:name="_Toc383006471"/>
      <w:bookmarkStart w:id="327" w:name="_Toc234382603"/>
      <w:bookmarkStart w:id="328" w:name="_Toc419825358"/>
      <w:bookmarkStart w:id="329" w:name="_Toc25017"/>
      <w:bookmarkStart w:id="330" w:name="_Toc382997667"/>
      <w:bookmarkStart w:id="331" w:name="_Toc490832293"/>
      <w:bookmarkStart w:id="332" w:name="_Toc419724291"/>
      <w:bookmarkStart w:id="333" w:name="_Toc383512692"/>
      <w:bookmarkStart w:id="334" w:name="_Toc419825009"/>
      <w:bookmarkStart w:id="335" w:name="_Toc3751"/>
      <w:bookmarkStart w:id="336" w:name="_Toc419729358"/>
      <w:bookmarkStart w:id="337" w:name="_Toc463799013"/>
      <w:r>
        <w:rPr>
          <w:rFonts w:hint="eastAsia" w:ascii="宋体" w:hAnsi="宋体"/>
          <w:color w:val="auto"/>
          <w:highlight w:val="none"/>
        </w:rPr>
        <w:t>2. 招标文件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6"/>
        <w:spacing w:before="0" w:after="0" w:line="360" w:lineRule="auto"/>
        <w:rPr>
          <w:rFonts w:ascii="宋体" w:hAnsi="宋体"/>
          <w:color w:val="auto"/>
          <w:sz w:val="28"/>
          <w:szCs w:val="28"/>
          <w:highlight w:val="none"/>
        </w:rPr>
      </w:pPr>
      <w:bookmarkStart w:id="338" w:name="_Toc234382604"/>
      <w:bookmarkStart w:id="339" w:name="_Toc419825359"/>
      <w:bookmarkStart w:id="340" w:name="_Toc382997946"/>
      <w:bookmarkStart w:id="341" w:name="_Toc383012999"/>
      <w:bookmarkStart w:id="342" w:name="_Toc2132"/>
      <w:bookmarkStart w:id="343" w:name="_Toc488483605"/>
      <w:bookmarkStart w:id="344" w:name="_Toc487653183"/>
      <w:bookmarkStart w:id="345" w:name="_Toc4728"/>
      <w:bookmarkStart w:id="346" w:name="_Toc382997668"/>
      <w:bookmarkStart w:id="347" w:name="_Toc419729359"/>
      <w:bookmarkStart w:id="348" w:name="_Toc488483477"/>
      <w:bookmarkStart w:id="349" w:name="_Toc486685902"/>
      <w:bookmarkStart w:id="350" w:name="_Toc383006472"/>
      <w:bookmarkStart w:id="351" w:name="_Toc419724292"/>
      <w:bookmarkStart w:id="352" w:name="_Toc419825010"/>
      <w:bookmarkStart w:id="353" w:name="_Toc490832294"/>
      <w:bookmarkStart w:id="354" w:name="_Toc383512693"/>
      <w:bookmarkStart w:id="355" w:name="_Toc463799014"/>
      <w:bookmarkStart w:id="356" w:name="_Toc488492836"/>
      <w:r>
        <w:rPr>
          <w:rFonts w:ascii="宋体" w:hAnsi="宋体"/>
          <w:color w:val="auto"/>
          <w:sz w:val="28"/>
          <w:szCs w:val="28"/>
          <w:highlight w:val="none"/>
        </w:rPr>
        <w:t>2.1 招标文件的</w:t>
      </w:r>
      <w:bookmarkEnd w:id="338"/>
      <w:r>
        <w:rPr>
          <w:rFonts w:hint="eastAsia" w:ascii="宋体" w:hAnsi="宋体"/>
          <w:color w:val="auto"/>
          <w:sz w:val="28"/>
          <w:szCs w:val="28"/>
          <w:highlight w:val="none"/>
        </w:rPr>
        <w:t>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本招标文件包括：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招标公告；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评标办法；</w:t>
      </w:r>
    </w:p>
    <w:p>
      <w:pPr>
        <w:spacing w:line="360" w:lineRule="auto"/>
        <w:ind w:firstLineChars="200"/>
        <w:rPr>
          <w:rFonts w:hint="default" w:ascii="宋体" w:hAnsi="宋体" w:eastAsia="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hint="default" w:ascii="宋体" w:hAnsi="宋体"/>
          <w:color w:val="auto"/>
          <w:szCs w:val="21"/>
          <w:highlight w:val="none"/>
          <w:lang w:eastAsia="zh-CN"/>
        </w:rPr>
        <w:t>定标办法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ascii="宋体" w:hAnsi="宋体"/>
          <w:color w:val="auto"/>
          <w:szCs w:val="21"/>
          <w:highlight w:val="none"/>
        </w:rPr>
        <w:t>合同条款及格式；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工程量清单；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)技术标准和要求</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)投标文件格式</w:t>
      </w:r>
      <w:r>
        <w:rPr>
          <w:rFonts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根据本章第2.2</w:t>
      </w:r>
      <w:r>
        <w:rPr>
          <w:rFonts w:hint="eastAsia" w:ascii="宋体" w:hAnsi="宋体"/>
          <w:color w:val="auto"/>
          <w:szCs w:val="21"/>
          <w:highlight w:val="none"/>
        </w:rPr>
        <w:t>款</w:t>
      </w:r>
      <w:r>
        <w:rPr>
          <w:rFonts w:ascii="宋体" w:hAnsi="宋体"/>
          <w:color w:val="auto"/>
          <w:szCs w:val="21"/>
          <w:highlight w:val="none"/>
        </w:rPr>
        <w:t>和第2.3</w:t>
      </w:r>
      <w:r>
        <w:rPr>
          <w:rFonts w:hint="eastAsia" w:ascii="宋体" w:hAnsi="宋体"/>
          <w:color w:val="auto"/>
          <w:szCs w:val="21"/>
          <w:highlight w:val="none"/>
        </w:rPr>
        <w:t>款</w:t>
      </w:r>
      <w:r>
        <w:rPr>
          <w:rFonts w:ascii="宋体" w:hAnsi="宋体"/>
          <w:color w:val="auto"/>
          <w:szCs w:val="21"/>
          <w:highlight w:val="none"/>
        </w:rPr>
        <w:t>对招标文件所作的澄清、修改</w:t>
      </w:r>
      <w:r>
        <w:rPr>
          <w:rFonts w:hint="eastAsia" w:ascii="宋体" w:hAnsi="宋体"/>
          <w:color w:val="auto"/>
          <w:szCs w:val="21"/>
          <w:highlight w:val="none"/>
        </w:rPr>
        <w:t>,构成招标文件的组成部分</w:t>
      </w:r>
      <w:r>
        <w:rPr>
          <w:rFonts w:ascii="宋体" w:hAnsi="宋体"/>
          <w:color w:val="auto"/>
          <w:szCs w:val="21"/>
          <w:highlight w:val="none"/>
        </w:rPr>
        <w:t>。</w:t>
      </w:r>
    </w:p>
    <w:p>
      <w:pPr>
        <w:pStyle w:val="6"/>
        <w:spacing w:before="0" w:after="0" w:line="360" w:lineRule="auto"/>
        <w:rPr>
          <w:rFonts w:ascii="宋体" w:hAnsi="宋体"/>
          <w:color w:val="auto"/>
          <w:sz w:val="28"/>
          <w:szCs w:val="28"/>
          <w:highlight w:val="none"/>
        </w:rPr>
      </w:pPr>
      <w:bookmarkStart w:id="357" w:name="_Toc5252"/>
      <w:bookmarkStart w:id="358" w:name="_Toc234382605"/>
      <w:bookmarkStart w:id="359" w:name="_Toc488483606"/>
      <w:bookmarkStart w:id="360" w:name="_Toc488492837"/>
      <w:bookmarkStart w:id="361" w:name="_Toc419825011"/>
      <w:bookmarkStart w:id="362" w:name="_Toc419825360"/>
      <w:bookmarkStart w:id="363" w:name="_Toc419724293"/>
      <w:bookmarkStart w:id="364" w:name="_Toc383013000"/>
      <w:bookmarkStart w:id="365" w:name="_Toc488483478"/>
      <w:bookmarkStart w:id="366" w:name="_Toc490832295"/>
      <w:bookmarkStart w:id="367" w:name="_Toc487653184"/>
      <w:bookmarkStart w:id="368" w:name="_Toc382997947"/>
      <w:bookmarkStart w:id="369" w:name="_Toc382997669"/>
      <w:bookmarkStart w:id="370" w:name="_Toc383006473"/>
      <w:bookmarkStart w:id="371" w:name="_Toc486685903"/>
      <w:bookmarkStart w:id="372" w:name="_Toc419729360"/>
      <w:bookmarkStart w:id="373" w:name="_Toc5526"/>
      <w:bookmarkStart w:id="374" w:name="_Toc463799015"/>
      <w:bookmarkStart w:id="375" w:name="_Toc383512694"/>
      <w:r>
        <w:rPr>
          <w:rFonts w:ascii="宋体" w:hAnsi="宋体"/>
          <w:color w:val="auto"/>
          <w:sz w:val="28"/>
          <w:szCs w:val="28"/>
          <w:highlight w:val="none"/>
        </w:rPr>
        <w:t>2.2 招标文件的澄清</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2.2.1 </w:t>
      </w:r>
      <w:r>
        <w:rPr>
          <w:rFonts w:hint="eastAsia" w:ascii="宋体" w:hAnsi="宋体"/>
          <w:color w:val="auto"/>
          <w:szCs w:val="21"/>
          <w:highlight w:val="none"/>
        </w:rPr>
        <w:t xml:space="preserve"> </w:t>
      </w:r>
      <w:r>
        <w:rPr>
          <w:rFonts w:ascii="宋体" w:hAnsi="宋体"/>
          <w:color w:val="auto"/>
          <w:szCs w:val="21"/>
          <w:highlight w:val="none"/>
        </w:rPr>
        <w:t>投标人应仔细阅读和检查招标文件的全部内容。如发现缺页</w:t>
      </w:r>
      <w:r>
        <w:rPr>
          <w:rFonts w:hint="eastAsia" w:ascii="宋体" w:hAnsi="宋体"/>
          <w:color w:val="auto"/>
          <w:szCs w:val="21"/>
          <w:highlight w:val="none"/>
        </w:rPr>
        <w:t>或</w:t>
      </w:r>
      <w:r>
        <w:rPr>
          <w:rFonts w:ascii="宋体" w:hAnsi="宋体"/>
          <w:color w:val="auto"/>
          <w:szCs w:val="21"/>
          <w:highlight w:val="none"/>
        </w:rPr>
        <w:t>附件不全</w:t>
      </w:r>
      <w:r>
        <w:rPr>
          <w:rFonts w:hint="eastAsia" w:ascii="宋体" w:hAnsi="宋体"/>
          <w:color w:val="auto"/>
          <w:szCs w:val="21"/>
          <w:highlight w:val="none"/>
        </w:rPr>
        <w:t>,</w:t>
      </w:r>
      <w:r>
        <w:rPr>
          <w:rFonts w:ascii="宋体" w:hAnsi="宋体"/>
          <w:color w:val="auto"/>
          <w:szCs w:val="21"/>
          <w:highlight w:val="none"/>
        </w:rPr>
        <w:t>应及时向招标人提出</w:t>
      </w:r>
      <w:r>
        <w:rPr>
          <w:rFonts w:hint="eastAsia" w:ascii="宋体" w:hAnsi="宋体"/>
          <w:color w:val="auto"/>
          <w:szCs w:val="21"/>
          <w:highlight w:val="none"/>
        </w:rPr>
        <w:t>,</w:t>
      </w:r>
      <w:r>
        <w:rPr>
          <w:rFonts w:ascii="宋体" w:hAnsi="宋体"/>
          <w:color w:val="auto"/>
          <w:szCs w:val="21"/>
          <w:highlight w:val="none"/>
        </w:rPr>
        <w:t>以便补齐。</w:t>
      </w:r>
      <w:r>
        <w:rPr>
          <w:rFonts w:hint="eastAsia" w:ascii="宋体" w:hAnsi="宋体"/>
          <w:color w:val="auto"/>
          <w:szCs w:val="21"/>
          <w:highlight w:val="none"/>
        </w:rPr>
        <w:t>如有疑问，应在</w:t>
      </w:r>
      <w:r>
        <w:rPr>
          <w:rFonts w:hint="eastAsia" w:ascii="宋体" w:hAnsi="宋体"/>
          <w:color w:val="auto"/>
          <w:szCs w:val="21"/>
          <w:highlight w:val="none"/>
          <w:u w:val="single"/>
        </w:rPr>
        <w:t>投标人须知前附表规定的时间</w:t>
      </w:r>
      <w:r>
        <w:rPr>
          <w:rFonts w:hint="eastAsia" w:ascii="宋体" w:hAnsi="宋体"/>
          <w:color w:val="auto"/>
          <w:szCs w:val="21"/>
          <w:highlight w:val="none"/>
        </w:rPr>
        <w:t>通过福建省公共资源交易电子公共服务平台（网址：</w:t>
      </w:r>
      <w:r>
        <w:rPr>
          <w:rFonts w:ascii="宋体" w:hAnsi="宋体"/>
          <w:color w:val="auto"/>
          <w:szCs w:val="21"/>
          <w:highlight w:val="none"/>
        </w:rPr>
        <w:t xml:space="preserve">ggzyfw.fj.gov.cn </w:t>
      </w:r>
      <w:r>
        <w:rPr>
          <w:color w:val="auto"/>
          <w:szCs w:val="21"/>
          <w:highlight w:val="none"/>
        </w:rPr>
        <w:fldChar w:fldCharType="begin"/>
      </w:r>
      <w:r>
        <w:rPr>
          <w:color w:val="auto"/>
          <w:szCs w:val="21"/>
          <w:highlight w:val="none"/>
        </w:rPr>
        <w:instrText xml:space="preserve"> HYPERLINK "</w:instrText>
      </w:r>
      <w:r>
        <w:rPr>
          <w:rFonts w:hint="eastAsia"/>
          <w:color w:val="auto"/>
          <w:szCs w:val="21"/>
          <w:highlight w:val="none"/>
        </w:rPr>
        <w:instrText xml:space="preserve">）、电子招标投标交易平台</w:instrText>
      </w:r>
      <w:r>
        <w:rPr>
          <w:color w:val="auto"/>
          <w:szCs w:val="21"/>
          <w:highlight w:val="none"/>
        </w:rPr>
        <w:instrText xml:space="preserve">" </w:instrText>
      </w:r>
      <w:r>
        <w:rPr>
          <w:color w:val="auto"/>
          <w:szCs w:val="21"/>
          <w:highlight w:val="none"/>
        </w:rPr>
        <w:fldChar w:fldCharType="separate"/>
      </w:r>
      <w:r>
        <w:rPr>
          <w:rStyle w:val="45"/>
          <w:rFonts w:hint="eastAsia"/>
          <w:color w:val="auto"/>
          <w:szCs w:val="21"/>
          <w:highlight w:val="none"/>
        </w:rPr>
        <w:t>）、电子招标投标交易平台</w:t>
      </w:r>
      <w:r>
        <w:rPr>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)提出澄清申请，要求招标人对招标文件予以澄清。</w:t>
      </w:r>
      <w:r>
        <w:rPr>
          <w:rFonts w:hint="eastAsia" w:ascii="宋体" w:hAnsi="宋体"/>
          <w:color w:val="auto"/>
          <w:highlight w:val="none"/>
        </w:rPr>
        <w:t>投标人未在招标文件规定的提出异议的时间内提出异议的，事后不能就招标文件的问题提出质疑或投诉。</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 xml:space="preserve">  招标文件的澄清将在投标人须知前附表规定的投标截止时间</w:t>
      </w:r>
      <w:r>
        <w:rPr>
          <w:rFonts w:hint="eastAsia" w:ascii="宋体" w:hAnsi="宋体" w:cs="宋体"/>
          <w:color w:val="auto"/>
          <w:sz w:val="24"/>
          <w:highlight w:val="none"/>
          <w:u w:val="single"/>
        </w:rPr>
        <w:t>○</w:t>
      </w:r>
      <w:r>
        <w:rPr>
          <w:rFonts w:hint="eastAsia" w:ascii="宋体" w:hAnsi="宋体"/>
          <w:color w:val="auto"/>
          <w:szCs w:val="21"/>
          <w:highlight w:val="none"/>
        </w:rPr>
        <w:t>15天/</w:t>
      </w:r>
      <w:r>
        <w:rPr>
          <w:rFonts w:hint="eastAsia" w:ascii="宋体" w:hAnsi="宋体" w:cs="宋体"/>
          <w:color w:val="auto"/>
          <w:sz w:val="24"/>
          <w:highlight w:val="none"/>
          <w:u w:val="single"/>
        </w:rPr>
        <w:t>○</w:t>
      </w:r>
      <w:r>
        <w:rPr>
          <w:rFonts w:hint="eastAsia" w:ascii="宋体" w:hAnsi="宋体"/>
          <w:color w:val="auto"/>
          <w:szCs w:val="21"/>
          <w:highlight w:val="none"/>
        </w:rPr>
        <w:t>5天（适用于简易招标项目）前在福建省公共资源交易电子公共服务平台（网址：</w:t>
      </w:r>
      <w:r>
        <w:rPr>
          <w:rFonts w:ascii="宋体" w:hAnsi="宋体"/>
          <w:color w:val="auto"/>
          <w:szCs w:val="21"/>
          <w:highlight w:val="none"/>
        </w:rPr>
        <w:t xml:space="preserve">ggzyfw.fj.gov.cn </w:t>
      </w:r>
      <w:r>
        <w:rPr>
          <w:color w:val="auto"/>
          <w:szCs w:val="21"/>
          <w:highlight w:val="none"/>
        </w:rPr>
        <w:fldChar w:fldCharType="begin"/>
      </w:r>
      <w:r>
        <w:rPr>
          <w:color w:val="auto"/>
          <w:szCs w:val="21"/>
          <w:highlight w:val="none"/>
        </w:rPr>
        <w:instrText xml:space="preserve"> HYPERLINK "</w:instrText>
      </w:r>
      <w:r>
        <w:rPr>
          <w:rFonts w:hint="eastAsia"/>
          <w:color w:val="auto"/>
          <w:szCs w:val="21"/>
          <w:highlight w:val="none"/>
        </w:rPr>
        <w:instrText xml:space="preserve">）、电子招标投标交易平台</w:instrText>
      </w:r>
      <w:r>
        <w:rPr>
          <w:color w:val="auto"/>
          <w:szCs w:val="21"/>
          <w:highlight w:val="none"/>
        </w:rPr>
        <w:instrText xml:space="preserve">" </w:instrText>
      </w:r>
      <w:r>
        <w:rPr>
          <w:color w:val="auto"/>
          <w:szCs w:val="21"/>
          <w:highlight w:val="none"/>
        </w:rPr>
        <w:fldChar w:fldCharType="separate"/>
      </w:r>
      <w:r>
        <w:rPr>
          <w:rStyle w:val="45"/>
          <w:rFonts w:hint="eastAsia"/>
          <w:color w:val="auto"/>
          <w:szCs w:val="21"/>
          <w:highlight w:val="none"/>
        </w:rPr>
        <w:t>）、电子招标投标交易平台</w:t>
      </w:r>
      <w:r>
        <w:rPr>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)上发布，但不指名澄清问题的来源。如果澄清发出的时间距投标截止时间不足</w:t>
      </w:r>
      <w:r>
        <w:rPr>
          <w:rFonts w:hint="eastAsia" w:ascii="宋体" w:hAnsi="宋体" w:cs="宋体"/>
          <w:color w:val="auto"/>
          <w:sz w:val="24"/>
          <w:highlight w:val="none"/>
          <w:u w:val="single"/>
        </w:rPr>
        <w:t>○</w:t>
      </w:r>
      <w:r>
        <w:rPr>
          <w:rFonts w:hint="eastAsia" w:ascii="宋体" w:hAnsi="宋体"/>
          <w:color w:val="auto"/>
          <w:szCs w:val="21"/>
          <w:highlight w:val="none"/>
        </w:rPr>
        <w:t>15天/</w:t>
      </w:r>
      <w:r>
        <w:rPr>
          <w:rFonts w:hint="eastAsia" w:ascii="宋体" w:hAnsi="宋体" w:cs="宋体"/>
          <w:color w:val="auto"/>
          <w:sz w:val="24"/>
          <w:highlight w:val="none"/>
          <w:u w:val="single"/>
        </w:rPr>
        <w:t>○</w:t>
      </w:r>
      <w:r>
        <w:rPr>
          <w:rFonts w:hint="eastAsia" w:ascii="宋体" w:hAnsi="宋体"/>
          <w:color w:val="auto"/>
          <w:szCs w:val="21"/>
          <w:highlight w:val="none"/>
        </w:rPr>
        <w:t>5天（适用于简易招标项目），相应延长投标截止时间。</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2.2.3 </w:t>
      </w:r>
      <w:r>
        <w:rPr>
          <w:rFonts w:hint="eastAsia" w:ascii="宋体" w:hAnsi="宋体"/>
          <w:color w:val="auto"/>
          <w:szCs w:val="21"/>
          <w:highlight w:val="none"/>
        </w:rPr>
        <w:t xml:space="preserve"> 投标人应经常关注福建省公共资源交易电子公共服务平台（网址：</w:t>
      </w:r>
      <w:r>
        <w:rPr>
          <w:rFonts w:ascii="宋体" w:hAnsi="宋体"/>
          <w:color w:val="auto"/>
          <w:szCs w:val="21"/>
          <w:highlight w:val="none"/>
        </w:rPr>
        <w:t xml:space="preserve">ggzyfw.fj.gov.cn </w:t>
      </w:r>
      <w:r>
        <w:rPr>
          <w:rFonts w:ascii="宋体" w:hAnsi="宋体"/>
          <w:color w:val="auto"/>
          <w:szCs w:val="21"/>
          <w:highlight w:val="none"/>
        </w:rPr>
        <w:fldChar w:fldCharType="begin"/>
      </w:r>
      <w:r>
        <w:rPr>
          <w:rFonts w:ascii="宋体" w:hAnsi="宋体"/>
          <w:color w:val="auto"/>
          <w:szCs w:val="21"/>
          <w:highlight w:val="none"/>
        </w:rPr>
        <w:instrText xml:space="preserve"> HYPERLINK "http://</w:instrText>
      </w:r>
      <w:r>
        <w:rPr>
          <w:rFonts w:hint="eastAsia" w:ascii="宋体" w:hAnsi="宋体"/>
          <w:color w:val="auto"/>
          <w:szCs w:val="21"/>
          <w:highlight w:val="none"/>
        </w:rPr>
        <w:instrText xml:space="preserve">www.fjbid.gov.cn）、电子招标投标交易平台</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color w:val="auto"/>
          <w:szCs w:val="21"/>
          <w:highlight w:val="none"/>
        </w:rPr>
        <w:t>）、电子招标投标交易平台</w:t>
      </w:r>
      <w:r>
        <w:rPr>
          <w:rFonts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)所公布的有关澄清资料，否则因投标人未及时关注导致的后果由投标人自行负责。</w:t>
      </w:r>
    </w:p>
    <w:p>
      <w:pPr>
        <w:pStyle w:val="6"/>
        <w:spacing w:before="0" w:after="0" w:line="360" w:lineRule="auto"/>
        <w:rPr>
          <w:rFonts w:ascii="宋体" w:hAnsi="宋体"/>
          <w:color w:val="auto"/>
          <w:sz w:val="28"/>
          <w:szCs w:val="28"/>
          <w:highlight w:val="none"/>
        </w:rPr>
      </w:pPr>
      <w:bookmarkStart w:id="376" w:name="_Toc383006474"/>
      <w:bookmarkStart w:id="377" w:name="_Toc419724294"/>
      <w:bookmarkStart w:id="378" w:name="_Toc419825012"/>
      <w:bookmarkStart w:id="379" w:name="_Toc488492838"/>
      <w:bookmarkStart w:id="380" w:name="_Toc383013001"/>
      <w:bookmarkStart w:id="381" w:name="_Toc382997948"/>
      <w:bookmarkStart w:id="382" w:name="_Toc486685904"/>
      <w:bookmarkStart w:id="383" w:name="_Toc419825361"/>
      <w:bookmarkStart w:id="384" w:name="_Toc9660"/>
      <w:bookmarkStart w:id="385" w:name="_Toc487653185"/>
      <w:bookmarkStart w:id="386" w:name="_Toc383512695"/>
      <w:bookmarkStart w:id="387" w:name="_Toc488483607"/>
      <w:bookmarkStart w:id="388" w:name="_Toc234382606"/>
      <w:bookmarkStart w:id="389" w:name="_Toc382997670"/>
      <w:bookmarkStart w:id="390" w:name="_Toc463799016"/>
      <w:bookmarkStart w:id="391" w:name="_Toc490832296"/>
      <w:bookmarkStart w:id="392" w:name="_Toc15969"/>
      <w:bookmarkStart w:id="393" w:name="_Toc419729361"/>
      <w:bookmarkStart w:id="394" w:name="_Toc488483479"/>
      <w:r>
        <w:rPr>
          <w:rFonts w:ascii="宋体" w:hAnsi="宋体"/>
          <w:color w:val="auto"/>
          <w:sz w:val="28"/>
          <w:szCs w:val="28"/>
          <w:highlight w:val="none"/>
        </w:rPr>
        <w:t>2.3 招标文件的修改</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2.3.1</w:t>
      </w:r>
      <w:r>
        <w:rPr>
          <w:rFonts w:ascii="宋体" w:hAnsi="宋体"/>
          <w:color w:val="auto"/>
          <w:szCs w:val="21"/>
          <w:highlight w:val="none"/>
        </w:rPr>
        <w:t xml:space="preserve"> </w:t>
      </w:r>
      <w:r>
        <w:rPr>
          <w:rFonts w:hint="eastAsia" w:ascii="宋体" w:hAnsi="宋体"/>
          <w:color w:val="auto"/>
          <w:szCs w:val="21"/>
          <w:highlight w:val="none"/>
        </w:rPr>
        <w:t xml:space="preserve"> 在投标截止时间</w:t>
      </w:r>
      <w:r>
        <w:rPr>
          <w:rFonts w:hint="eastAsia" w:ascii="宋体" w:hAnsi="宋体" w:cs="宋体"/>
          <w:color w:val="auto"/>
          <w:sz w:val="24"/>
          <w:highlight w:val="none"/>
          <w:u w:val="single"/>
        </w:rPr>
        <w:t>○</w:t>
      </w:r>
      <w:r>
        <w:rPr>
          <w:rFonts w:hint="eastAsia" w:ascii="宋体" w:hAnsi="宋体"/>
          <w:color w:val="auto"/>
          <w:szCs w:val="21"/>
          <w:highlight w:val="none"/>
        </w:rPr>
        <w:t>15日/</w:t>
      </w:r>
      <w:r>
        <w:rPr>
          <w:rFonts w:hint="eastAsia" w:ascii="宋体" w:hAnsi="宋体" w:cs="宋体"/>
          <w:color w:val="auto"/>
          <w:sz w:val="24"/>
          <w:highlight w:val="none"/>
          <w:u w:val="single"/>
        </w:rPr>
        <w:t>○</w:t>
      </w:r>
      <w:r>
        <w:rPr>
          <w:rFonts w:hint="eastAsia" w:ascii="宋体" w:hAnsi="宋体"/>
          <w:color w:val="auto"/>
          <w:szCs w:val="21"/>
          <w:highlight w:val="none"/>
        </w:rPr>
        <w:t>5日（适用于简易招标项目）前，招标人在发布本项目招标公告的福建省公共资源交易电子公共服务平台（网址：</w:t>
      </w:r>
      <w:r>
        <w:rPr>
          <w:rFonts w:ascii="宋体" w:hAnsi="宋体"/>
          <w:color w:val="auto"/>
          <w:szCs w:val="21"/>
          <w:highlight w:val="none"/>
        </w:rPr>
        <w:t xml:space="preserve">ggzyfw.fj.gov.cn </w:t>
      </w:r>
      <w:r>
        <w:rPr>
          <w:color w:val="auto"/>
          <w:szCs w:val="21"/>
          <w:highlight w:val="none"/>
        </w:rPr>
        <w:fldChar w:fldCharType="begin"/>
      </w:r>
      <w:r>
        <w:rPr>
          <w:color w:val="auto"/>
          <w:szCs w:val="21"/>
          <w:highlight w:val="none"/>
        </w:rPr>
        <w:instrText xml:space="preserve"> HYPERLINK "</w:instrText>
      </w:r>
      <w:r>
        <w:rPr>
          <w:rFonts w:hint="eastAsia"/>
          <w:color w:val="auto"/>
          <w:szCs w:val="21"/>
          <w:highlight w:val="none"/>
        </w:rPr>
        <w:instrText xml:space="preserve">）、电子招标投标交易平台</w:instrText>
      </w:r>
      <w:r>
        <w:rPr>
          <w:color w:val="auto"/>
          <w:szCs w:val="21"/>
          <w:highlight w:val="none"/>
        </w:rPr>
        <w:instrText xml:space="preserve">" </w:instrText>
      </w:r>
      <w:r>
        <w:rPr>
          <w:color w:val="auto"/>
          <w:szCs w:val="21"/>
          <w:highlight w:val="none"/>
        </w:rPr>
        <w:fldChar w:fldCharType="separate"/>
      </w:r>
      <w:r>
        <w:rPr>
          <w:rStyle w:val="45"/>
          <w:rFonts w:hint="eastAsia"/>
          <w:color w:val="auto"/>
          <w:szCs w:val="21"/>
          <w:highlight w:val="none"/>
        </w:rPr>
        <w:t>）、电子招标投标交易平台</w:t>
      </w:r>
      <w:r>
        <w:rPr>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)发布修改通知。如果修改招标文件的时间距投标截止时间不足</w:t>
      </w:r>
      <w:r>
        <w:rPr>
          <w:rFonts w:hint="eastAsia" w:ascii="宋体" w:hAnsi="宋体" w:cs="宋体"/>
          <w:color w:val="auto"/>
          <w:sz w:val="24"/>
          <w:highlight w:val="none"/>
          <w:u w:val="single"/>
        </w:rPr>
        <w:t>○</w:t>
      </w:r>
      <w:r>
        <w:rPr>
          <w:rFonts w:hint="eastAsia" w:ascii="宋体" w:hAnsi="宋体"/>
          <w:color w:val="auto"/>
          <w:szCs w:val="21"/>
          <w:highlight w:val="none"/>
        </w:rPr>
        <w:t>15日/</w:t>
      </w:r>
      <w:r>
        <w:rPr>
          <w:rFonts w:hint="eastAsia" w:ascii="宋体" w:hAnsi="宋体" w:cs="宋体"/>
          <w:color w:val="auto"/>
          <w:sz w:val="24"/>
          <w:highlight w:val="none"/>
          <w:u w:val="single"/>
        </w:rPr>
        <w:t>○</w:t>
      </w:r>
      <w:r>
        <w:rPr>
          <w:rFonts w:hint="eastAsia" w:ascii="宋体" w:hAnsi="宋体"/>
          <w:color w:val="auto"/>
          <w:szCs w:val="21"/>
          <w:highlight w:val="none"/>
        </w:rPr>
        <w:t>5日（适用于简易招标项目），修改的内容可能影响投标文件编制的，相应延长投标截止时间</w:t>
      </w:r>
      <w:r>
        <w:rPr>
          <w:rFonts w:ascii="宋体" w:hAnsi="宋体"/>
          <w:color w:val="auto"/>
          <w:szCs w:val="21"/>
          <w:highlight w:val="none"/>
        </w:rPr>
        <w:t>。</w:t>
      </w:r>
    </w:p>
    <w:p>
      <w:pPr>
        <w:spacing w:line="360" w:lineRule="auto"/>
        <w:ind w:firstLine="421" w:firstLineChars="200"/>
        <w:rPr>
          <w:rFonts w:hint="eastAsia" w:ascii="宋体" w:hAnsi="宋体"/>
          <w:color w:val="auto"/>
          <w:szCs w:val="21"/>
          <w:highlight w:val="none"/>
        </w:rPr>
      </w:pPr>
      <w:r>
        <w:rPr>
          <w:rFonts w:ascii="宋体" w:hAnsi="宋体"/>
          <w:b/>
          <w:bCs/>
          <w:color w:val="auto"/>
          <w:szCs w:val="21"/>
          <w:highlight w:val="none"/>
        </w:rPr>
        <w:t>2.3.2</w:t>
      </w:r>
      <w:r>
        <w:rPr>
          <w:rFonts w:hint="eastAsia" w:ascii="宋体" w:hAnsi="宋体"/>
          <w:color w:val="auto"/>
          <w:szCs w:val="21"/>
          <w:highlight w:val="none"/>
        </w:rPr>
        <w:t>投标人应经常关注福建省公共资源交易电子公共服务平台（网址：</w:t>
      </w:r>
      <w:r>
        <w:rPr>
          <w:rFonts w:ascii="宋体" w:hAnsi="宋体"/>
          <w:color w:val="auto"/>
          <w:szCs w:val="21"/>
          <w:highlight w:val="none"/>
        </w:rPr>
        <w:t xml:space="preserve">ggzyfw.fj.gov.cn </w:t>
      </w:r>
      <w:r>
        <w:rPr>
          <w:color w:val="auto"/>
          <w:szCs w:val="21"/>
          <w:highlight w:val="none"/>
        </w:rPr>
        <w:fldChar w:fldCharType="begin"/>
      </w:r>
      <w:r>
        <w:rPr>
          <w:color w:val="auto"/>
          <w:szCs w:val="21"/>
          <w:highlight w:val="none"/>
        </w:rPr>
        <w:instrText xml:space="preserve"> HYPERLINK "</w:instrText>
      </w:r>
      <w:r>
        <w:rPr>
          <w:rFonts w:hint="eastAsia"/>
          <w:color w:val="auto"/>
          <w:szCs w:val="21"/>
          <w:highlight w:val="none"/>
        </w:rPr>
        <w:instrText xml:space="preserve">）、电子招标投标交易平台</w:instrText>
      </w:r>
      <w:r>
        <w:rPr>
          <w:color w:val="auto"/>
          <w:szCs w:val="21"/>
          <w:highlight w:val="none"/>
        </w:rPr>
        <w:instrText xml:space="preserve">" </w:instrText>
      </w:r>
      <w:r>
        <w:rPr>
          <w:color w:val="auto"/>
          <w:szCs w:val="21"/>
          <w:highlight w:val="none"/>
        </w:rPr>
        <w:fldChar w:fldCharType="separate"/>
      </w:r>
      <w:r>
        <w:rPr>
          <w:rStyle w:val="45"/>
          <w:rFonts w:hint="eastAsia"/>
          <w:color w:val="auto"/>
          <w:szCs w:val="21"/>
          <w:highlight w:val="none"/>
        </w:rPr>
        <w:t>）、电子招标投标交易平台</w:t>
      </w:r>
      <w:r>
        <w:rPr>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)所公布的有关修改、补充资料，否则因投标人未及时关注导致的后果由投标人自行负责。</w:t>
      </w:r>
    </w:p>
    <w:p>
      <w:pPr>
        <w:pStyle w:val="6"/>
        <w:spacing w:before="0" w:after="0" w:line="360" w:lineRule="auto"/>
        <w:rPr>
          <w:rFonts w:hint="eastAsia" w:ascii="宋体" w:hAnsi="宋体"/>
          <w:color w:val="auto"/>
          <w:highlight w:val="none"/>
        </w:rPr>
      </w:pPr>
      <w:bookmarkStart w:id="395" w:name="_Toc419724295"/>
      <w:bookmarkStart w:id="396" w:name="_Toc419825013"/>
      <w:bookmarkStart w:id="397" w:name="_Toc383013002"/>
      <w:bookmarkStart w:id="398" w:name="_Toc419825362"/>
      <w:bookmarkStart w:id="399" w:name="_Toc10801"/>
      <w:bookmarkStart w:id="400" w:name="_Toc383006475"/>
      <w:bookmarkStart w:id="401" w:name="_Toc234382607"/>
      <w:bookmarkStart w:id="402" w:name="_Toc419729362"/>
      <w:bookmarkStart w:id="403" w:name="_Toc463799017"/>
      <w:bookmarkStart w:id="404" w:name="_Toc6453"/>
      <w:bookmarkStart w:id="405" w:name="_Toc382997949"/>
      <w:bookmarkStart w:id="406" w:name="_Toc383512696"/>
      <w:bookmarkStart w:id="407" w:name="_Toc382997671"/>
      <w:bookmarkStart w:id="408" w:name="_Toc490832297"/>
      <w:r>
        <w:rPr>
          <w:rFonts w:hint="eastAsia" w:ascii="宋体" w:hAnsi="宋体"/>
          <w:color w:val="auto"/>
          <w:highlight w:val="none"/>
        </w:rPr>
        <w:t>3. 投标文件</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6"/>
        <w:spacing w:before="0" w:after="0" w:line="360" w:lineRule="auto"/>
        <w:rPr>
          <w:rFonts w:ascii="宋体" w:hAnsi="宋体"/>
          <w:color w:val="auto"/>
          <w:sz w:val="28"/>
          <w:szCs w:val="28"/>
          <w:highlight w:val="none"/>
        </w:rPr>
      </w:pPr>
      <w:bookmarkStart w:id="409" w:name="_Toc234382608"/>
      <w:bookmarkStart w:id="410" w:name="_Toc419825363"/>
      <w:bookmarkStart w:id="411" w:name="_Toc382997950"/>
      <w:bookmarkStart w:id="412" w:name="_Toc487653187"/>
      <w:bookmarkStart w:id="413" w:name="_Toc463799018"/>
      <w:bookmarkStart w:id="414" w:name="_Toc27771"/>
      <w:bookmarkStart w:id="415" w:name="_Toc488483609"/>
      <w:bookmarkStart w:id="416" w:name="_Toc488483481"/>
      <w:bookmarkStart w:id="417" w:name="_Toc486685906"/>
      <w:bookmarkStart w:id="418" w:name="_Toc383512697"/>
      <w:bookmarkStart w:id="419" w:name="_Toc383013003"/>
      <w:bookmarkStart w:id="420" w:name="_Toc490832298"/>
      <w:bookmarkStart w:id="421" w:name="_Toc382997672"/>
      <w:bookmarkStart w:id="422" w:name="_Toc383006476"/>
      <w:bookmarkStart w:id="423" w:name="_Toc16823"/>
      <w:bookmarkStart w:id="424" w:name="_Toc419825014"/>
      <w:bookmarkStart w:id="425" w:name="_Toc419729363"/>
      <w:bookmarkStart w:id="426" w:name="_Toc419724296"/>
      <w:bookmarkStart w:id="427" w:name="_Toc488492840"/>
      <w:r>
        <w:rPr>
          <w:rFonts w:ascii="宋体" w:hAnsi="宋体"/>
          <w:color w:val="auto"/>
          <w:sz w:val="28"/>
          <w:szCs w:val="28"/>
          <w:highlight w:val="none"/>
        </w:rPr>
        <w:t>3.1 投标文件的</w:t>
      </w:r>
      <w:bookmarkEnd w:id="409"/>
      <w:r>
        <w:rPr>
          <w:rFonts w:hint="eastAsia" w:ascii="宋体" w:hAnsi="宋体"/>
          <w:color w:val="auto"/>
          <w:sz w:val="28"/>
          <w:szCs w:val="28"/>
          <w:highlight w:val="none"/>
        </w:rPr>
        <w:t>构成</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21" w:firstLineChars="200"/>
        <w:rPr>
          <w:rFonts w:hint="eastAsia" w:ascii="宋体" w:hAnsi="宋体"/>
          <w:color w:val="auto"/>
          <w:szCs w:val="21"/>
          <w:highlight w:val="none"/>
        </w:rPr>
      </w:pPr>
      <w:r>
        <w:rPr>
          <w:rFonts w:ascii="宋体" w:hAnsi="宋体"/>
          <w:b/>
          <w:bCs/>
          <w:color w:val="auto"/>
          <w:szCs w:val="21"/>
          <w:highlight w:val="none"/>
        </w:rPr>
        <w:t>3.1.1</w:t>
      </w:r>
      <w:r>
        <w:rPr>
          <w:rFonts w:ascii="宋体" w:hAnsi="宋体"/>
          <w:color w:val="auto"/>
          <w:szCs w:val="21"/>
          <w:highlight w:val="none"/>
        </w:rPr>
        <w:t xml:space="preserve"> </w:t>
      </w:r>
      <w:r>
        <w:rPr>
          <w:rFonts w:hint="eastAsia" w:ascii="宋体" w:hAnsi="宋体"/>
          <w:color w:val="auto"/>
          <w:szCs w:val="21"/>
          <w:highlight w:val="none"/>
        </w:rPr>
        <w:t xml:space="preserve"> 投标文件应包括下列内容。</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pPr>
        <w:spacing w:line="400" w:lineRule="exact"/>
        <w:ind w:firstLine="359" w:firstLineChars="171"/>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（5）投标保证金；</w:t>
      </w:r>
    </w:p>
    <w:p>
      <w:pPr>
        <w:spacing w:line="400" w:lineRule="exact"/>
        <w:ind w:firstLine="359" w:firstLineChars="171"/>
        <w:rPr>
          <w:color w:val="auto"/>
          <w:highlight w:val="none"/>
        </w:rPr>
      </w:pPr>
      <w:r>
        <w:rPr>
          <w:rFonts w:hint="eastAsia"/>
          <w:color w:val="auto"/>
          <w:highlight w:val="none"/>
        </w:rPr>
        <w:t>（6）项目管理机构；</w:t>
      </w:r>
    </w:p>
    <w:p>
      <w:pPr>
        <w:spacing w:line="400" w:lineRule="exact"/>
        <w:ind w:firstLine="359" w:firstLineChars="171"/>
        <w:rPr>
          <w:color w:val="auto"/>
          <w:highlight w:val="none"/>
        </w:rPr>
      </w:pPr>
      <w:r>
        <w:rPr>
          <w:rFonts w:hint="eastAsia"/>
          <w:color w:val="auto"/>
          <w:highlight w:val="none"/>
        </w:rPr>
        <w:t>（7）资格审查资料；</w:t>
      </w:r>
    </w:p>
    <w:p>
      <w:pPr>
        <w:spacing w:line="400" w:lineRule="exact"/>
        <w:ind w:firstLine="359" w:firstLineChars="171"/>
        <w:rPr>
          <w:color w:val="auto"/>
          <w:highlight w:val="none"/>
        </w:rPr>
      </w:pPr>
      <w:r>
        <w:rPr>
          <w:rFonts w:hint="eastAsia"/>
          <w:color w:val="auto"/>
          <w:highlight w:val="none"/>
        </w:rPr>
        <w:t>（8）承诺函；</w:t>
      </w:r>
    </w:p>
    <w:p>
      <w:pPr>
        <w:spacing w:line="400" w:lineRule="exact"/>
        <w:ind w:firstLine="359" w:firstLineChars="171"/>
        <w:rPr>
          <w:rFonts w:hint="eastAsia"/>
          <w:color w:val="auto"/>
          <w:highlight w:val="none"/>
        </w:rPr>
      </w:pPr>
      <w:r>
        <w:rPr>
          <w:rFonts w:hint="eastAsia"/>
          <w:color w:val="auto"/>
          <w:highlight w:val="none"/>
        </w:rPr>
        <w:t>（9）已标价工程量清单；</w:t>
      </w:r>
    </w:p>
    <w:p>
      <w:pPr>
        <w:spacing w:line="400" w:lineRule="exact"/>
        <w:ind w:firstLine="359" w:firstLineChars="171"/>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）定标要素情况表。</w:t>
      </w:r>
    </w:p>
    <w:p>
      <w:pPr>
        <w:spacing w:line="400" w:lineRule="exact"/>
        <w:ind w:firstLine="359" w:firstLineChars="171"/>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）其他材料。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3.1.2 投标人代表为法定代表人本人的，投标文件不包括本章第3.1.1 (3）所指的授权委托书；投标人须知前附表规定不接受联合体投标的，或投标人没有组成联合体的，投标文件不包括本章第3.1.1 (4）目所指的联合体协议书。</w:t>
      </w:r>
    </w:p>
    <w:p>
      <w:pPr>
        <w:pStyle w:val="6"/>
        <w:spacing w:before="0" w:after="0" w:line="360" w:lineRule="auto"/>
        <w:rPr>
          <w:rFonts w:ascii="宋体" w:hAnsi="宋体"/>
          <w:color w:val="auto"/>
          <w:sz w:val="28"/>
          <w:szCs w:val="28"/>
          <w:highlight w:val="none"/>
        </w:rPr>
      </w:pPr>
      <w:bookmarkStart w:id="428" w:name="_Toc463799019"/>
      <w:bookmarkStart w:id="429" w:name="_Toc383013004"/>
      <w:bookmarkStart w:id="430" w:name="_Toc13150"/>
      <w:bookmarkStart w:id="431" w:name="_Toc487653188"/>
      <w:bookmarkStart w:id="432" w:name="_Toc383006477"/>
      <w:bookmarkStart w:id="433" w:name="_Toc419724297"/>
      <w:bookmarkStart w:id="434" w:name="_Toc419825364"/>
      <w:bookmarkStart w:id="435" w:name="_Toc488492841"/>
      <w:bookmarkStart w:id="436" w:name="_Toc3746"/>
      <w:bookmarkStart w:id="437" w:name="_Toc383512698"/>
      <w:bookmarkStart w:id="438" w:name="_Toc419825015"/>
      <w:bookmarkStart w:id="439" w:name="_Toc382997673"/>
      <w:bookmarkStart w:id="440" w:name="_Toc488483482"/>
      <w:bookmarkStart w:id="441" w:name="_Toc486685907"/>
      <w:bookmarkStart w:id="442" w:name="_Toc490832299"/>
      <w:bookmarkStart w:id="443" w:name="_Toc488483610"/>
      <w:bookmarkStart w:id="444" w:name="_Toc419729364"/>
      <w:bookmarkStart w:id="445" w:name="_Toc382997951"/>
      <w:bookmarkStart w:id="446" w:name="_Toc234382609"/>
      <w:r>
        <w:rPr>
          <w:rFonts w:ascii="宋体" w:hAnsi="宋体"/>
          <w:color w:val="auto"/>
          <w:sz w:val="28"/>
          <w:szCs w:val="28"/>
          <w:highlight w:val="none"/>
        </w:rPr>
        <w:t>3.2 投标报价</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3.2.1投标报价应包括国家规定的增值税金，除投标人须知前附表另有规定外，增值税税金按一般计税方法计算。投标人应按第九章“投标文件格式”的要求在投标函中进行报价并填写分项</w:t>
      </w:r>
      <w:r>
        <w:rPr>
          <w:rFonts w:hint="eastAsia" w:ascii="宋体" w:hAnsi="宋体"/>
          <w:color w:val="auto"/>
          <w:szCs w:val="21"/>
          <w:highlight w:val="none"/>
          <w:lang w:val="en-US" w:eastAsia="zh-CN"/>
        </w:rPr>
        <w:t>报表</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3.2.2投标人应充分了解本项目的总体情况及影响投标报价的其他要求。计量采用中华人民共和国法定计量单位。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3.2.3投标人编制工程量清单前应对招标文件中的投标人须知、通用合同条款、专用合同条款、技术标准和要求及图纸等充分理解，所编制的工程量清单应涵盖施工图纸所包含的全部内容。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3.2.4投标文件已标价的工程量清单将作为实际工程计量和工程价款的支付、结算依据，施工过程中若无设计变更，工程量及工程费用均不予调整。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3.2.5本工程不接受调价函，投标人在投标截止时间前修改投标函中的投标总报价，应同时修改第六章“工程量清单”中的相应报价，此修改须符合本章第4.2 款的有关要求。已标价工程量清单中原始投标报价汇总表与投标函投标总价不符的，作废标处理。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3.2.6本工程设有工程招标最高控制价，投标报价高于工程招标最高控制价的，其投标文件作废标处理。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3.2.7投标单价、总价和工期应包含以下费用或风险，合同执行期间不作调整：</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2）承包人自行确定合法卸泥区、采砂区、采石区所导致的费用风险，办理水上水下作业许可、卸泥、爆破等相关施工手续并承担相关费用。</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3）工程所含材料价格应综合材料费、资源费、运输费、采购保管费、检验费等一切费用。 </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4）按照《福建省水运工程施工标准化指南》“三三三”施工标准化管理模式的要求，做好</w:t>
      </w:r>
      <w:r>
        <w:rPr>
          <w:rFonts w:ascii="宋体" w:hAnsi="宋体"/>
          <w:color w:val="auto"/>
          <w:szCs w:val="21"/>
          <w:highlight w:val="none"/>
        </w:rPr>
        <w:t>工地建设“三集中”、质量控制“三强化”、安全措施“三到位”</w:t>
      </w:r>
      <w:r>
        <w:rPr>
          <w:rFonts w:hint="eastAsia" w:ascii="宋体" w:hAnsi="宋体"/>
          <w:color w:val="auto"/>
          <w:szCs w:val="21"/>
          <w:highlight w:val="none"/>
        </w:rPr>
        <w:t>等工作在投标报价时应充分考虑该部分费用，并在综合单价内体现。</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3.2.8投标报价的其他需求，见投标人须知前附表。</w:t>
      </w:r>
    </w:p>
    <w:p>
      <w:pPr>
        <w:pStyle w:val="6"/>
        <w:spacing w:before="0" w:after="0" w:line="360" w:lineRule="auto"/>
        <w:rPr>
          <w:rFonts w:ascii="宋体" w:hAnsi="宋体"/>
          <w:color w:val="auto"/>
          <w:sz w:val="28"/>
          <w:szCs w:val="28"/>
          <w:highlight w:val="none"/>
        </w:rPr>
      </w:pPr>
      <w:bookmarkStart w:id="447" w:name="_Toc463799020"/>
      <w:bookmarkStart w:id="448" w:name="_Toc383512699"/>
      <w:bookmarkStart w:id="449" w:name="_Toc487653189"/>
      <w:bookmarkStart w:id="450" w:name="_Toc419825365"/>
      <w:bookmarkStart w:id="451" w:name="_Toc488483483"/>
      <w:bookmarkStart w:id="452" w:name="_Toc383013005"/>
      <w:bookmarkStart w:id="453" w:name="_Toc382997952"/>
      <w:bookmarkStart w:id="454" w:name="_Toc488492842"/>
      <w:bookmarkStart w:id="455" w:name="_Toc419729365"/>
      <w:bookmarkStart w:id="456" w:name="_Toc419724298"/>
      <w:bookmarkStart w:id="457" w:name="_Toc382997674"/>
      <w:bookmarkStart w:id="458" w:name="_Toc278"/>
      <w:bookmarkStart w:id="459" w:name="_Toc419825016"/>
      <w:bookmarkStart w:id="460" w:name="_Toc488483611"/>
      <w:bookmarkStart w:id="461" w:name="_Toc383006478"/>
      <w:bookmarkStart w:id="462" w:name="_Toc490832300"/>
      <w:bookmarkStart w:id="463" w:name="_Toc486685908"/>
      <w:bookmarkStart w:id="464" w:name="_Toc234382610"/>
      <w:bookmarkStart w:id="465" w:name="_Toc16010"/>
      <w:r>
        <w:rPr>
          <w:rFonts w:ascii="宋体" w:hAnsi="宋体"/>
          <w:color w:val="auto"/>
          <w:sz w:val="28"/>
          <w:szCs w:val="28"/>
          <w:highlight w:val="none"/>
        </w:rPr>
        <w:t>3.3 投标有效期</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3.3.1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在投标人须知前附表规定的投标有效期内</w:t>
      </w:r>
      <w:r>
        <w:rPr>
          <w:rFonts w:hint="eastAsia" w:ascii="宋体" w:hAnsi="宋体"/>
          <w:color w:val="auto"/>
          <w:szCs w:val="21"/>
          <w:highlight w:val="none"/>
        </w:rPr>
        <w:t>,</w:t>
      </w:r>
      <w:r>
        <w:rPr>
          <w:rFonts w:ascii="宋体" w:hAnsi="宋体"/>
          <w:color w:val="auto"/>
          <w:szCs w:val="21"/>
          <w:highlight w:val="none"/>
        </w:rPr>
        <w:t>投标人不得要求撤销或修改其投标文件。</w:t>
      </w:r>
    </w:p>
    <w:p>
      <w:pPr>
        <w:spacing w:line="360" w:lineRule="auto"/>
        <w:ind w:firstLine="421" w:firstLineChars="200"/>
        <w:rPr>
          <w:rFonts w:ascii="宋体" w:hAnsi="宋体"/>
          <w:color w:val="auto"/>
          <w:szCs w:val="21"/>
          <w:highlight w:val="none"/>
        </w:rPr>
      </w:pPr>
      <w:r>
        <w:rPr>
          <w:rFonts w:ascii="宋体" w:hAnsi="宋体"/>
          <w:b/>
          <w:bCs/>
          <w:color w:val="auto"/>
          <w:szCs w:val="21"/>
          <w:highlight w:val="none"/>
        </w:rPr>
        <w:t xml:space="preserve">3.3.2 </w:t>
      </w:r>
      <w:r>
        <w:rPr>
          <w:rFonts w:hint="eastAsia" w:ascii="宋体" w:hAnsi="宋体"/>
          <w:color w:val="auto"/>
          <w:szCs w:val="21"/>
          <w:highlight w:val="none"/>
        </w:rPr>
        <w:t xml:space="preserve"> </w:t>
      </w:r>
      <w:r>
        <w:rPr>
          <w:rFonts w:hint="eastAsia"/>
          <w:color w:val="auto"/>
          <w:szCs w:val="21"/>
          <w:highlight w:val="none"/>
        </w:rPr>
        <w:t>出现特殊情况需要延长投标有效期的，招标人以书面形式通知所有投标人延长投标有效期，</w:t>
      </w:r>
      <w:r>
        <w:rPr>
          <w:rFonts w:hint="eastAsia" w:ascii="宋体" w:hAnsi="宋体"/>
          <w:color w:val="auto"/>
          <w:szCs w:val="21"/>
          <w:highlight w:val="none"/>
        </w:rPr>
        <w:t>但延长后投标有限期共计不超过120天</w:t>
      </w:r>
      <w:r>
        <w:rPr>
          <w:rFonts w:hint="eastAsia" w:ascii="宋体" w:hAnsi="宋体"/>
          <w:color w:val="auto"/>
          <w:highlight w:val="none"/>
        </w:rPr>
        <w:t>。</w:t>
      </w:r>
      <w:r>
        <w:rPr>
          <w:rFonts w:hint="eastAsia"/>
          <w:color w:val="auto"/>
          <w:szCs w:val="21"/>
          <w:highlight w:val="none"/>
        </w:rPr>
        <w:t>投标人同意延长的，应相应延长其投标保证金的有效期，但不得要求或被允许修改或撤销其投标文件；投标人拒绝延长的，其投标失效，但投标人有权收回其投标保证金</w:t>
      </w:r>
      <w:r>
        <w:rPr>
          <w:rFonts w:ascii="宋体" w:hAnsi="宋体"/>
          <w:color w:val="auto"/>
          <w:szCs w:val="21"/>
          <w:highlight w:val="none"/>
        </w:rPr>
        <w:t>。</w:t>
      </w:r>
    </w:p>
    <w:p>
      <w:pPr>
        <w:pStyle w:val="6"/>
        <w:spacing w:before="0" w:after="0" w:line="360" w:lineRule="auto"/>
        <w:rPr>
          <w:rFonts w:ascii="宋体" w:hAnsi="宋体"/>
          <w:color w:val="auto"/>
          <w:sz w:val="28"/>
          <w:szCs w:val="28"/>
          <w:highlight w:val="none"/>
        </w:rPr>
      </w:pPr>
      <w:bookmarkStart w:id="466" w:name="_Toc490832301"/>
      <w:bookmarkStart w:id="467" w:name="_Toc234382611"/>
      <w:bookmarkStart w:id="468" w:name="_Toc419729366"/>
      <w:bookmarkStart w:id="469" w:name="_Toc486685909"/>
      <w:bookmarkStart w:id="470" w:name="_Toc488483612"/>
      <w:bookmarkStart w:id="471" w:name="_Toc383512700"/>
      <w:bookmarkStart w:id="472" w:name="_Toc488483484"/>
      <w:bookmarkStart w:id="473" w:name="_Toc17235"/>
      <w:bookmarkStart w:id="474" w:name="_Toc382997675"/>
      <w:bookmarkStart w:id="475" w:name="_Toc419825366"/>
      <w:bookmarkStart w:id="476" w:name="_Toc487653190"/>
      <w:bookmarkStart w:id="477" w:name="_Toc488492843"/>
      <w:bookmarkStart w:id="478" w:name="_Toc383013006"/>
      <w:bookmarkStart w:id="479" w:name="_Toc14182"/>
      <w:bookmarkStart w:id="480" w:name="_Toc382997953"/>
      <w:bookmarkStart w:id="481" w:name="_Toc419724299"/>
      <w:bookmarkStart w:id="482" w:name="_Toc383006479"/>
      <w:bookmarkStart w:id="483" w:name="_Toc419825017"/>
      <w:bookmarkStart w:id="484" w:name="_Toc463799021"/>
      <w:r>
        <w:rPr>
          <w:rFonts w:ascii="宋体" w:hAnsi="宋体"/>
          <w:color w:val="auto"/>
          <w:sz w:val="28"/>
          <w:szCs w:val="28"/>
          <w:highlight w:val="none"/>
        </w:rPr>
        <w:t>3.4 投标保证金</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ascii="宋体" w:hAnsi="宋体"/>
          <w:color w:val="auto"/>
          <w:sz w:val="28"/>
          <w:szCs w:val="28"/>
          <w:highlight w:val="none"/>
        </w:rPr>
        <w:t xml:space="preserve"> </w:t>
      </w:r>
    </w:p>
    <w:p>
      <w:pPr>
        <w:spacing w:line="360" w:lineRule="auto"/>
        <w:ind w:firstLine="421" w:firstLineChars="200"/>
        <w:rPr>
          <w:rFonts w:hint="eastAsia" w:ascii="宋体" w:hAnsi="宋体"/>
          <w:b/>
          <w:bCs/>
          <w:color w:val="auto"/>
          <w:szCs w:val="21"/>
          <w:highlight w:val="none"/>
        </w:rPr>
      </w:pPr>
      <w:r>
        <w:rPr>
          <w:rFonts w:hint="eastAsia" w:ascii="宋体" w:hAnsi="宋体"/>
          <w:b/>
          <w:bCs/>
          <w:color w:val="auto"/>
          <w:szCs w:val="21"/>
          <w:highlight w:val="none"/>
        </w:rPr>
        <w:t>3.4.1</w:t>
      </w:r>
      <w:r>
        <w:rPr>
          <w:rFonts w:hint="eastAsia"/>
          <w:color w:val="auto"/>
          <w:szCs w:val="21"/>
          <w:highlight w:val="none"/>
        </w:rPr>
        <w:t>投标人在递交投标文件的同时，应按投标人须知前附表规定的金额、担保形式和第九章“投标文件格式”规定的投标保证金格式递交投标保证金，并作为其投标文件的组成部分。联合体投标的，其投标保证金由牵头人递交，并应符合投标人须知前附表的规定</w:t>
      </w:r>
      <w:r>
        <w:rPr>
          <w:rFonts w:hint="eastAsia" w:ascii="宋体" w:hAnsi="宋体"/>
          <w:color w:val="auto"/>
          <w:szCs w:val="21"/>
          <w:highlight w:val="none"/>
        </w:rPr>
        <w:t>。</w:t>
      </w:r>
    </w:p>
    <w:p>
      <w:pPr>
        <w:spacing w:line="360" w:lineRule="auto"/>
        <w:ind w:firstLine="421" w:firstLineChars="200"/>
        <w:rPr>
          <w:rFonts w:hint="eastAsia" w:ascii="宋体" w:hAnsi="宋体"/>
          <w:b/>
          <w:bCs/>
          <w:color w:val="auto"/>
          <w:szCs w:val="21"/>
          <w:highlight w:val="none"/>
        </w:rPr>
      </w:pPr>
      <w:r>
        <w:rPr>
          <w:rFonts w:hint="eastAsia" w:ascii="宋体" w:hAnsi="宋体"/>
          <w:b/>
          <w:bCs/>
          <w:color w:val="auto"/>
          <w:szCs w:val="21"/>
          <w:highlight w:val="none"/>
        </w:rPr>
        <w:t xml:space="preserve">3.4.2 </w:t>
      </w:r>
      <w:r>
        <w:rPr>
          <w:rFonts w:hint="eastAsia" w:ascii="宋体" w:hAnsi="宋体"/>
          <w:color w:val="auto"/>
          <w:szCs w:val="21"/>
          <w:highlight w:val="none"/>
        </w:rPr>
        <w:t>投标人不按本章第 3.4.1 项要求提交投标保证金的，其投标文件作废标处理。</w:t>
      </w:r>
    </w:p>
    <w:p>
      <w:pPr>
        <w:spacing w:line="360" w:lineRule="auto"/>
        <w:ind w:firstLine="421" w:firstLineChars="200"/>
        <w:rPr>
          <w:rFonts w:hint="eastAsia" w:ascii="宋体" w:hAnsi="宋体"/>
          <w:color w:val="auto"/>
          <w:szCs w:val="21"/>
          <w:highlight w:val="none"/>
        </w:rPr>
      </w:pPr>
      <w:r>
        <w:rPr>
          <w:rFonts w:ascii="宋体" w:hAnsi="宋体"/>
          <w:b/>
          <w:bCs/>
          <w:color w:val="auto"/>
          <w:szCs w:val="21"/>
          <w:highlight w:val="none"/>
        </w:rPr>
        <w:t>3.4.</w:t>
      </w:r>
      <w:r>
        <w:rPr>
          <w:rFonts w:hint="eastAsia" w:ascii="宋体" w:hAnsi="宋体"/>
          <w:b/>
          <w:bCs/>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招标人与</w:t>
      </w:r>
      <w:r>
        <w:rPr>
          <w:rFonts w:ascii="宋体" w:hAnsi="宋体"/>
          <w:color w:val="auto"/>
          <w:szCs w:val="21"/>
          <w:highlight w:val="none"/>
        </w:rPr>
        <w:t>中标人签订合同后 5 日内</w:t>
      </w:r>
      <w:r>
        <w:rPr>
          <w:rFonts w:hint="eastAsia" w:ascii="宋体" w:hAnsi="宋体"/>
          <w:color w:val="auto"/>
          <w:szCs w:val="21"/>
          <w:highlight w:val="none"/>
        </w:rPr>
        <w:t>,</w:t>
      </w:r>
      <w:r>
        <w:rPr>
          <w:rFonts w:ascii="宋体" w:hAnsi="宋体"/>
          <w:color w:val="auto"/>
          <w:szCs w:val="21"/>
          <w:highlight w:val="none"/>
        </w:rPr>
        <w:t>向未中标的投标人和中标人退还投标保证金</w:t>
      </w:r>
      <w:r>
        <w:rPr>
          <w:rFonts w:hint="eastAsia" w:ascii="宋体" w:hAnsi="宋体"/>
          <w:color w:val="auto"/>
          <w:szCs w:val="21"/>
          <w:highlight w:val="none"/>
        </w:rPr>
        <w:t>。</w:t>
      </w:r>
    </w:p>
    <w:p>
      <w:pPr>
        <w:spacing w:line="360" w:lineRule="auto"/>
        <w:ind w:firstLine="421" w:firstLineChars="200"/>
        <w:rPr>
          <w:rFonts w:ascii="宋体" w:hAnsi="宋体"/>
          <w:color w:val="auto"/>
          <w:szCs w:val="21"/>
          <w:highlight w:val="none"/>
        </w:rPr>
      </w:pPr>
      <w:r>
        <w:rPr>
          <w:rFonts w:hint="eastAsia" w:ascii="宋体" w:hAnsi="宋体"/>
          <w:b/>
          <w:bCs/>
          <w:color w:val="auto"/>
          <w:szCs w:val="21"/>
          <w:highlight w:val="none"/>
        </w:rPr>
        <w:t>3.4.4</w:t>
      </w:r>
      <w:r>
        <w:rPr>
          <w:rFonts w:hint="eastAsia" w:ascii="宋体" w:hAnsi="宋体"/>
          <w:color w:val="auto"/>
          <w:szCs w:val="21"/>
          <w:highlight w:val="none"/>
        </w:rPr>
        <w:t xml:space="preserve"> </w:t>
      </w:r>
      <w:r>
        <w:rPr>
          <w:rFonts w:ascii="宋体" w:hAnsi="宋体"/>
          <w:color w:val="auto"/>
          <w:szCs w:val="21"/>
          <w:highlight w:val="none"/>
        </w:rPr>
        <w:t>有下列情形之一的</w:t>
      </w:r>
      <w:r>
        <w:rPr>
          <w:rFonts w:hint="eastAsia" w:ascii="宋体" w:hAnsi="宋体"/>
          <w:color w:val="auto"/>
          <w:szCs w:val="21"/>
          <w:highlight w:val="none"/>
        </w:rPr>
        <w:t>,</w:t>
      </w:r>
      <w:r>
        <w:rPr>
          <w:rFonts w:ascii="宋体" w:hAnsi="宋体"/>
          <w:color w:val="auto"/>
          <w:szCs w:val="21"/>
          <w:highlight w:val="none"/>
        </w:rPr>
        <w:t>投标保证金将不予退还：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投标人在规定的投标有效期内撤销或修改其投标文件；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中标人在收到中标通知书后</w:t>
      </w:r>
      <w:r>
        <w:rPr>
          <w:rFonts w:hint="eastAsia" w:ascii="宋体" w:hAnsi="宋体"/>
          <w:color w:val="auto"/>
          <w:szCs w:val="21"/>
          <w:highlight w:val="none"/>
        </w:rPr>
        <w:t>,</w:t>
      </w:r>
      <w:r>
        <w:rPr>
          <w:rFonts w:ascii="宋体" w:hAnsi="宋体"/>
          <w:color w:val="auto"/>
          <w:szCs w:val="21"/>
          <w:highlight w:val="none"/>
        </w:rPr>
        <w:t>无正当理由拒签合同协议书或未按招标文件规定提交履约担保</w:t>
      </w:r>
      <w:r>
        <w:rPr>
          <w:rFonts w:hint="eastAsia" w:ascii="宋体" w:hAnsi="宋体"/>
          <w:color w:val="auto"/>
          <w:szCs w:val="21"/>
          <w:highlight w:val="none"/>
        </w:rPr>
        <w:t>。</w:t>
      </w:r>
    </w:p>
    <w:p>
      <w:pPr>
        <w:pStyle w:val="6"/>
        <w:spacing w:before="0" w:after="0" w:line="360" w:lineRule="auto"/>
        <w:rPr>
          <w:rFonts w:hint="eastAsia"/>
          <w:color w:val="auto"/>
          <w:highlight w:val="none"/>
        </w:rPr>
      </w:pPr>
      <w:bookmarkStart w:id="485" w:name="_Toc234382613"/>
      <w:bookmarkStart w:id="486" w:name="_Toc4108"/>
      <w:r>
        <w:rPr>
          <w:rFonts w:hint="eastAsia" w:ascii="宋体" w:hAnsi="宋体"/>
          <w:color w:val="auto"/>
          <w:sz w:val="28"/>
          <w:szCs w:val="28"/>
          <w:highlight w:val="none"/>
        </w:rPr>
        <w:t xml:space="preserve"> </w:t>
      </w:r>
      <w:bookmarkEnd w:id="485"/>
      <w:bookmarkEnd w:id="486"/>
      <w:bookmarkStart w:id="487" w:name="_Toc490832302"/>
      <w:bookmarkStart w:id="488" w:name="_Toc487653191"/>
      <w:bookmarkStart w:id="489" w:name="_Toc488492844"/>
      <w:bookmarkStart w:id="490" w:name="_Toc488483613"/>
      <w:bookmarkStart w:id="491" w:name="_Toc28211"/>
      <w:bookmarkStart w:id="492" w:name="_Toc486685910"/>
      <w:bookmarkStart w:id="493" w:name="_Toc488483485"/>
      <w:r>
        <w:rPr>
          <w:rFonts w:ascii="宋体" w:hAnsi="宋体"/>
          <w:color w:val="auto"/>
          <w:sz w:val="28"/>
          <w:szCs w:val="28"/>
          <w:highlight w:val="none"/>
        </w:rPr>
        <w:t>3.5 资格审查</w:t>
      </w:r>
      <w:bookmarkEnd w:id="487"/>
      <w:bookmarkEnd w:id="488"/>
      <w:bookmarkEnd w:id="489"/>
      <w:bookmarkEnd w:id="490"/>
      <w:bookmarkEnd w:id="491"/>
      <w:bookmarkEnd w:id="492"/>
      <w:bookmarkEnd w:id="493"/>
    </w:p>
    <w:p>
      <w:pPr>
        <w:spacing w:line="360" w:lineRule="auto"/>
        <w:ind w:firstLine="420" w:firstLineChars="200"/>
        <w:rPr>
          <w:rFonts w:hint="eastAsia" w:ascii="宋体" w:hAnsi="宋体"/>
          <w:color w:val="auto"/>
          <w:szCs w:val="21"/>
          <w:highlight w:val="none"/>
        </w:rPr>
      </w:pPr>
      <w:bookmarkStart w:id="494" w:name="_Toc463799023"/>
      <w:bookmarkStart w:id="495" w:name="_Toc419825368"/>
      <w:bookmarkStart w:id="496" w:name="_Toc419724301"/>
      <w:bookmarkStart w:id="497" w:name="_Toc382997677"/>
      <w:bookmarkStart w:id="498" w:name="_Toc234382615"/>
      <w:bookmarkStart w:id="499" w:name="_Toc382997955"/>
      <w:bookmarkStart w:id="500" w:name="_Toc383013008"/>
      <w:bookmarkStart w:id="501" w:name="_Toc383512702"/>
      <w:bookmarkStart w:id="502" w:name="_Toc383006481"/>
      <w:bookmarkStart w:id="503" w:name="_Toc419825019"/>
      <w:bookmarkStart w:id="504" w:name="_Toc2752"/>
      <w:bookmarkStart w:id="505" w:name="_Toc419729368"/>
      <w:r>
        <w:rPr>
          <w:rFonts w:hint="eastAsia" w:ascii="宋体" w:hAnsi="宋体"/>
          <w:color w:val="auto"/>
          <w:szCs w:val="21"/>
          <w:highlight w:val="none"/>
        </w:rPr>
        <w:t>3.5.1 “投标人基本情况表”应附投标人营业执照副本、资质证书副本和安全生产许可证（均含变更记录）等材料的扫描件。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3.5.2 “近3年财务状况表”无需提交。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 “近年完成的项目情况表”应附在交通运输部“全国水运建设市场信用信息管理系统”（https://wtis.mot.gov.cn/credit/index.html）中查询到的企业“业绩信息”相关项目网页截图扫描件，或附在“福建省交通公路水运建设与运输市场信用信息管理系统（信用交通·福建）”（</w:t>
      </w:r>
      <w:r>
        <w:rPr>
          <w:rFonts w:hint="eastAsia" w:ascii="宋体" w:hAnsi="宋体"/>
          <w:color w:val="auto"/>
          <w:szCs w:val="21"/>
          <w:highlight w:val="none"/>
          <w:lang w:eastAsia="zh-CN"/>
        </w:rPr>
        <w:t>http://220.160.53.3:30050/gzwz/</w:t>
      </w:r>
      <w:r>
        <w:rPr>
          <w:rFonts w:hint="eastAsia" w:ascii="宋体" w:hAnsi="宋体"/>
          <w:color w:val="auto"/>
          <w:szCs w:val="21"/>
          <w:highlight w:val="none"/>
        </w:rPr>
        <w:t>）中查询到的网页截图（并注明查询路径）；并提供①合同文件扫描件，②交(竣)工验收证书或交工验收表、竣工验收现场核查报告（均同时附上质量鉴定意见）的扫描件，航道工程还需提供单独立项的工可批复文件扫描件。具体年份要求见投标人须知前附表。每张表格只填写一个项目，并标明序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 “近3年发生的诉讼及仲裁情况”应说明相关情况，并附法院或仲裁机构作出的判决、裁决等有关法律文书扫描件，具体年份要求见投标人须知前附表。</w:t>
      </w:r>
    </w:p>
    <w:p>
      <w:pPr>
        <w:spacing w:line="440" w:lineRule="exact"/>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3.5.5 “拟用于本工程的主要船机权证情况”应附船舶所有权登记证书、国籍证书、海上船舶检验证书簿、适航证书、船舶吨位证书、船舶载重线证书等，如前述材料尚不能体现该船舶的的舱容、总装机功率、生产能力等主要技术参数的，还应补充提供有权部门出具的证明文件，否则视为不满足招标文件要求；“有权部门”是指：中国船级社、船舶检验局等部门及其分支机构；如系租赁，还须补充提供租赁协议书或租赁意向书或合作协议书，否则无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3.5.6投标人须知前附表规定接受联合体投标的，本章第3.5.1 项及第3.5.4 项规定的表格和资料应包括联合体各方相关情况。</w:t>
      </w:r>
    </w:p>
    <w:p>
      <w:pPr>
        <w:pStyle w:val="6"/>
        <w:spacing w:before="0" w:after="0" w:line="360" w:lineRule="auto"/>
        <w:rPr>
          <w:rFonts w:hint="eastAsia" w:ascii="宋体" w:hAnsi="宋体"/>
          <w:color w:val="auto"/>
          <w:sz w:val="28"/>
          <w:szCs w:val="28"/>
          <w:highlight w:val="none"/>
        </w:rPr>
      </w:pPr>
      <w:bookmarkStart w:id="506" w:name="_Toc486685911"/>
      <w:bookmarkStart w:id="507" w:name="_Toc490832303"/>
      <w:bookmarkStart w:id="508" w:name="_Toc488492845"/>
      <w:bookmarkStart w:id="509" w:name="_Toc488483614"/>
      <w:bookmarkStart w:id="510" w:name="_Toc487653192"/>
      <w:bookmarkStart w:id="511" w:name="_Toc27078"/>
      <w:bookmarkStart w:id="512" w:name="_Toc488483486"/>
      <w:r>
        <w:rPr>
          <w:rFonts w:ascii="宋体" w:hAnsi="宋体"/>
          <w:color w:val="auto"/>
          <w:sz w:val="28"/>
          <w:szCs w:val="28"/>
          <w:highlight w:val="none"/>
        </w:rPr>
        <w:t>3.</w:t>
      </w:r>
      <w:r>
        <w:rPr>
          <w:rFonts w:hint="eastAsia" w:ascii="宋体" w:hAnsi="宋体"/>
          <w:color w:val="auto"/>
          <w:sz w:val="28"/>
          <w:szCs w:val="28"/>
          <w:highlight w:val="none"/>
        </w:rPr>
        <w:t>6</w:t>
      </w:r>
      <w:r>
        <w:rPr>
          <w:rFonts w:ascii="宋体" w:hAnsi="宋体"/>
          <w:color w:val="auto"/>
          <w:sz w:val="28"/>
          <w:szCs w:val="28"/>
          <w:highlight w:val="none"/>
        </w:rPr>
        <w:t xml:space="preserve"> </w:t>
      </w:r>
      <w:r>
        <w:rPr>
          <w:rFonts w:hint="eastAsia" w:ascii="宋体" w:hAnsi="宋体"/>
          <w:color w:val="auto"/>
          <w:sz w:val="28"/>
          <w:szCs w:val="28"/>
          <w:highlight w:val="none"/>
        </w:rPr>
        <w:t>备选投标方案</w:t>
      </w:r>
      <w:bookmarkEnd w:id="494"/>
      <w:bookmarkEnd w:id="506"/>
      <w:bookmarkEnd w:id="507"/>
      <w:bookmarkEnd w:id="508"/>
      <w:bookmarkEnd w:id="509"/>
      <w:bookmarkEnd w:id="510"/>
      <w:bookmarkEnd w:id="511"/>
      <w:bookmarkEnd w:id="512"/>
    </w:p>
    <w:p>
      <w:pPr>
        <w:spacing w:line="360" w:lineRule="auto"/>
        <w:ind w:firstLine="420" w:firstLineChars="200"/>
        <w:rPr>
          <w:rFonts w:hint="eastAsia" w:ascii="宋体" w:hAnsi="宋体"/>
          <w:color w:val="auto"/>
          <w:szCs w:val="21"/>
          <w:highlight w:val="none"/>
        </w:rPr>
      </w:pPr>
      <w:bookmarkStart w:id="513" w:name="_Toc463799024"/>
      <w:r>
        <w:rPr>
          <w:rFonts w:hint="eastAsia" w:ascii="宋体" w:hAnsi="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before="0" w:after="0" w:line="360" w:lineRule="auto"/>
        <w:rPr>
          <w:rFonts w:ascii="宋体" w:hAnsi="宋体"/>
          <w:color w:val="auto"/>
          <w:sz w:val="28"/>
          <w:szCs w:val="28"/>
          <w:highlight w:val="none"/>
        </w:rPr>
      </w:pPr>
      <w:bookmarkStart w:id="514" w:name="_Toc19447"/>
      <w:bookmarkStart w:id="515" w:name="_Toc488492846"/>
      <w:bookmarkStart w:id="516" w:name="_Toc488483615"/>
      <w:bookmarkStart w:id="517" w:name="_Toc490832304"/>
      <w:bookmarkStart w:id="518" w:name="_Toc487653193"/>
      <w:bookmarkStart w:id="519" w:name="_Toc488483487"/>
      <w:bookmarkStart w:id="520" w:name="_Toc486685912"/>
      <w:r>
        <w:rPr>
          <w:rFonts w:hint="eastAsia" w:ascii="宋体" w:hAnsi="宋体"/>
          <w:color w:val="auto"/>
          <w:sz w:val="28"/>
          <w:szCs w:val="28"/>
          <w:highlight w:val="none"/>
        </w:rPr>
        <w:t>3.7</w:t>
      </w:r>
      <w:r>
        <w:rPr>
          <w:rFonts w:ascii="宋体" w:hAnsi="宋体"/>
          <w:color w:val="auto"/>
          <w:sz w:val="28"/>
          <w:szCs w:val="28"/>
          <w:highlight w:val="none"/>
        </w:rPr>
        <w:t>投标文件的编制</w:t>
      </w:r>
      <w:bookmarkEnd w:id="495"/>
      <w:bookmarkEnd w:id="496"/>
      <w:bookmarkEnd w:id="497"/>
      <w:bookmarkEnd w:id="498"/>
      <w:bookmarkEnd w:id="499"/>
      <w:bookmarkEnd w:id="500"/>
      <w:bookmarkEnd w:id="501"/>
      <w:bookmarkEnd w:id="502"/>
      <w:bookmarkEnd w:id="503"/>
      <w:bookmarkEnd w:id="504"/>
      <w:bookmarkEnd w:id="505"/>
      <w:bookmarkEnd w:id="513"/>
      <w:bookmarkEnd w:id="514"/>
      <w:bookmarkEnd w:id="515"/>
      <w:bookmarkEnd w:id="516"/>
      <w:bookmarkEnd w:id="517"/>
      <w:bookmarkEnd w:id="518"/>
      <w:bookmarkEnd w:id="519"/>
      <w:bookmarkEnd w:id="520"/>
    </w:p>
    <w:p>
      <w:pPr>
        <w:spacing w:line="360" w:lineRule="auto"/>
        <w:ind w:firstLine="420" w:firstLineChars="200"/>
        <w:rPr>
          <w:rFonts w:hint="eastAsia" w:ascii="宋体" w:hAnsi="宋体"/>
          <w:color w:val="auto"/>
          <w:szCs w:val="21"/>
          <w:highlight w:val="none"/>
        </w:rPr>
      </w:pPr>
      <w:bookmarkStart w:id="521" w:name="_Toc383512703"/>
      <w:bookmarkStart w:id="522" w:name="_Toc463799025"/>
      <w:bookmarkStart w:id="523" w:name="_Toc419825020"/>
      <w:bookmarkStart w:id="524" w:name="_Toc382997678"/>
      <w:bookmarkStart w:id="525" w:name="_Toc419724302"/>
      <w:bookmarkStart w:id="526" w:name="_Toc383006482"/>
      <w:bookmarkStart w:id="527" w:name="_Toc382997956"/>
      <w:bookmarkStart w:id="528" w:name="_Toc419825369"/>
      <w:bookmarkStart w:id="529" w:name="_Toc419729369"/>
      <w:bookmarkStart w:id="530" w:name="_Toc7288"/>
      <w:bookmarkStart w:id="531" w:name="_Toc383013009"/>
      <w:bookmarkStart w:id="532" w:name="_Toc234382616"/>
      <w:r>
        <w:rPr>
          <w:rFonts w:hint="eastAsia" w:ascii="宋体" w:hAnsi="宋体"/>
          <w:color w:val="auto"/>
          <w:szCs w:val="21"/>
          <w:highlight w:val="none"/>
        </w:rPr>
        <w:t>3.7.1</w:t>
      </w:r>
      <w:r>
        <w:rPr>
          <w:rFonts w:hint="eastAsia" w:ascii="宋体" w:hAnsi="宋体"/>
          <w:color w:val="auto"/>
          <w:highlight w:val="none"/>
        </w:rPr>
        <w:t>投标文件应使用电子交易平台提供的投标文件制作软件，</w:t>
      </w:r>
      <w:r>
        <w:rPr>
          <w:rFonts w:hint="eastAsia" w:ascii="宋体" w:hAnsi="宋体"/>
          <w:color w:val="auto"/>
          <w:szCs w:val="21"/>
          <w:highlight w:val="none"/>
        </w:rPr>
        <w:t>按第九章“投标文件格式”进行编制，如有必要，可以增加附页，作为投标文件的组成部分。其中，投标函附录在满足招标文件实质性要求的基础上，可以提出比招标文件要求更有利于招标人的承诺。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auto"/>
          <w:highlight w:val="none"/>
        </w:rPr>
      </w:pPr>
      <w:r>
        <w:rPr>
          <w:rFonts w:hint="eastAsia" w:ascii="宋体" w:hAnsi="宋体"/>
          <w:color w:val="auto"/>
          <w:highlight w:val="none"/>
        </w:rPr>
        <w:t>电子交易平台为投标人提供在线或离线编辑和制作投标文件的功能，主要包括文件的导入、文件内容编辑、工程量清单报价（如有要求）导入、版式文件转换、电子签章、文件生成、校验以及加密等功能。</w:t>
      </w:r>
      <w:r>
        <w:rPr>
          <w:rFonts w:hint="eastAsia" w:ascii="宋体" w:hAnsi="宋体"/>
          <w:color w:val="auto"/>
          <w:szCs w:val="21"/>
          <w:highlight w:val="none"/>
        </w:rPr>
        <w:t>具体的电子投标文件</w:t>
      </w:r>
      <w:r>
        <w:rPr>
          <w:rFonts w:hint="eastAsia" w:ascii="宋体" w:hAnsi="宋体"/>
          <w:color w:val="auto"/>
          <w:highlight w:val="none"/>
        </w:rPr>
        <w:t>制作软件的使用说明</w:t>
      </w:r>
      <w:r>
        <w:rPr>
          <w:rFonts w:hint="eastAsia" w:ascii="宋体" w:hAnsi="宋体"/>
          <w:color w:val="auto"/>
          <w:szCs w:val="21"/>
          <w:highlight w:val="none"/>
        </w:rPr>
        <w:t>详见该电子交易平台上的相关说明或电话咨询电子交易平台。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3.7.2 投标文件应当对招标文件有关工期、投标有效期、质量要求、技术标准和要求、招标范围等实质性内容作出响应。</w:t>
      </w:r>
    </w:p>
    <w:p>
      <w:pPr>
        <w:pStyle w:val="6"/>
        <w:spacing w:before="0" w:after="0" w:line="360" w:lineRule="auto"/>
        <w:rPr>
          <w:rFonts w:ascii="宋体" w:hAnsi="宋体"/>
          <w:color w:val="auto"/>
          <w:highlight w:val="none"/>
        </w:rPr>
      </w:pPr>
      <w:bookmarkStart w:id="533" w:name="_Toc29523"/>
      <w:bookmarkStart w:id="534" w:name="_Toc490832305"/>
      <w:r>
        <w:rPr>
          <w:rFonts w:hint="eastAsia" w:ascii="宋体" w:hAnsi="宋体"/>
          <w:color w:val="auto"/>
          <w:highlight w:val="none"/>
        </w:rPr>
        <w:t>4.</w:t>
      </w:r>
      <w:r>
        <w:rPr>
          <w:rFonts w:ascii="宋体" w:hAnsi="宋体"/>
          <w:color w:val="auto"/>
          <w:highlight w:val="none"/>
        </w:rPr>
        <w:t>投标</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pStyle w:val="6"/>
        <w:spacing w:before="0" w:after="0" w:line="360" w:lineRule="auto"/>
        <w:rPr>
          <w:rFonts w:ascii="宋体" w:hAnsi="宋体"/>
          <w:color w:val="auto"/>
          <w:highlight w:val="none"/>
        </w:rPr>
      </w:pPr>
      <w:bookmarkStart w:id="535" w:name="_Toc383006484"/>
      <w:bookmarkStart w:id="536" w:name="_Toc24805"/>
      <w:bookmarkStart w:id="537" w:name="_Toc419825022"/>
      <w:bookmarkStart w:id="538" w:name="_Toc463799027"/>
      <w:bookmarkStart w:id="539" w:name="_Toc419724304"/>
      <w:bookmarkStart w:id="540" w:name="_Toc488483617"/>
      <w:bookmarkStart w:id="541" w:name="_Toc419729371"/>
      <w:bookmarkStart w:id="542" w:name="_Toc234382618"/>
      <w:bookmarkStart w:id="543" w:name="_Toc486685915"/>
      <w:bookmarkStart w:id="544" w:name="_Toc487653195"/>
      <w:bookmarkStart w:id="545" w:name="_Toc419825371"/>
      <w:bookmarkStart w:id="546" w:name="_Toc490832306"/>
      <w:bookmarkStart w:id="547" w:name="_Toc383013011"/>
      <w:bookmarkStart w:id="548" w:name="_Toc382997680"/>
      <w:bookmarkStart w:id="549" w:name="_Toc6079"/>
      <w:bookmarkStart w:id="550" w:name="_Toc383512705"/>
      <w:bookmarkStart w:id="551" w:name="_Toc488492848"/>
      <w:bookmarkStart w:id="552" w:name="_Toc382997958"/>
      <w:r>
        <w:rPr>
          <w:rFonts w:ascii="宋体" w:hAnsi="宋体"/>
          <w:color w:val="auto"/>
          <w:sz w:val="28"/>
          <w:szCs w:val="28"/>
          <w:highlight w:val="none"/>
        </w:rPr>
        <w:t>4.</w:t>
      </w:r>
      <w:r>
        <w:rPr>
          <w:rFonts w:hint="eastAsia" w:ascii="宋体" w:hAnsi="宋体"/>
          <w:color w:val="auto"/>
          <w:sz w:val="28"/>
          <w:szCs w:val="28"/>
          <w:highlight w:val="none"/>
        </w:rPr>
        <w:t>1</w:t>
      </w:r>
      <w:r>
        <w:rPr>
          <w:rFonts w:ascii="宋体" w:hAnsi="宋体"/>
          <w:color w:val="auto"/>
          <w:sz w:val="28"/>
          <w:szCs w:val="28"/>
          <w:highlight w:val="none"/>
        </w:rPr>
        <w:t xml:space="preserve"> 投标文件的</w:t>
      </w:r>
      <w:r>
        <w:rPr>
          <w:rFonts w:hint="eastAsia" w:ascii="宋体" w:hAnsi="宋体"/>
          <w:color w:val="auto"/>
          <w:sz w:val="28"/>
          <w:szCs w:val="28"/>
          <w:highlight w:val="none"/>
        </w:rPr>
        <w:t>加密与</w:t>
      </w:r>
      <w:r>
        <w:rPr>
          <w:rFonts w:ascii="宋体" w:hAnsi="宋体"/>
          <w:color w:val="auto"/>
          <w:sz w:val="28"/>
          <w:szCs w:val="28"/>
          <w:highlight w:val="none"/>
        </w:rPr>
        <w:t>递交</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spacing w:line="360" w:lineRule="auto"/>
        <w:ind w:firstLine="420" w:firstLineChars="200"/>
        <w:rPr>
          <w:rFonts w:hint="eastAsia" w:ascii="宋体" w:hAnsi="宋体"/>
          <w:color w:val="auto"/>
          <w:szCs w:val="21"/>
          <w:highlight w:val="none"/>
        </w:rPr>
      </w:pPr>
      <w:bookmarkStart w:id="553" w:name="_Toc19723"/>
      <w:bookmarkStart w:id="554" w:name="_Toc234382619"/>
      <w:r>
        <w:rPr>
          <w:rFonts w:hint="eastAsia" w:ascii="宋体" w:hAnsi="宋体"/>
          <w:color w:val="auto"/>
          <w:szCs w:val="21"/>
          <w:highlight w:val="none"/>
        </w:rPr>
        <w:t>4.1.1投标人应根据招标文件及交易平台的要求对投标文件进行电子签章并加密。投标人未按规定加密的投标文件，电子交易平台拒收并提示。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4.1.2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4.1.3除投标人须知前附表另有规定外，投标人所递交的投标文件不予退还。</w:t>
      </w:r>
    </w:p>
    <w:p>
      <w:pPr>
        <w:pStyle w:val="6"/>
        <w:spacing w:before="0" w:after="0" w:line="360" w:lineRule="auto"/>
        <w:rPr>
          <w:rFonts w:ascii="宋体" w:hAnsi="宋体"/>
          <w:color w:val="auto"/>
          <w:sz w:val="28"/>
          <w:szCs w:val="28"/>
          <w:highlight w:val="none"/>
        </w:rPr>
      </w:pPr>
      <w:bookmarkStart w:id="555" w:name="_Toc487653196"/>
      <w:bookmarkStart w:id="556" w:name="_Toc419729372"/>
      <w:bookmarkStart w:id="557" w:name="_Toc488492849"/>
      <w:bookmarkStart w:id="558" w:name="_Toc419724305"/>
      <w:bookmarkStart w:id="559" w:name="_Toc2729"/>
      <w:bookmarkStart w:id="560" w:name="_Toc419825023"/>
      <w:bookmarkStart w:id="561" w:name="_Toc382997959"/>
      <w:bookmarkStart w:id="562" w:name="_Toc490832307"/>
      <w:bookmarkStart w:id="563" w:name="_Toc488483619"/>
      <w:bookmarkStart w:id="564" w:name="_Toc382997681"/>
      <w:bookmarkStart w:id="565" w:name="_Toc383512706"/>
      <w:bookmarkStart w:id="566" w:name="_Toc383006485"/>
      <w:bookmarkStart w:id="567" w:name="_Toc463799028"/>
      <w:bookmarkStart w:id="568" w:name="_Toc383013012"/>
      <w:bookmarkStart w:id="569" w:name="_Toc419825372"/>
      <w:bookmarkStart w:id="570" w:name="_Toc486685916"/>
      <w:r>
        <w:rPr>
          <w:rFonts w:ascii="宋体" w:hAnsi="宋体"/>
          <w:color w:val="auto"/>
          <w:sz w:val="28"/>
          <w:szCs w:val="28"/>
          <w:highlight w:val="none"/>
        </w:rPr>
        <w:t>4.</w:t>
      </w:r>
      <w:r>
        <w:rPr>
          <w:rFonts w:hint="eastAsia" w:ascii="宋体" w:hAnsi="宋体"/>
          <w:color w:val="auto"/>
          <w:sz w:val="28"/>
          <w:szCs w:val="28"/>
          <w:highlight w:val="none"/>
        </w:rPr>
        <w:t>2</w:t>
      </w:r>
      <w:r>
        <w:rPr>
          <w:rFonts w:ascii="宋体" w:hAnsi="宋体"/>
          <w:color w:val="auto"/>
          <w:sz w:val="28"/>
          <w:szCs w:val="28"/>
          <w:highlight w:val="none"/>
        </w:rPr>
        <w:t xml:space="preserve"> 投标文件的修改与撤回</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360" w:lineRule="auto"/>
        <w:ind w:firstLine="420" w:firstLineChars="200"/>
        <w:rPr>
          <w:rFonts w:hint="eastAsia" w:ascii="宋体" w:hAnsi="宋体"/>
          <w:color w:val="auto"/>
          <w:szCs w:val="21"/>
          <w:highlight w:val="none"/>
        </w:rPr>
      </w:pPr>
      <w:bookmarkStart w:id="571" w:name="_Toc234382620"/>
      <w:r>
        <w:rPr>
          <w:rFonts w:hint="eastAsia" w:ascii="宋体" w:hAnsi="宋体"/>
          <w:color w:val="auto"/>
          <w:szCs w:val="21"/>
          <w:highlight w:val="none"/>
        </w:rPr>
        <w:t>在本章第2.2.2 项规定的投标截止时间前，投标人可以</w:t>
      </w:r>
      <w:r>
        <w:rPr>
          <w:rFonts w:hint="eastAsia"/>
          <w:color w:val="auto"/>
          <w:szCs w:val="21"/>
          <w:highlight w:val="none"/>
        </w:rPr>
        <w:t>使用本单位CA数字证书</w:t>
      </w:r>
      <w:r>
        <w:rPr>
          <w:rFonts w:hint="eastAsia" w:ascii="宋体" w:hAnsi="宋体"/>
          <w:color w:val="auto"/>
          <w:szCs w:val="21"/>
          <w:highlight w:val="none"/>
        </w:rPr>
        <w:t>修改或撤回已递交的投标文件，</w:t>
      </w:r>
      <w:r>
        <w:rPr>
          <w:rFonts w:hint="eastAsia" w:ascii="方正大标宋简体" w:hAnsi="方正大标宋简体"/>
          <w:bCs/>
          <w:color w:val="auto"/>
          <w:szCs w:val="21"/>
          <w:highlight w:val="none"/>
        </w:rPr>
        <w:t>除投标人补充、修改或者撤回投标文件外，任何单位和个人不得解密、提取投标文件。</w:t>
      </w:r>
    </w:p>
    <w:p>
      <w:pPr>
        <w:pStyle w:val="6"/>
        <w:spacing w:before="0" w:after="0" w:line="360" w:lineRule="auto"/>
        <w:rPr>
          <w:rFonts w:ascii="宋体" w:hAnsi="宋体"/>
          <w:color w:val="auto"/>
          <w:highlight w:val="none"/>
        </w:rPr>
      </w:pPr>
      <w:bookmarkStart w:id="572" w:name="_Toc419825373"/>
      <w:bookmarkStart w:id="573" w:name="_Toc419729373"/>
      <w:bookmarkStart w:id="574" w:name="_Toc419724306"/>
      <w:bookmarkStart w:id="575" w:name="_Toc382997960"/>
      <w:bookmarkStart w:id="576" w:name="_Toc490832308"/>
      <w:bookmarkStart w:id="577" w:name="_Toc17493"/>
      <w:bookmarkStart w:id="578" w:name="_Toc463799029"/>
      <w:bookmarkStart w:id="579" w:name="_Toc382997682"/>
      <w:bookmarkStart w:id="580" w:name="_Toc11490"/>
      <w:bookmarkStart w:id="581" w:name="_Toc419825024"/>
      <w:bookmarkStart w:id="582" w:name="_Toc383512707"/>
      <w:bookmarkStart w:id="583" w:name="_Toc383006486"/>
      <w:bookmarkStart w:id="584" w:name="_Toc383013013"/>
      <w:r>
        <w:rPr>
          <w:rFonts w:hint="eastAsia" w:ascii="宋体" w:hAnsi="宋体"/>
          <w:color w:val="auto"/>
          <w:highlight w:val="none"/>
        </w:rPr>
        <w:t>5.</w:t>
      </w:r>
      <w:r>
        <w:rPr>
          <w:rFonts w:ascii="宋体" w:hAnsi="宋体"/>
          <w:color w:val="auto"/>
          <w:highlight w:val="none"/>
        </w:rPr>
        <w:t>开标</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Start w:id="585" w:name="_Toc234382621"/>
    </w:p>
    <w:bookmarkEnd w:id="585"/>
    <w:p>
      <w:pPr>
        <w:pStyle w:val="6"/>
        <w:spacing w:before="0" w:after="0" w:line="360" w:lineRule="auto"/>
        <w:rPr>
          <w:rFonts w:hint="eastAsia" w:ascii="宋体" w:hAnsi="宋体"/>
          <w:color w:val="auto"/>
          <w:sz w:val="28"/>
          <w:szCs w:val="28"/>
          <w:highlight w:val="none"/>
        </w:rPr>
      </w:pPr>
      <w:bookmarkStart w:id="586" w:name="_Toc382997961"/>
      <w:bookmarkStart w:id="587" w:name="_Toc419825374"/>
      <w:bookmarkStart w:id="588" w:name="_Toc488483621"/>
      <w:bookmarkStart w:id="589" w:name="_Toc382997683"/>
      <w:bookmarkStart w:id="590" w:name="_Toc463799030"/>
      <w:bookmarkStart w:id="591" w:name="_Toc419729374"/>
      <w:bookmarkStart w:id="592" w:name="_Toc487653198"/>
      <w:bookmarkStart w:id="593" w:name="_Toc490832309"/>
      <w:bookmarkStart w:id="594" w:name="_Toc488492851"/>
      <w:bookmarkStart w:id="595" w:name="_Toc419825025"/>
      <w:bookmarkStart w:id="596" w:name="_Toc486685918"/>
      <w:bookmarkStart w:id="597" w:name="_Toc383512708"/>
      <w:bookmarkStart w:id="598" w:name="_Toc419724307"/>
      <w:bookmarkStart w:id="599" w:name="_Toc26455"/>
      <w:bookmarkStart w:id="600" w:name="_Toc28953"/>
      <w:bookmarkStart w:id="601" w:name="_Toc383006487"/>
      <w:bookmarkStart w:id="602" w:name="_Toc383013014"/>
      <w:r>
        <w:rPr>
          <w:rFonts w:ascii="宋体" w:hAnsi="宋体"/>
          <w:color w:val="auto"/>
          <w:sz w:val="28"/>
          <w:szCs w:val="28"/>
          <w:highlight w:val="none"/>
        </w:rPr>
        <w:t xml:space="preserve">5.1 </w:t>
      </w:r>
      <w:r>
        <w:rPr>
          <w:rFonts w:hint="eastAsia" w:ascii="宋体" w:hAnsi="宋体"/>
          <w:color w:val="auto"/>
          <w:sz w:val="28"/>
          <w:szCs w:val="28"/>
          <w:highlight w:val="none"/>
        </w:rPr>
        <w:t>开标时间、地点</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line="360" w:lineRule="auto"/>
        <w:ind w:firstLine="420" w:firstLineChars="200"/>
        <w:rPr>
          <w:rFonts w:hint="eastAsia" w:ascii="宋体" w:hAnsi="宋体" w:cs="宋体"/>
          <w:snapToGrid w:val="0"/>
          <w:color w:val="auto"/>
          <w:kern w:val="0"/>
          <w:sz w:val="21"/>
          <w:szCs w:val="21"/>
          <w:highlight w:val="none"/>
        </w:rPr>
      </w:pPr>
      <w:bookmarkStart w:id="603" w:name="_Toc234382623"/>
      <w:r>
        <w:rPr>
          <w:rFonts w:ascii="宋体" w:hAnsi="宋体" w:cs="宋体"/>
          <w:snapToGrid w:val="0"/>
          <w:color w:val="auto"/>
          <w:kern w:val="0"/>
          <w:sz w:val="21"/>
          <w:szCs w:val="21"/>
          <w:highlight w:val="none"/>
        </w:rPr>
        <w:t>招标人</w:t>
      </w:r>
      <w:r>
        <w:rPr>
          <w:rFonts w:hint="eastAsia" w:ascii="宋体" w:hAnsi="宋体" w:cs="宋体"/>
          <w:snapToGrid w:val="0"/>
          <w:color w:val="auto"/>
          <w:kern w:val="0"/>
          <w:sz w:val="21"/>
          <w:szCs w:val="21"/>
          <w:highlight w:val="none"/>
        </w:rPr>
        <w:t>按投标人须知前附表规定的时间（开标时间）在电子交易平台公开进行在线开标，所有投标人均应当准时在线参加开标。投标截止时间前，经建设单位按“三重一大”决策程序研究确定后的定标方案应当加密后上传电子交易平台，未按照前述规定上传定标方案的，不得开标，招标人应该向招投标监督机构备案后重新确定开标时间。</w:t>
      </w:r>
    </w:p>
    <w:p>
      <w:pPr>
        <w:pStyle w:val="6"/>
        <w:spacing w:before="0" w:after="0" w:line="360" w:lineRule="auto"/>
        <w:ind w:firstLine="0" w:firstLineChars="0"/>
        <w:rPr>
          <w:rFonts w:ascii="宋体" w:hAnsi="宋体"/>
          <w:color w:val="auto"/>
          <w:sz w:val="28"/>
          <w:szCs w:val="28"/>
          <w:highlight w:val="none"/>
        </w:rPr>
      </w:pPr>
      <w:bookmarkStart w:id="604" w:name="_Toc419729375"/>
      <w:bookmarkStart w:id="605" w:name="_Toc486685919"/>
      <w:bookmarkStart w:id="606" w:name="_Toc383006488"/>
      <w:bookmarkStart w:id="607" w:name="_Toc4206"/>
      <w:bookmarkStart w:id="608" w:name="_Toc419825026"/>
      <w:bookmarkStart w:id="609" w:name="_Toc383512709"/>
      <w:bookmarkStart w:id="610" w:name="_Toc487653199"/>
      <w:bookmarkStart w:id="611" w:name="_Toc488492852"/>
      <w:bookmarkStart w:id="612" w:name="_Toc383013015"/>
      <w:bookmarkStart w:id="613" w:name="_Toc488483622"/>
      <w:bookmarkStart w:id="614" w:name="_Toc382997962"/>
      <w:bookmarkStart w:id="615" w:name="_Toc419825375"/>
      <w:bookmarkStart w:id="616" w:name="_Toc463799031"/>
      <w:bookmarkStart w:id="617" w:name="_Toc419724308"/>
      <w:bookmarkStart w:id="618" w:name="_Toc28527"/>
      <w:bookmarkStart w:id="619" w:name="_Toc490832310"/>
      <w:bookmarkStart w:id="620" w:name="_Toc382997684"/>
      <w:r>
        <w:rPr>
          <w:rFonts w:ascii="宋体" w:hAnsi="宋体"/>
          <w:color w:val="auto"/>
          <w:sz w:val="28"/>
          <w:szCs w:val="28"/>
          <w:highlight w:val="none"/>
        </w:rPr>
        <w:t>5.2 开标程序</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主持人按下列程序进行开标：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(l）宣布开标纪律；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方正大标宋简体" w:hAnsi="方正大标宋简体"/>
          <w:color w:val="auto"/>
          <w:highlight w:val="none"/>
        </w:rPr>
        <w:t>加密检查。</w:t>
      </w:r>
      <w:r>
        <w:rPr>
          <w:rFonts w:hint="eastAsia" w:ascii="方正大标宋简体" w:hAnsi="方正大标宋简体"/>
          <w:color w:val="auto"/>
          <w:szCs w:val="21"/>
          <w:highlight w:val="none"/>
        </w:rPr>
        <w:t>开标时间一到，电子交易平台自动公开显示递交投标文件顺序号及对应的电子投标文件加密状态。</w:t>
      </w:r>
    </w:p>
    <w:p>
      <w:pPr>
        <w:spacing w:line="360" w:lineRule="auto"/>
        <w:ind w:firstLine="420" w:firstLineChars="200"/>
        <w:rPr>
          <w:rFonts w:hint="eastAsia" w:ascii="宋体" w:hAnsi="宋体"/>
          <w:b/>
          <w:color w:val="auto"/>
          <w:szCs w:val="21"/>
          <w:highlight w:val="none"/>
          <w:u w:val="single"/>
        </w:rPr>
      </w:pPr>
      <w:r>
        <w:rPr>
          <w:rFonts w:hint="eastAsia" w:ascii="宋体" w:hAnsi="宋体"/>
          <w:color w:val="auto"/>
          <w:szCs w:val="21"/>
          <w:highlight w:val="none"/>
        </w:rPr>
        <w:t>(3）</w:t>
      </w:r>
      <w:r>
        <w:rPr>
          <w:rFonts w:hint="eastAsia" w:ascii="方正大标宋简体" w:hAnsi="方正大标宋简体"/>
          <w:color w:val="auto"/>
          <w:highlight w:val="none"/>
        </w:rPr>
        <w:t>电子投标文件解密，</w:t>
      </w:r>
      <w:r>
        <w:rPr>
          <w:rFonts w:hint="eastAsia" w:ascii="宋体" w:hAnsi="宋体"/>
          <w:color w:val="auto"/>
          <w:highlight w:val="none"/>
        </w:rPr>
        <w:t>投标人应在线参加开标</w:t>
      </w:r>
      <w:r>
        <w:rPr>
          <w:rFonts w:hint="eastAsia" w:ascii="方正大标宋简体" w:hAnsi="方正大标宋简体"/>
          <w:color w:val="auto"/>
          <w:highlight w:val="none"/>
        </w:rPr>
        <w:t>。开标时，</w:t>
      </w:r>
      <w:r>
        <w:rPr>
          <w:rFonts w:hint="eastAsia" w:ascii="方正大标宋简体" w:hAnsi="方正大标宋简体"/>
          <w:color w:val="auto"/>
          <w:szCs w:val="21"/>
          <w:highlight w:val="none"/>
        </w:rPr>
        <w:t>电子交易平台自动提取所有投标文件，提示投标人在线开始解密</w:t>
      </w:r>
      <w:r>
        <w:rPr>
          <w:rFonts w:hint="eastAsia" w:ascii="方正大标宋简体" w:hAnsi="方正大标宋简体"/>
          <w:color w:val="auto"/>
          <w:highlight w:val="none"/>
        </w:rPr>
        <w:t>。投标人应在</w:t>
      </w:r>
      <w:r>
        <w:rPr>
          <w:rFonts w:hint="eastAsia" w:ascii="方正大标宋简体" w:hAnsi="方正大标宋简体"/>
          <w:color w:val="auto"/>
          <w:szCs w:val="21"/>
          <w:highlight w:val="none"/>
        </w:rPr>
        <w:t>开始解密时间（</w:t>
      </w:r>
      <w:r>
        <w:rPr>
          <w:rFonts w:hint="eastAsia" w:ascii="方正大标宋简体" w:hAnsi="方正大标宋简体"/>
          <w:color w:val="auto"/>
          <w:highlight w:val="none"/>
        </w:rPr>
        <w:t>开标</w:t>
      </w:r>
      <w:r>
        <w:rPr>
          <w:rFonts w:hint="eastAsia" w:ascii="方正大标宋简体" w:hAnsi="方正大标宋简体"/>
          <w:color w:val="auto"/>
          <w:szCs w:val="21"/>
          <w:highlight w:val="none"/>
        </w:rPr>
        <w:t>时间）起1个小时内在线进行电子投标文件的解密操作</w:t>
      </w:r>
      <w:r>
        <w:rPr>
          <w:rFonts w:hint="eastAsia" w:ascii="宋体" w:hAnsi="宋体"/>
          <w:color w:val="auto"/>
          <w:szCs w:val="21"/>
          <w:highlight w:val="none"/>
        </w:rPr>
        <w:t>，未在规定时间内解密，其投标视为无效</w:t>
      </w:r>
      <w:r>
        <w:rPr>
          <w:rFonts w:hint="eastAsia" w:ascii="方正大标宋简体" w:hAnsi="方正大标宋简体"/>
          <w:color w:val="auto"/>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方正大标宋简体" w:hAnsi="方正大标宋简体"/>
          <w:color w:val="auto"/>
          <w:highlight w:val="none"/>
        </w:rPr>
        <w:t>解密全部完成后或解密时间截止时，电子交易平台自动确定并显示</w:t>
      </w:r>
      <w:r>
        <w:rPr>
          <w:rFonts w:hint="eastAsia" w:ascii="宋体" w:hAnsi="宋体"/>
          <w:color w:val="auto"/>
          <w:highlight w:val="none"/>
        </w:rPr>
        <w:t>投标人名称、投标报价（元）、质量目标、工期、项目经理姓名、建造师证书编号、投标保证金金额、</w:t>
      </w:r>
      <w:r>
        <w:rPr>
          <w:rFonts w:hint="eastAsia" w:ascii="宋体" w:hAnsi="宋体"/>
          <w:color w:val="auto"/>
          <w:highlight w:val="none"/>
          <w:lang w:eastAsia="zh-CN"/>
        </w:rPr>
        <w:t>厦门市住房和建设局</w:t>
      </w:r>
      <w:r>
        <w:rPr>
          <w:rFonts w:hint="eastAsia" w:ascii="宋体" w:hAnsi="宋体"/>
          <w:color w:val="auto"/>
          <w:highlight w:val="none"/>
        </w:rPr>
        <w:t>建设市场信用监管系统信用评价结果、</w:t>
      </w:r>
      <w:r>
        <w:rPr>
          <w:rFonts w:hint="eastAsia" w:ascii="宋体" w:hAnsi="宋体"/>
          <w:color w:val="auto"/>
          <w:highlight w:val="none"/>
          <w:lang w:val="en-US" w:eastAsia="zh-CN"/>
        </w:rPr>
        <w:t>《企业信用声明》使用的信用考核评价等级</w:t>
      </w:r>
      <w:r>
        <w:rPr>
          <w:rFonts w:hint="eastAsia" w:ascii="宋体" w:hAnsi="宋体"/>
          <w:color w:val="auto"/>
          <w:highlight w:val="none"/>
        </w:rPr>
        <w:t>等招标文件所确定的唱标内容</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(5）开标结束，</w:t>
      </w:r>
      <w:r>
        <w:rPr>
          <w:rFonts w:hint="eastAsia" w:ascii="方正大标宋简体" w:hAnsi="方正大标宋简体"/>
          <w:color w:val="auto"/>
          <w:szCs w:val="21"/>
          <w:highlight w:val="none"/>
        </w:rPr>
        <w:t>电子交易平台自动生成开标记录并向社会公众公布，但依法应当保密的除外</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s="宋体"/>
          <w:color w:val="auto"/>
          <w:kern w:val="0"/>
          <w:szCs w:val="21"/>
          <w:highlight w:val="none"/>
          <w:lang w:bidi="ar"/>
        </w:rPr>
        <w:t>电子交易平台需对投标人提交的投标电子保函文件是否符合《福建省公共资源电子保函文件格式标准（试行）》要求以及保函内容是否符合招标文件要求进行解析，并生成解析报告供评标专家评审参考。</w:t>
      </w:r>
    </w:p>
    <w:p>
      <w:pPr>
        <w:widowControl/>
        <w:spacing w:line="360" w:lineRule="auto"/>
        <w:ind w:left="703"/>
        <w:jc w:val="left"/>
        <w:rPr>
          <w:rFonts w:hint="eastAsia" w:ascii="宋体" w:hAnsi="宋体"/>
          <w:b/>
          <w:color w:val="auto"/>
          <w:sz w:val="24"/>
          <w:highlight w:val="none"/>
        </w:rPr>
      </w:pPr>
      <w:r>
        <w:rPr>
          <w:rFonts w:ascii="宋体" w:hAnsi="宋体"/>
          <w:color w:val="auto"/>
          <w:sz w:val="28"/>
          <w:szCs w:val="28"/>
          <w:highlight w:val="none"/>
        </w:rPr>
        <w:t>5.3</w:t>
      </w:r>
      <w:r>
        <w:rPr>
          <w:rFonts w:hint="eastAsia" w:ascii="宋体" w:hAnsi="宋体"/>
          <w:b/>
          <w:color w:val="auto"/>
          <w:sz w:val="24"/>
          <w:highlight w:val="none"/>
        </w:rPr>
        <w:t>解密失败的补救方案</w:t>
      </w:r>
    </w:p>
    <w:p>
      <w:pPr>
        <w:widowControl/>
        <w:numPr>
          <w:ilvl w:val="1"/>
          <w:numId w:val="7"/>
        </w:numPr>
        <w:spacing w:line="360" w:lineRule="auto"/>
        <w:ind w:left="0" w:firstLine="420" w:firstLineChars="200"/>
        <w:jc w:val="left"/>
        <w:rPr>
          <w:rFonts w:ascii="宋体" w:hAnsi="宋体"/>
          <w:color w:val="auto"/>
          <w:highlight w:val="none"/>
        </w:rPr>
      </w:pPr>
      <w:r>
        <w:rPr>
          <w:rFonts w:hint="eastAsia" w:ascii="宋体" w:hAnsi="宋体"/>
          <w:color w:val="auto"/>
          <w:highlight w:val="none"/>
        </w:rPr>
        <w:t>若为投标人设备故障或网络故障，则投标人自行更换设备或解决网络问题，投标文件解密失败经补救，仍不成功的，视为放弃投标,开标继续进行；</w:t>
      </w:r>
    </w:p>
    <w:p>
      <w:pPr>
        <w:widowControl/>
        <w:numPr>
          <w:ilvl w:val="1"/>
          <w:numId w:val="7"/>
        </w:numPr>
        <w:spacing w:line="360" w:lineRule="auto"/>
        <w:ind w:left="0" w:firstLine="420" w:firstLineChars="200"/>
        <w:jc w:val="left"/>
        <w:rPr>
          <w:rFonts w:ascii="宋体" w:hAnsi="宋体"/>
          <w:color w:val="auto"/>
          <w:szCs w:val="21"/>
          <w:highlight w:val="none"/>
        </w:rPr>
      </w:pPr>
      <w:r>
        <w:rPr>
          <w:rFonts w:hint="eastAsia" w:ascii="宋体" w:hAnsi="宋体"/>
          <w:color w:val="auto"/>
          <w:highlight w:val="none"/>
        </w:rPr>
        <w:t>若为招标人原因导致无法正常解密，则由招标人及时提出解决方案；</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（3） </w:t>
      </w:r>
      <w:r>
        <w:rPr>
          <w:rFonts w:ascii="宋体" w:hAnsi="宋体"/>
          <w:color w:val="auto"/>
          <w:highlight w:val="none"/>
        </w:rPr>
        <w:t>若为交易平台原因导致无法正常解密</w:t>
      </w:r>
      <w:r>
        <w:rPr>
          <w:rFonts w:hint="eastAsia" w:ascii="宋体" w:hAnsi="宋体"/>
          <w:color w:val="auto"/>
          <w:highlight w:val="none"/>
        </w:rPr>
        <w:t>，</w:t>
      </w:r>
      <w:r>
        <w:rPr>
          <w:rFonts w:ascii="宋体" w:hAnsi="宋体"/>
          <w:color w:val="auto"/>
          <w:highlight w:val="none"/>
        </w:rPr>
        <w:t>则由交易平台及时提出解决方案</w:t>
      </w:r>
      <w:r>
        <w:rPr>
          <w:rFonts w:hint="eastAsia" w:ascii="宋体" w:hAnsi="宋体"/>
          <w:color w:val="auto"/>
          <w:highlight w:val="none"/>
        </w:rPr>
        <w:t>。</w:t>
      </w:r>
    </w:p>
    <w:p>
      <w:pPr>
        <w:pStyle w:val="6"/>
        <w:spacing w:before="0" w:after="0" w:line="360" w:lineRule="auto"/>
        <w:rPr>
          <w:rFonts w:ascii="宋体" w:hAnsi="宋体"/>
          <w:color w:val="auto"/>
          <w:highlight w:val="none"/>
        </w:rPr>
      </w:pPr>
      <w:bookmarkStart w:id="621" w:name="_Toc419724309"/>
      <w:bookmarkStart w:id="622" w:name="_Toc234382625"/>
      <w:bookmarkStart w:id="623" w:name="_Toc419825376"/>
      <w:bookmarkStart w:id="624" w:name="_Toc490832311"/>
      <w:bookmarkStart w:id="625" w:name="_Toc26860"/>
      <w:bookmarkStart w:id="626" w:name="_Toc463799032"/>
      <w:bookmarkStart w:id="627" w:name="_Toc382997685"/>
      <w:bookmarkStart w:id="628" w:name="_Toc382997963"/>
      <w:bookmarkStart w:id="629" w:name="_Toc383512710"/>
      <w:bookmarkStart w:id="630" w:name="_Toc8258"/>
      <w:bookmarkStart w:id="631" w:name="_Toc383013016"/>
      <w:bookmarkStart w:id="632" w:name="_Toc419729376"/>
      <w:bookmarkStart w:id="633" w:name="_Toc419825027"/>
      <w:bookmarkStart w:id="634" w:name="_Toc383006489"/>
      <w:r>
        <w:rPr>
          <w:rFonts w:ascii="宋体" w:hAnsi="宋体"/>
          <w:color w:val="auto"/>
          <w:highlight w:val="none"/>
        </w:rPr>
        <w:t>6. 评标</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6"/>
        <w:spacing w:before="0" w:after="0" w:line="360" w:lineRule="auto"/>
        <w:rPr>
          <w:rFonts w:ascii="宋体" w:hAnsi="宋体"/>
          <w:color w:val="auto"/>
          <w:sz w:val="28"/>
          <w:szCs w:val="28"/>
          <w:highlight w:val="none"/>
        </w:rPr>
      </w:pPr>
      <w:bookmarkStart w:id="635" w:name="_Toc419825377"/>
      <w:bookmarkStart w:id="636" w:name="_Toc463799033"/>
      <w:bookmarkStart w:id="637" w:name="_Toc490832312"/>
      <w:bookmarkStart w:id="638" w:name="_Toc419825028"/>
      <w:bookmarkStart w:id="639" w:name="_Toc486685921"/>
      <w:bookmarkStart w:id="640" w:name="_Toc7463"/>
      <w:bookmarkStart w:id="641" w:name="_Toc383512711"/>
      <w:bookmarkStart w:id="642" w:name="_Toc234382626"/>
      <w:bookmarkStart w:id="643" w:name="_Toc382997686"/>
      <w:bookmarkStart w:id="644" w:name="_Toc419729377"/>
      <w:bookmarkStart w:id="645" w:name="_Toc488492854"/>
      <w:bookmarkStart w:id="646" w:name="_Toc383006490"/>
      <w:bookmarkStart w:id="647" w:name="_Toc488483624"/>
      <w:bookmarkStart w:id="648" w:name="_Toc382997964"/>
      <w:bookmarkStart w:id="649" w:name="_Toc487653201"/>
      <w:bookmarkStart w:id="650" w:name="_Toc419724310"/>
      <w:bookmarkStart w:id="651" w:name="_Toc383013017"/>
      <w:bookmarkStart w:id="652" w:name="_Toc3245"/>
      <w:r>
        <w:rPr>
          <w:rFonts w:ascii="宋体" w:hAnsi="宋体"/>
          <w:color w:val="auto"/>
          <w:sz w:val="28"/>
          <w:szCs w:val="28"/>
          <w:highlight w:val="none"/>
        </w:rPr>
        <w:t>6.1 评标委员会</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spacing w:line="360" w:lineRule="auto"/>
        <w:ind w:firstLine="420" w:firstLineChars="200"/>
        <w:rPr>
          <w:rFonts w:hint="eastAsia" w:ascii="宋体" w:hAnsi="宋体"/>
          <w:color w:val="auto"/>
          <w:szCs w:val="21"/>
          <w:highlight w:val="none"/>
        </w:rPr>
      </w:pPr>
      <w:bookmarkStart w:id="653" w:name="_Toc383006491"/>
      <w:bookmarkStart w:id="654" w:name="_Toc234382627"/>
      <w:bookmarkStart w:id="655" w:name="_Toc26540"/>
      <w:bookmarkStart w:id="656" w:name="_Toc382997965"/>
      <w:bookmarkStart w:id="657" w:name="_Toc463799034"/>
      <w:bookmarkStart w:id="658" w:name="_Toc383013018"/>
      <w:bookmarkStart w:id="659" w:name="_Toc419724311"/>
      <w:bookmarkStart w:id="660" w:name="_Toc382997687"/>
      <w:bookmarkStart w:id="661" w:name="_Toc383512712"/>
      <w:bookmarkStart w:id="662" w:name="_Toc419825378"/>
      <w:bookmarkStart w:id="663" w:name="_Toc419825029"/>
      <w:bookmarkStart w:id="664" w:name="_Toc419729378"/>
      <w:r>
        <w:rPr>
          <w:rFonts w:hint="eastAsia" w:ascii="宋体" w:hAnsi="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6.1.2 评标委员会成员有下列情形之一的，应当回避：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(1）招标人或投标人的主要负责人的近亲属；</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(2）项目主管部门或者行政监督部门的人员：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(3）与投标人有经济利益关系，可能影响对投标公正评审的；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(4）曾因在招标、评标以及其他与招标投标有关活动中从事违法行为而受过行政处罚或刑事处罚的。</w:t>
      </w:r>
    </w:p>
    <w:p>
      <w:pPr>
        <w:pStyle w:val="6"/>
        <w:spacing w:before="0" w:after="0" w:line="360" w:lineRule="auto"/>
        <w:rPr>
          <w:rFonts w:ascii="宋体" w:hAnsi="宋体"/>
          <w:color w:val="auto"/>
          <w:sz w:val="28"/>
          <w:szCs w:val="28"/>
          <w:highlight w:val="none"/>
        </w:rPr>
      </w:pPr>
      <w:bookmarkStart w:id="665" w:name="_Toc488483625"/>
      <w:bookmarkStart w:id="666" w:name="_Toc488492855"/>
      <w:bookmarkStart w:id="667" w:name="_Toc30795"/>
      <w:bookmarkStart w:id="668" w:name="_Toc486685922"/>
      <w:bookmarkStart w:id="669" w:name="_Toc487653202"/>
      <w:bookmarkStart w:id="670" w:name="_Toc490832313"/>
      <w:r>
        <w:rPr>
          <w:rFonts w:ascii="宋体" w:hAnsi="宋体"/>
          <w:color w:val="auto"/>
          <w:sz w:val="28"/>
          <w:szCs w:val="28"/>
          <w:highlight w:val="none"/>
        </w:rPr>
        <w:t>6.2 评标原则</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pPr>
        <w:pStyle w:val="6"/>
        <w:spacing w:before="0" w:after="0" w:line="360" w:lineRule="auto"/>
        <w:rPr>
          <w:rFonts w:ascii="宋体" w:hAnsi="宋体"/>
          <w:color w:val="auto"/>
          <w:sz w:val="28"/>
          <w:szCs w:val="28"/>
          <w:highlight w:val="none"/>
        </w:rPr>
      </w:pPr>
      <w:bookmarkStart w:id="671" w:name="_Toc419729379"/>
      <w:bookmarkStart w:id="672" w:name="_Toc419825030"/>
      <w:bookmarkStart w:id="673" w:name="_Toc487653203"/>
      <w:bookmarkStart w:id="674" w:name="_Toc490832314"/>
      <w:bookmarkStart w:id="675" w:name="_Toc23070"/>
      <w:bookmarkStart w:id="676" w:name="_Toc463799035"/>
      <w:bookmarkStart w:id="677" w:name="_Toc486685923"/>
      <w:bookmarkStart w:id="678" w:name="_Toc419825379"/>
      <w:bookmarkStart w:id="679" w:name="_Toc382997966"/>
      <w:bookmarkStart w:id="680" w:name="_Toc419724312"/>
      <w:bookmarkStart w:id="681" w:name="_Toc383006492"/>
      <w:bookmarkStart w:id="682" w:name="_Toc234382628"/>
      <w:bookmarkStart w:id="683" w:name="_Toc12697"/>
      <w:bookmarkStart w:id="684" w:name="_Toc382997688"/>
      <w:bookmarkStart w:id="685" w:name="_Toc488483626"/>
      <w:bookmarkStart w:id="686" w:name="_Toc383013019"/>
      <w:bookmarkStart w:id="687" w:name="_Toc383512713"/>
      <w:bookmarkStart w:id="688" w:name="_Toc488492856"/>
      <w:r>
        <w:rPr>
          <w:rFonts w:ascii="宋体" w:hAnsi="宋体"/>
          <w:color w:val="auto"/>
          <w:sz w:val="28"/>
          <w:szCs w:val="28"/>
          <w:highlight w:val="none"/>
        </w:rPr>
        <w:t>6.3 评标</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评标办法”分别规定了适用于其他项目和适用于简易招标法项目的共二类评标办法，招标人只能选择一种评标办法，具体见投标须知前附表，其余办法在编制招标文件时应当删除。其他项目指未同时设置类似工程业绩和信用评价作为投标人资格条件的招标项目。招标人可以根据招标项目实际情况，在投标人须知前附表规定第三章“评标办法”（适用于其他项目）第 2.1.1 项第（3）目“确定入围投标人”与第（4）目“资格审查”的先后顺序</w:t>
      </w:r>
      <w:r>
        <w:rPr>
          <w:rFonts w:hint="eastAsia" w:ascii="宋体" w:hAnsi="宋体"/>
          <w:color w:val="auto"/>
          <w:szCs w:val="21"/>
          <w:highlight w:val="none"/>
          <w:lang w:eastAsia="zh-CN"/>
        </w:rPr>
        <w:t>。</w:t>
      </w:r>
    </w:p>
    <w:p>
      <w:pPr>
        <w:pStyle w:val="6"/>
        <w:rPr>
          <w:rFonts w:ascii="宋体" w:hAnsi="宋体"/>
          <w:color w:val="auto"/>
          <w:sz w:val="28"/>
          <w:szCs w:val="28"/>
          <w:highlight w:val="none"/>
        </w:rPr>
      </w:pPr>
      <w:r>
        <w:rPr>
          <w:rFonts w:ascii="宋体" w:hAnsi="宋体"/>
          <w:color w:val="auto"/>
          <w:sz w:val="28"/>
          <w:szCs w:val="28"/>
          <w:highlight w:val="none"/>
        </w:rPr>
        <w:t>6.4 定标候选人公示</w:t>
      </w:r>
    </w:p>
    <w:p>
      <w:pPr>
        <w:spacing w:line="360" w:lineRule="auto"/>
        <w:ind w:firstLine="420"/>
        <w:rPr>
          <w:rFonts w:hint="eastAsia" w:ascii="宋体" w:hAnsi="宋体"/>
          <w:color w:val="auto"/>
          <w:szCs w:val="21"/>
          <w:highlight w:val="none"/>
        </w:rPr>
      </w:pPr>
      <w:r>
        <w:rPr>
          <w:rFonts w:hint="eastAsia" w:ascii="宋体" w:hAnsi="宋体" w:cs="宋体"/>
          <w:color w:val="auto"/>
          <w:kern w:val="1"/>
          <w:highlight w:val="none"/>
        </w:rPr>
        <w:t>招标人在投标人须知前附表规定的媒介公示定标候选人。定标候选人公示的格式见附件</w:t>
      </w:r>
    </w:p>
    <w:p>
      <w:pPr>
        <w:pStyle w:val="6"/>
        <w:spacing w:before="0" w:after="0" w:line="360" w:lineRule="auto"/>
        <w:rPr>
          <w:rFonts w:ascii="宋体" w:hAnsi="宋体"/>
          <w:color w:val="auto"/>
          <w:highlight w:val="none"/>
        </w:rPr>
      </w:pPr>
      <w:bookmarkStart w:id="689" w:name="_Toc4323"/>
      <w:bookmarkStart w:id="690" w:name="_Toc234382629"/>
      <w:bookmarkStart w:id="691" w:name="_Toc419729380"/>
      <w:bookmarkStart w:id="692" w:name="_Toc419825380"/>
      <w:bookmarkStart w:id="693" w:name="_Toc463799036"/>
      <w:bookmarkStart w:id="694" w:name="_Toc490832315"/>
      <w:bookmarkStart w:id="695" w:name="_Toc383013020"/>
      <w:bookmarkStart w:id="696" w:name="_Toc9460"/>
      <w:bookmarkStart w:id="697" w:name="_Toc383006493"/>
      <w:bookmarkStart w:id="698" w:name="_Toc383512714"/>
      <w:bookmarkStart w:id="699" w:name="_Toc382997967"/>
      <w:bookmarkStart w:id="700" w:name="_Toc419825031"/>
      <w:bookmarkStart w:id="701" w:name="_Toc419724313"/>
      <w:bookmarkStart w:id="702" w:name="_Toc382997689"/>
      <w:bookmarkStart w:id="703" w:name="_Toc24028"/>
      <w:bookmarkStart w:id="704" w:name="_Toc234382630"/>
      <w:r>
        <w:rPr>
          <w:rFonts w:ascii="宋体" w:hAnsi="宋体"/>
          <w:color w:val="auto"/>
          <w:highlight w:val="none"/>
        </w:rPr>
        <w:t>7. 合同授予</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6"/>
        <w:rPr>
          <w:rFonts w:ascii="宋体" w:hAnsi="宋体"/>
          <w:color w:val="auto"/>
          <w:sz w:val="28"/>
          <w:szCs w:val="28"/>
          <w:highlight w:val="none"/>
        </w:rPr>
      </w:pPr>
      <w:bookmarkStart w:id="705" w:name="_Toc382997690"/>
      <w:bookmarkStart w:id="706" w:name="_Toc383013021"/>
      <w:bookmarkStart w:id="707" w:name="_Toc419825381"/>
      <w:bookmarkStart w:id="708" w:name="_Toc383512715"/>
      <w:bookmarkStart w:id="709" w:name="_Toc419825032"/>
      <w:bookmarkStart w:id="710" w:name="_Toc383006494"/>
      <w:bookmarkStart w:id="711" w:name="_Toc463799037"/>
      <w:bookmarkStart w:id="712" w:name="_Toc487653205"/>
      <w:bookmarkStart w:id="713" w:name="_Toc11972"/>
      <w:bookmarkStart w:id="714" w:name="_Toc488483628"/>
      <w:bookmarkStart w:id="715" w:name="_Toc382997968"/>
      <w:bookmarkStart w:id="716" w:name="_Toc419729381"/>
      <w:bookmarkStart w:id="717" w:name="_Toc488492858"/>
      <w:bookmarkStart w:id="718" w:name="_Toc419724314"/>
      <w:bookmarkStart w:id="719" w:name="_Toc486685925"/>
      <w:bookmarkStart w:id="720" w:name="_Toc490832316"/>
      <w:r>
        <w:rPr>
          <w:rFonts w:ascii="宋体" w:hAnsi="宋体"/>
          <w:color w:val="auto"/>
          <w:sz w:val="28"/>
          <w:szCs w:val="28"/>
          <w:highlight w:val="none"/>
        </w:rPr>
        <w:t>7.1定标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7.1.1定标委员会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定标由定标委员会负责，定标委员会按照第四章“定标办法”规定的规则组建。定标委员会根据定标规则和定标方案在评标委员会推荐的定标候选人中进行定标，确定中标人。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7.1.2 定标办法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定标委员会按照第四章“定标办法”规定的方法、规则、标准和程序在定标候选人中定标，确定中标定人，定标办法中使用的定标票决办法见投标人须知前附表。第四章“定标办法”没有规定的方法、规则、标准，不作为定标依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7.1.3 中标结果公示</w:t>
      </w:r>
    </w:p>
    <w:p>
      <w:pPr>
        <w:spacing w:line="360" w:lineRule="auto"/>
        <w:ind w:firstLine="420"/>
        <w:rPr>
          <w:rFonts w:hint="eastAsia" w:ascii="宋体" w:hAnsi="宋体"/>
          <w:color w:val="auto"/>
          <w:szCs w:val="21"/>
          <w:highlight w:val="none"/>
        </w:rPr>
      </w:pPr>
      <w:r>
        <w:rPr>
          <w:rFonts w:hint="eastAsia" w:ascii="宋体" w:hAnsi="宋体" w:cs="宋体"/>
          <w:color w:val="auto"/>
          <w:kern w:val="1"/>
          <w:highlight w:val="none"/>
        </w:rPr>
        <w:t>中标人确定后，招标人应当向中标人发出中标通知书，并将中标结果在投标人须知前附表规定的媒介公示进行公示，公示期不少于10日。中标结果公示格式见投标须知附件。</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pStyle w:val="6"/>
        <w:spacing w:before="0" w:after="0" w:line="360" w:lineRule="auto"/>
        <w:rPr>
          <w:rFonts w:ascii="宋体" w:hAnsi="宋体"/>
          <w:color w:val="auto"/>
          <w:sz w:val="28"/>
          <w:szCs w:val="28"/>
          <w:highlight w:val="none"/>
        </w:rPr>
      </w:pPr>
      <w:bookmarkStart w:id="721" w:name="_Toc419825033"/>
      <w:bookmarkStart w:id="722" w:name="_Toc24733"/>
      <w:bookmarkStart w:id="723" w:name="_Toc463799038"/>
      <w:bookmarkStart w:id="724" w:name="_Toc490832317"/>
      <w:bookmarkStart w:id="725" w:name="_Toc382997969"/>
      <w:bookmarkStart w:id="726" w:name="_Toc419825382"/>
      <w:bookmarkStart w:id="727" w:name="_Toc419729382"/>
      <w:bookmarkStart w:id="728" w:name="_Toc234382631"/>
      <w:bookmarkStart w:id="729" w:name="_Toc383013022"/>
      <w:bookmarkStart w:id="730" w:name="_Toc487653206"/>
      <w:bookmarkStart w:id="731" w:name="_Toc488483629"/>
      <w:bookmarkStart w:id="732" w:name="_Toc383512716"/>
      <w:bookmarkStart w:id="733" w:name="_Toc382997691"/>
      <w:bookmarkStart w:id="734" w:name="_Toc486685926"/>
      <w:bookmarkStart w:id="735" w:name="_Toc383006495"/>
      <w:bookmarkStart w:id="736" w:name="_Toc488492859"/>
      <w:bookmarkStart w:id="737" w:name="_Toc8786"/>
      <w:bookmarkStart w:id="738" w:name="_Toc419724315"/>
      <w:r>
        <w:rPr>
          <w:rFonts w:ascii="宋体" w:hAnsi="宋体"/>
          <w:color w:val="auto"/>
          <w:sz w:val="28"/>
          <w:szCs w:val="28"/>
          <w:highlight w:val="none"/>
        </w:rPr>
        <w:t>7.2 中标通知</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在本章第3.3 款规定的投标有效期内，招标人以书面形式向中标人发出中标通知书，同时将中标结果通知未中标的投标人。</w:t>
      </w:r>
    </w:p>
    <w:p>
      <w:pPr>
        <w:pStyle w:val="6"/>
        <w:spacing w:before="0" w:after="0" w:line="360" w:lineRule="auto"/>
        <w:rPr>
          <w:rFonts w:ascii="宋体" w:hAnsi="宋体"/>
          <w:color w:val="auto"/>
          <w:sz w:val="28"/>
          <w:szCs w:val="28"/>
          <w:highlight w:val="none"/>
        </w:rPr>
      </w:pPr>
      <w:bookmarkStart w:id="739" w:name="_Toc419729383"/>
      <w:bookmarkStart w:id="740" w:name="_Toc382997970"/>
      <w:bookmarkStart w:id="741" w:name="_Toc383013023"/>
      <w:bookmarkStart w:id="742" w:name="_Toc488483630"/>
      <w:bookmarkStart w:id="743" w:name="_Toc488492860"/>
      <w:bookmarkStart w:id="744" w:name="_Toc383006496"/>
      <w:bookmarkStart w:id="745" w:name="_Toc463799039"/>
      <w:bookmarkStart w:id="746" w:name="_Toc17213"/>
      <w:bookmarkStart w:id="747" w:name="_Toc11364"/>
      <w:bookmarkStart w:id="748" w:name="_Toc487653207"/>
      <w:bookmarkStart w:id="749" w:name="_Toc419825383"/>
      <w:bookmarkStart w:id="750" w:name="_Toc234382632"/>
      <w:bookmarkStart w:id="751" w:name="_Toc382997692"/>
      <w:bookmarkStart w:id="752" w:name="_Toc486685927"/>
      <w:bookmarkStart w:id="753" w:name="_Toc383512717"/>
      <w:bookmarkStart w:id="754" w:name="_Toc419724316"/>
      <w:bookmarkStart w:id="755" w:name="_Toc419825034"/>
      <w:bookmarkStart w:id="756" w:name="_Toc490832318"/>
      <w:r>
        <w:rPr>
          <w:rFonts w:ascii="宋体" w:hAnsi="宋体"/>
          <w:color w:val="auto"/>
          <w:sz w:val="28"/>
          <w:szCs w:val="28"/>
          <w:highlight w:val="none"/>
        </w:rPr>
        <w:t>7.3 履约担保</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spacing w:line="360" w:lineRule="auto"/>
        <w:ind w:firstLine="420" w:firstLineChars="200"/>
        <w:rPr>
          <w:rFonts w:hint="eastAsia" w:ascii="宋体" w:hAnsi="宋体"/>
          <w:color w:val="auto"/>
          <w:szCs w:val="21"/>
          <w:highlight w:val="none"/>
        </w:rPr>
      </w:pPr>
      <w:bookmarkStart w:id="757" w:name="_Toc382997693"/>
      <w:bookmarkStart w:id="758" w:name="_Toc383006497"/>
      <w:bookmarkStart w:id="759" w:name="_Toc383512718"/>
      <w:bookmarkStart w:id="760" w:name="_Toc382997971"/>
      <w:bookmarkStart w:id="761" w:name="_Toc1095"/>
      <w:bookmarkStart w:id="762" w:name="_Toc419724317"/>
      <w:bookmarkStart w:id="763" w:name="_Toc383013024"/>
      <w:bookmarkStart w:id="764" w:name="_Toc419825035"/>
      <w:bookmarkStart w:id="765" w:name="_Toc463799040"/>
      <w:bookmarkStart w:id="766" w:name="_Toc234382633"/>
      <w:bookmarkStart w:id="767" w:name="_Toc419729384"/>
      <w:bookmarkStart w:id="768" w:name="_Toc419825384"/>
      <w:r>
        <w:rPr>
          <w:rFonts w:hint="eastAsia" w:ascii="宋体" w:hAnsi="宋体"/>
          <w:color w:val="auto"/>
          <w:szCs w:val="21"/>
          <w:highlight w:val="none"/>
        </w:rPr>
        <w:t>7.3.1 在签订合同前，中标人应按投标人须知前附表规定的金额、担保形式和招标文件第五章“合同条款及格式”规定的</w:t>
      </w:r>
      <w:r>
        <w:rPr>
          <w:rStyle w:val="64"/>
          <w:rFonts w:hint="default" w:ascii="Times New Roman" w:hAnsi="Times New Roman"/>
          <w:color w:val="auto"/>
          <w:sz w:val="21"/>
          <w:szCs w:val="21"/>
          <w:highlight w:val="none"/>
        </w:rPr>
        <w:t>或事先经过招标人书面认可的</w:t>
      </w:r>
      <w:r>
        <w:rPr>
          <w:rFonts w:hint="eastAsia" w:ascii="宋体" w:hAnsi="宋体"/>
          <w:color w:val="auto"/>
          <w:szCs w:val="21"/>
          <w:highlight w:val="none"/>
        </w:rPr>
        <w:t>履约保证金格式向招标人提交履约担保。</w:t>
      </w:r>
      <w:r>
        <w:rPr>
          <w:rStyle w:val="64"/>
          <w:rFonts w:hint="default" w:ascii="Times New Roman" w:hAnsi="Times New Roman"/>
          <w:color w:val="auto"/>
          <w:sz w:val="21"/>
          <w:szCs w:val="21"/>
          <w:highlight w:val="none"/>
        </w:rPr>
        <w:t xml:space="preserve">除投标人须知前附表另有规定外，履约保证金为签约合同价的 </w:t>
      </w:r>
      <w:r>
        <w:rPr>
          <w:rStyle w:val="62"/>
          <w:color w:val="auto"/>
          <w:sz w:val="21"/>
          <w:szCs w:val="21"/>
          <w:highlight w:val="none"/>
        </w:rPr>
        <w:t>10%</w:t>
      </w:r>
      <w:r>
        <w:rPr>
          <w:rStyle w:val="64"/>
          <w:rFonts w:hint="default" w:ascii="Times New Roman" w:hAnsi="Times New Roman"/>
          <w:color w:val="auto"/>
          <w:sz w:val="21"/>
          <w:szCs w:val="21"/>
          <w:highlight w:val="none"/>
        </w:rPr>
        <w:t>。</w:t>
      </w:r>
      <w:r>
        <w:rPr>
          <w:rFonts w:hint="eastAsia" w:ascii="宋体" w:hAnsi="宋体"/>
          <w:color w:val="auto"/>
          <w:szCs w:val="21"/>
          <w:highlight w:val="none"/>
        </w:rPr>
        <w:t>联合体中标的，其履约保证金</w:t>
      </w:r>
      <w:r>
        <w:rPr>
          <w:rStyle w:val="64"/>
          <w:rFonts w:hint="default" w:ascii="Times New Roman" w:hAnsi="Times New Roman"/>
          <w:color w:val="auto"/>
          <w:sz w:val="21"/>
          <w:szCs w:val="21"/>
          <w:highlight w:val="none"/>
        </w:rPr>
        <w:t>以联合体各方或联合体中牵头人的名义提交</w:t>
      </w:r>
      <w:r>
        <w:rPr>
          <w:rFonts w:hint="eastAsia" w:ascii="宋体" w:hAnsi="宋体"/>
          <w:color w:val="auto"/>
          <w:szCs w:val="21"/>
          <w:highlight w:val="none"/>
        </w:rPr>
        <w:t>，并应符合投标人须知前附表规定的金额、担保形式和招标文件第五章“合同条款及格式”规定的履约担保格式要求。</w:t>
      </w:r>
    </w:p>
    <w:p>
      <w:pPr>
        <w:wordWrap w:val="0"/>
        <w:spacing w:line="340" w:lineRule="exact"/>
        <w:ind w:firstLine="420" w:firstLineChars="200"/>
        <w:rPr>
          <w:rFonts w:hint="eastAsia" w:ascii="宋体" w:hAnsi="宋体"/>
          <w:color w:val="auto"/>
          <w:szCs w:val="21"/>
          <w:highlight w:val="none"/>
        </w:rPr>
      </w:pPr>
      <w:r>
        <w:rPr>
          <w:rFonts w:hint="eastAsia"/>
          <w:color w:val="auto"/>
          <w:szCs w:val="21"/>
          <w:highlight w:val="none"/>
        </w:rPr>
        <w:t>采用银行保函时，出具银行保函的银行级别在投标人须知前附表中说明，所需的费用由中标人承担，中标人应保证银行保函有效。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项要求提交履约担保的，视为放弃中标，其投标保证金不予退还，给招标人造成的损失超过投标保证金数额的，中标人还应当对超过部分予以赔偿。</w:t>
      </w:r>
    </w:p>
    <w:p>
      <w:pPr>
        <w:pStyle w:val="6"/>
        <w:spacing w:before="0" w:after="0" w:line="360" w:lineRule="auto"/>
        <w:rPr>
          <w:rFonts w:ascii="宋体" w:hAnsi="宋体"/>
          <w:color w:val="auto"/>
          <w:sz w:val="28"/>
          <w:szCs w:val="28"/>
          <w:highlight w:val="none"/>
        </w:rPr>
      </w:pPr>
      <w:bookmarkStart w:id="769" w:name="_Toc488483631"/>
      <w:bookmarkStart w:id="770" w:name="_Toc30602"/>
      <w:bookmarkStart w:id="771" w:name="_Toc487653208"/>
      <w:bookmarkStart w:id="772" w:name="_Toc486685928"/>
      <w:bookmarkStart w:id="773" w:name="_Toc490832319"/>
      <w:bookmarkStart w:id="774" w:name="_Toc488492861"/>
      <w:r>
        <w:rPr>
          <w:rFonts w:ascii="宋体" w:hAnsi="宋体"/>
          <w:color w:val="auto"/>
          <w:sz w:val="28"/>
          <w:szCs w:val="28"/>
          <w:highlight w:val="none"/>
        </w:rPr>
        <w:t>7.4 签订合同</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7.4.2 发出中标通知书后，招标人无正当理由拒签合同的，招标人向中标人退还投标保证金；给中标人造成损失的，还应当赔偿损失。</w:t>
      </w:r>
    </w:p>
    <w:p>
      <w:pPr>
        <w:pStyle w:val="6"/>
        <w:spacing w:before="0" w:after="0" w:line="360" w:lineRule="auto"/>
        <w:rPr>
          <w:rFonts w:ascii="宋体" w:hAnsi="宋体"/>
          <w:color w:val="auto"/>
          <w:highlight w:val="none"/>
        </w:rPr>
      </w:pPr>
      <w:bookmarkStart w:id="775" w:name="_Toc234382634"/>
      <w:bookmarkStart w:id="776" w:name="_Toc383006498"/>
      <w:bookmarkStart w:id="777" w:name="_Toc18870"/>
      <w:bookmarkStart w:id="778" w:name="_Toc382997972"/>
      <w:bookmarkStart w:id="779" w:name="_Toc383512719"/>
      <w:bookmarkStart w:id="780" w:name="_Toc419729385"/>
      <w:bookmarkStart w:id="781" w:name="_Toc419724318"/>
      <w:bookmarkStart w:id="782" w:name="_Toc463799041"/>
      <w:bookmarkStart w:id="783" w:name="_Toc419825385"/>
      <w:bookmarkStart w:id="784" w:name="_Toc382997694"/>
      <w:bookmarkStart w:id="785" w:name="_Toc419825036"/>
      <w:bookmarkStart w:id="786" w:name="_Toc383013025"/>
      <w:bookmarkStart w:id="787" w:name="_Toc21336"/>
      <w:bookmarkStart w:id="788" w:name="_Toc490832320"/>
      <w:bookmarkStart w:id="789" w:name="_Toc234382635"/>
      <w:bookmarkStart w:id="790" w:name="_Toc17397"/>
      <w:r>
        <w:rPr>
          <w:rFonts w:ascii="宋体" w:hAnsi="宋体"/>
          <w:color w:val="auto"/>
          <w:highlight w:val="none"/>
        </w:rPr>
        <w:t>8. 重新招标</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6"/>
        <w:spacing w:before="0" w:after="0" w:line="360" w:lineRule="auto"/>
        <w:rPr>
          <w:rFonts w:ascii="宋体" w:hAnsi="宋体"/>
          <w:color w:val="auto"/>
          <w:sz w:val="28"/>
          <w:szCs w:val="28"/>
          <w:highlight w:val="none"/>
        </w:rPr>
      </w:pPr>
      <w:bookmarkStart w:id="791" w:name="_Toc383006499"/>
      <w:bookmarkStart w:id="792" w:name="_Toc463799042"/>
      <w:bookmarkStart w:id="793" w:name="_Toc383013026"/>
      <w:bookmarkStart w:id="794" w:name="_Toc487653210"/>
      <w:bookmarkStart w:id="795" w:name="_Toc28190"/>
      <w:bookmarkStart w:id="796" w:name="_Toc419724319"/>
      <w:bookmarkStart w:id="797" w:name="_Toc488492863"/>
      <w:bookmarkStart w:id="798" w:name="_Toc419729386"/>
      <w:bookmarkStart w:id="799" w:name="_Toc486685930"/>
      <w:bookmarkStart w:id="800" w:name="_Toc419825386"/>
      <w:bookmarkStart w:id="801" w:name="_Toc382997973"/>
      <w:bookmarkStart w:id="802" w:name="_Toc488483633"/>
      <w:bookmarkStart w:id="803" w:name="_Toc419825037"/>
      <w:bookmarkStart w:id="804" w:name="_Toc382997695"/>
      <w:bookmarkStart w:id="805" w:name="_Toc383512720"/>
      <w:bookmarkStart w:id="806" w:name="_Toc490832321"/>
      <w:r>
        <w:rPr>
          <w:rFonts w:ascii="宋体" w:hAnsi="宋体"/>
          <w:color w:val="auto"/>
          <w:sz w:val="28"/>
          <w:szCs w:val="28"/>
          <w:highlight w:val="none"/>
        </w:rPr>
        <w:t>8.1 重新招标</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 w:val="21"/>
          <w:szCs w:val="21"/>
          <w:highlight w:val="none"/>
        </w:rPr>
        <w:t>法律规定的其他情形。</w:t>
      </w:r>
    </w:p>
    <w:p>
      <w:pPr>
        <w:pStyle w:val="6"/>
        <w:spacing w:before="0" w:after="0" w:line="360" w:lineRule="auto"/>
        <w:rPr>
          <w:rFonts w:ascii="宋体" w:hAnsi="宋体"/>
          <w:color w:val="auto"/>
          <w:highlight w:val="none"/>
        </w:rPr>
      </w:pPr>
      <w:bookmarkStart w:id="807" w:name="_Toc382997697"/>
      <w:bookmarkStart w:id="808" w:name="_Toc419825039"/>
      <w:bookmarkStart w:id="809" w:name="_Toc463799044"/>
      <w:bookmarkStart w:id="810" w:name="_Toc4593"/>
      <w:bookmarkStart w:id="811" w:name="_Toc383013028"/>
      <w:bookmarkStart w:id="812" w:name="_Toc383006501"/>
      <w:bookmarkStart w:id="813" w:name="_Toc490832323"/>
      <w:bookmarkStart w:id="814" w:name="_Toc419729388"/>
      <w:bookmarkStart w:id="815" w:name="_Toc382997975"/>
      <w:bookmarkStart w:id="816" w:name="_Toc383512722"/>
      <w:bookmarkStart w:id="817" w:name="_Toc419724321"/>
      <w:bookmarkStart w:id="818" w:name="_Toc9283"/>
      <w:bookmarkStart w:id="819" w:name="_Toc234382637"/>
      <w:bookmarkStart w:id="820" w:name="_Toc419825388"/>
      <w:r>
        <w:rPr>
          <w:rFonts w:ascii="宋体" w:hAnsi="宋体"/>
          <w:color w:val="auto"/>
          <w:highlight w:val="none"/>
        </w:rPr>
        <w:t>9. 纪律和监督</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6"/>
        <w:spacing w:before="0" w:after="0" w:line="360" w:lineRule="auto"/>
        <w:rPr>
          <w:rFonts w:ascii="宋体" w:hAnsi="宋体"/>
          <w:color w:val="auto"/>
          <w:sz w:val="28"/>
          <w:szCs w:val="28"/>
          <w:highlight w:val="none"/>
        </w:rPr>
      </w:pPr>
      <w:bookmarkStart w:id="821" w:name="_Toc383512723"/>
      <w:bookmarkStart w:id="822" w:name="_Toc419825389"/>
      <w:bookmarkStart w:id="823" w:name="_Toc383006502"/>
      <w:bookmarkStart w:id="824" w:name="_Toc463799045"/>
      <w:bookmarkStart w:id="825" w:name="_Toc490832324"/>
      <w:bookmarkStart w:id="826" w:name="_Toc16967"/>
      <w:bookmarkStart w:id="827" w:name="_Toc488492866"/>
      <w:bookmarkStart w:id="828" w:name="_Toc8366"/>
      <w:bookmarkStart w:id="829" w:name="_Toc486685933"/>
      <w:bookmarkStart w:id="830" w:name="_Toc382997976"/>
      <w:bookmarkStart w:id="831" w:name="_Toc488483636"/>
      <w:bookmarkStart w:id="832" w:name="_Toc487653213"/>
      <w:bookmarkStart w:id="833" w:name="_Toc419724322"/>
      <w:bookmarkStart w:id="834" w:name="_Toc383013029"/>
      <w:bookmarkStart w:id="835" w:name="_Toc382997698"/>
      <w:bookmarkStart w:id="836" w:name="_Toc419729389"/>
      <w:bookmarkStart w:id="837" w:name="_Toc419825040"/>
      <w:bookmarkStart w:id="838" w:name="_Toc234382638"/>
      <w:r>
        <w:rPr>
          <w:rFonts w:ascii="宋体" w:hAnsi="宋体"/>
          <w:color w:val="auto"/>
          <w:sz w:val="28"/>
          <w:szCs w:val="28"/>
          <w:highlight w:val="none"/>
        </w:rPr>
        <w:t>9.1 对招标人的纪律要求</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招标人不得泄漏招标投标活动中应当保密的情况和资料，不得与投标人串通损害国家利益、社会公共利益或者他人合法权益。</w:t>
      </w:r>
    </w:p>
    <w:p>
      <w:pPr>
        <w:pStyle w:val="6"/>
        <w:spacing w:before="0" w:after="0" w:line="360" w:lineRule="auto"/>
        <w:rPr>
          <w:rFonts w:ascii="宋体" w:hAnsi="宋体"/>
          <w:color w:val="auto"/>
          <w:sz w:val="28"/>
          <w:szCs w:val="28"/>
          <w:highlight w:val="none"/>
        </w:rPr>
      </w:pPr>
      <w:bookmarkStart w:id="839" w:name="_Toc419825390"/>
      <w:bookmarkStart w:id="840" w:name="_Toc463799046"/>
      <w:bookmarkStart w:id="841" w:name="_Toc383006503"/>
      <w:bookmarkStart w:id="842" w:name="_Toc419825041"/>
      <w:bookmarkStart w:id="843" w:name="_Toc382997977"/>
      <w:bookmarkStart w:id="844" w:name="_Toc19441"/>
      <w:bookmarkStart w:id="845" w:name="_Toc234382639"/>
      <w:bookmarkStart w:id="846" w:name="_Toc383013030"/>
      <w:bookmarkStart w:id="847" w:name="_Toc382997699"/>
      <w:bookmarkStart w:id="848" w:name="_Toc488492867"/>
      <w:bookmarkStart w:id="849" w:name="_Toc490832325"/>
      <w:bookmarkStart w:id="850" w:name="_Toc488483637"/>
      <w:bookmarkStart w:id="851" w:name="_Toc486685934"/>
      <w:bookmarkStart w:id="852" w:name="_Toc419724323"/>
      <w:bookmarkStart w:id="853" w:name="_Toc383512724"/>
      <w:bookmarkStart w:id="854" w:name="_Toc5301"/>
      <w:bookmarkStart w:id="855" w:name="_Toc419729390"/>
      <w:bookmarkStart w:id="856" w:name="_Toc487653214"/>
      <w:r>
        <w:rPr>
          <w:rFonts w:ascii="宋体" w:hAnsi="宋体"/>
          <w:color w:val="auto"/>
          <w:sz w:val="28"/>
          <w:szCs w:val="28"/>
          <w:highlight w:val="none"/>
        </w:rPr>
        <w:t>9.2 对投标人的纪律要求</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投标人不得相互串通投标或者与招标人串通投标</w:t>
      </w:r>
      <w:r>
        <w:rPr>
          <w:rFonts w:hint="eastAsia" w:ascii="宋体" w:hAnsi="宋体"/>
          <w:color w:val="auto"/>
          <w:szCs w:val="21"/>
          <w:highlight w:val="none"/>
        </w:rPr>
        <w:t>,</w:t>
      </w:r>
      <w:r>
        <w:rPr>
          <w:rFonts w:ascii="宋体" w:hAnsi="宋体"/>
          <w:color w:val="auto"/>
          <w:szCs w:val="21"/>
          <w:highlight w:val="none"/>
        </w:rPr>
        <w:t>不得向招标人或者评标委员会成员行贿谋取中标</w:t>
      </w:r>
      <w:r>
        <w:rPr>
          <w:rFonts w:hint="eastAsia" w:ascii="宋体" w:hAnsi="宋体"/>
          <w:color w:val="auto"/>
          <w:szCs w:val="21"/>
          <w:highlight w:val="none"/>
        </w:rPr>
        <w:t>,</w:t>
      </w:r>
      <w:r>
        <w:rPr>
          <w:rFonts w:ascii="宋体" w:hAnsi="宋体"/>
          <w:color w:val="auto"/>
          <w:szCs w:val="21"/>
          <w:highlight w:val="none"/>
        </w:rPr>
        <w:t>不得以他人名义投标或者以其他方式弄虚作假骗取中标；投标人不得以任何方式干扰、影响评标工作。</w:t>
      </w:r>
    </w:p>
    <w:p>
      <w:pPr>
        <w:pStyle w:val="6"/>
        <w:spacing w:before="0" w:after="0" w:line="360" w:lineRule="auto"/>
        <w:rPr>
          <w:rFonts w:ascii="宋体" w:hAnsi="宋体"/>
          <w:color w:val="auto"/>
          <w:sz w:val="28"/>
          <w:szCs w:val="28"/>
          <w:highlight w:val="none"/>
        </w:rPr>
      </w:pPr>
      <w:bookmarkStart w:id="857" w:name="_Toc419825391"/>
      <w:bookmarkStart w:id="858" w:name="_Toc383006504"/>
      <w:bookmarkStart w:id="859" w:name="_Toc382997700"/>
      <w:bookmarkStart w:id="860" w:name="_Toc383013031"/>
      <w:bookmarkStart w:id="861" w:name="_Toc487653215"/>
      <w:bookmarkStart w:id="862" w:name="_Toc383512725"/>
      <w:bookmarkStart w:id="863" w:name="_Toc488492868"/>
      <w:bookmarkStart w:id="864" w:name="_Toc234382640"/>
      <w:bookmarkStart w:id="865" w:name="_Toc10815"/>
      <w:bookmarkStart w:id="866" w:name="_Toc21784"/>
      <w:bookmarkStart w:id="867" w:name="_Toc419724324"/>
      <w:bookmarkStart w:id="868" w:name="_Toc488483638"/>
      <w:bookmarkStart w:id="869" w:name="_Toc419825042"/>
      <w:bookmarkStart w:id="870" w:name="_Toc463799047"/>
      <w:bookmarkStart w:id="871" w:name="_Toc490832326"/>
      <w:bookmarkStart w:id="872" w:name="_Toc382997978"/>
      <w:bookmarkStart w:id="873" w:name="_Toc486685935"/>
      <w:bookmarkStart w:id="874" w:name="_Toc419729391"/>
      <w:r>
        <w:rPr>
          <w:rFonts w:ascii="宋体" w:hAnsi="宋体"/>
          <w:color w:val="auto"/>
          <w:sz w:val="28"/>
          <w:szCs w:val="28"/>
          <w:highlight w:val="none"/>
        </w:rPr>
        <w:t>9.3 对评标委员会成员</w:t>
      </w:r>
      <w:r>
        <w:rPr>
          <w:rFonts w:ascii="宋体" w:hAnsi="宋体"/>
          <w:color w:val="auto"/>
          <w:sz w:val="28"/>
          <w:szCs w:val="28"/>
          <w:highlight w:val="none"/>
          <w:lang w:val="zh-CN"/>
        </w:rPr>
        <w:t>和定标委员会的</w:t>
      </w:r>
      <w:r>
        <w:rPr>
          <w:rFonts w:ascii="宋体" w:hAnsi="宋体"/>
          <w:color w:val="auto"/>
          <w:sz w:val="28"/>
          <w:szCs w:val="28"/>
          <w:highlight w:val="none"/>
        </w:rPr>
        <w:t>的纪律要求</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pPr>
        <w:spacing w:line="360" w:lineRule="auto"/>
        <w:ind w:firstLine="420" w:firstLineChars="200"/>
        <w:rPr>
          <w:rFonts w:ascii="宋体" w:hAnsi="宋体"/>
          <w:color w:val="auto"/>
          <w:szCs w:val="21"/>
          <w:highlight w:val="none"/>
        </w:rPr>
      </w:pPr>
      <w:r>
        <w:rPr>
          <w:rFonts w:ascii="宋体" w:hAnsi="宋体"/>
          <w:color w:val="auto"/>
          <w:szCs w:val="21"/>
          <w:highlight w:val="none"/>
        </w:rPr>
        <w:t>评标委员会和定标委员会成员不得收受他人的财物或者其他好处，不得向他人透漏对投标文件的评审和比较、定标候选人的推荐情况、定标情况以及评标、定标有关的其他情况。在评标、定标活动中，评标委员会和定标委员会成员应当客观、公正地履行职责，遵守职业道德，不得擅离职守，影响评标程序正常进行。</w:t>
      </w:r>
    </w:p>
    <w:p>
      <w:pPr>
        <w:pStyle w:val="6"/>
        <w:spacing w:before="0" w:after="0" w:line="360" w:lineRule="auto"/>
        <w:rPr>
          <w:rFonts w:ascii="宋体" w:hAnsi="宋体"/>
          <w:color w:val="auto"/>
          <w:sz w:val="28"/>
          <w:szCs w:val="28"/>
          <w:highlight w:val="none"/>
        </w:rPr>
      </w:pPr>
      <w:bookmarkStart w:id="875" w:name="_Toc1784"/>
      <w:bookmarkStart w:id="876" w:name="_Toc490832327"/>
      <w:bookmarkStart w:id="877" w:name="_Toc234382641"/>
      <w:bookmarkStart w:id="878" w:name="_Toc463799048"/>
      <w:bookmarkStart w:id="879" w:name="_Toc383006505"/>
      <w:bookmarkStart w:id="880" w:name="_Toc382997701"/>
      <w:bookmarkStart w:id="881" w:name="_Toc383512726"/>
      <w:bookmarkStart w:id="882" w:name="_Toc419825392"/>
      <w:bookmarkStart w:id="883" w:name="_Toc419724325"/>
      <w:bookmarkStart w:id="884" w:name="_Toc486685936"/>
      <w:bookmarkStart w:id="885" w:name="_Toc383013032"/>
      <w:bookmarkStart w:id="886" w:name="_Toc488492869"/>
      <w:bookmarkStart w:id="887" w:name="_Toc419729392"/>
      <w:bookmarkStart w:id="888" w:name="_Toc488483639"/>
      <w:bookmarkStart w:id="889" w:name="_Toc487653216"/>
      <w:bookmarkStart w:id="890" w:name="_Toc27170"/>
      <w:bookmarkStart w:id="891" w:name="_Toc419825043"/>
      <w:bookmarkStart w:id="892" w:name="_Toc382997979"/>
      <w:r>
        <w:rPr>
          <w:rFonts w:ascii="宋体" w:hAnsi="宋体"/>
          <w:color w:val="auto"/>
          <w:sz w:val="28"/>
          <w:szCs w:val="28"/>
          <w:highlight w:val="none"/>
        </w:rPr>
        <w:t>9.4 对与评标活动有关的工作人员的纪律要求</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与评标和定标活动有关的工作人员不得收受他人的财物或者其他好处，不得向他人透漏对投标文件的评审和比较、定标候选人的推荐情况、定标情况以及评标、定标有关的其他情况。在评标、定标活动中，与评标、定标活动有关的工作人员不得擅离职守，影响评标程序正常进行。</w:t>
      </w:r>
    </w:p>
    <w:p>
      <w:pPr>
        <w:pStyle w:val="6"/>
        <w:spacing w:before="0" w:after="0" w:line="360" w:lineRule="auto"/>
        <w:rPr>
          <w:rFonts w:ascii="宋体" w:hAnsi="宋体"/>
          <w:color w:val="auto"/>
          <w:sz w:val="28"/>
          <w:szCs w:val="28"/>
          <w:highlight w:val="none"/>
        </w:rPr>
      </w:pPr>
      <w:bookmarkStart w:id="893" w:name="_Toc488483640"/>
      <w:bookmarkStart w:id="894" w:name="_Toc419729393"/>
      <w:bookmarkStart w:id="895" w:name="_Toc383013033"/>
      <w:bookmarkStart w:id="896" w:name="_Toc29698"/>
      <w:bookmarkStart w:id="897" w:name="_Toc488492870"/>
      <w:bookmarkStart w:id="898" w:name="_Toc382997980"/>
      <w:bookmarkStart w:id="899" w:name="_Toc463799049"/>
      <w:bookmarkStart w:id="900" w:name="_Toc234382642"/>
      <w:bookmarkStart w:id="901" w:name="_Toc32492"/>
      <w:bookmarkStart w:id="902" w:name="_Toc419724326"/>
      <w:bookmarkStart w:id="903" w:name="_Toc382997702"/>
      <w:bookmarkStart w:id="904" w:name="_Toc486685937"/>
      <w:bookmarkStart w:id="905" w:name="_Toc419825044"/>
      <w:bookmarkStart w:id="906" w:name="_Toc383512727"/>
      <w:bookmarkStart w:id="907" w:name="_Toc490832328"/>
      <w:bookmarkStart w:id="908" w:name="_Toc419825393"/>
      <w:bookmarkStart w:id="909" w:name="_Toc487653217"/>
      <w:bookmarkStart w:id="910" w:name="_Toc383006506"/>
      <w:r>
        <w:rPr>
          <w:rFonts w:ascii="宋体" w:hAnsi="宋体"/>
          <w:color w:val="auto"/>
          <w:sz w:val="28"/>
          <w:szCs w:val="28"/>
          <w:highlight w:val="none"/>
        </w:rPr>
        <w:t xml:space="preserve">9.5 </w:t>
      </w:r>
      <w:r>
        <w:rPr>
          <w:rFonts w:ascii="宋体" w:hAnsi="宋体"/>
          <w:color w:val="auto"/>
          <w:sz w:val="28"/>
          <w:szCs w:val="28"/>
          <w:highlight w:val="none"/>
          <w:lang w:val="zh-CN"/>
        </w:rPr>
        <w:t>异议、投诉与处理</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spacing w:line="360" w:lineRule="auto"/>
        <w:ind w:firstLine="420" w:firstLineChars="200"/>
        <w:rPr>
          <w:rFonts w:hint="eastAsia" w:ascii="宋体" w:hAnsi="宋体"/>
          <w:color w:val="auto"/>
          <w:szCs w:val="21"/>
          <w:highlight w:val="none"/>
        </w:rPr>
      </w:pPr>
      <w:bookmarkStart w:id="911" w:name="_Toc234382643"/>
      <w:r>
        <w:rPr>
          <w:rFonts w:hint="eastAsia" w:ascii="宋体" w:hAnsi="宋体"/>
          <w:color w:val="auto"/>
          <w:szCs w:val="21"/>
          <w:highlight w:val="none"/>
        </w:rPr>
        <w:t>9.5.1异议处理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潜在投标人或投标人及其他利害关系人对招标文件或评标结果有异议的，应当在规定的期限内（对招标文件的异议期限为在投标截止时间10天前，对评标结果的异议期限为评标公示期内）同时通过电子交易平台向招标人提出。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异议应当包括下列内容：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（一）异议人的名称、地址及有效联系方式；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（二）被异议人的名称（仅适用于对评标结果的异议）；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（三）异议事项的基本事实；</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（四）相关请求及主张；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（五）有效线索和相关证明材料。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招标人收到对招标文件或评标结果的异议后，应当在3日内作出是否受理的决定，逾期未作出不予受理决定的，自收到异议之日起即视为受理。有下列情形之一的异议，不予受理，并向异议人发出不予受理告知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（一）对评标结果有异议的异议人不是本项目的参与者，或者与本项目无任何利害关系；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（二）异议事项不具体，且未提供有效线索，难以查证的；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（三）异议未署具异议人真实姓名、签字和有效联系方式的；以法人名义提出异议的，异议未经法定代表人签字并加盖公章的；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（四）超过异议时效的。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招标人对招标文件或评标结果异议的处理结果，应当通过电子交易平台作出答复并向社会公开，同时通过省行政监督平台向监督机关备案。在作出答复前应当暂停下一阶段招投标活动。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9.5.2投诉处理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9.5.2.1根据中华人民共和国国务院令第613号《中华人民共和国招标投标法实施条例》、国家发改委、交通运输部等8部委（局）《关于工程建设项目招标投标活动投诉处理办法（2013年修正）》以及《福建省交通运输厅关于规范公路水运工程招投标线上投诉有关事项的通知》（闽交建函〔2020〕72号）等有关规定，</w:t>
      </w:r>
      <w:bookmarkStart w:id="912" w:name="OLE_LINK1"/>
      <w:r>
        <w:rPr>
          <w:rFonts w:hint="eastAsia" w:ascii="宋体" w:hAnsi="宋体"/>
          <w:color w:val="auto"/>
          <w:szCs w:val="21"/>
          <w:highlight w:val="none"/>
        </w:rPr>
        <w:t>投标人和其他利害关系人</w:t>
      </w:r>
      <w:bookmarkEnd w:id="912"/>
      <w:r>
        <w:rPr>
          <w:rFonts w:hint="eastAsia" w:ascii="宋体" w:hAnsi="宋体"/>
          <w:color w:val="auto"/>
          <w:szCs w:val="21"/>
          <w:highlight w:val="none"/>
        </w:rPr>
        <w:t>认为招投标活动</w:t>
      </w:r>
      <w:bookmarkStart w:id="913" w:name="OLE_LINK2"/>
      <w:r>
        <w:rPr>
          <w:rFonts w:hint="eastAsia" w:ascii="宋体" w:hAnsi="宋体"/>
          <w:color w:val="auto"/>
          <w:szCs w:val="21"/>
          <w:highlight w:val="none"/>
        </w:rPr>
        <w:t>不符合法律、行政法规定的，应当先向招标人提出异议，招标人应按《中华人民共和国招标投标法实施条例》规定的时限做出答复，</w:t>
      </w:r>
      <w:bookmarkEnd w:id="913"/>
      <w:bookmarkStart w:id="914" w:name="OLE_LINK6"/>
      <w:r>
        <w:rPr>
          <w:rFonts w:hint="eastAsia" w:ascii="宋体" w:hAnsi="宋体"/>
          <w:color w:val="auto"/>
          <w:szCs w:val="21"/>
          <w:highlight w:val="none"/>
        </w:rPr>
        <w:t>异议答复</w:t>
      </w:r>
      <w:bookmarkEnd w:id="914"/>
      <w:r>
        <w:rPr>
          <w:rFonts w:hint="eastAsia" w:ascii="宋体" w:hAnsi="宋体"/>
          <w:color w:val="auto"/>
          <w:szCs w:val="21"/>
          <w:highlight w:val="none"/>
        </w:rPr>
        <w:t>不能解决的，可以向各级行政监督部门</w:t>
      </w:r>
      <w:bookmarkStart w:id="915" w:name="OLE_LINK4"/>
      <w:r>
        <w:rPr>
          <w:rFonts w:hint="eastAsia" w:ascii="宋体" w:hAnsi="宋体"/>
          <w:color w:val="auto"/>
          <w:szCs w:val="21"/>
          <w:highlight w:val="none"/>
        </w:rPr>
        <w:t>逐级</w:t>
      </w:r>
      <w:bookmarkEnd w:id="915"/>
      <w:r>
        <w:rPr>
          <w:rFonts w:hint="eastAsia" w:ascii="宋体" w:hAnsi="宋体"/>
          <w:color w:val="auto"/>
          <w:szCs w:val="21"/>
          <w:highlight w:val="none"/>
        </w:rPr>
        <w:t>投诉（应提供向招标人提出异议的证明函件）。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9.5.2.1.1投诉人投诉时，应提交投诉书。投诉书应包括以下内容：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（1）投诉人的名称、地址及有效联系方式；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（2）被投诉人的名称、地址及有效联系方式；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（3）投诉事项的基本事实；</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（4）相关请求及主张；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诉人是法人的，投诉书必须由其法定代表人或者授权代表签字并盖章；其他组织或个人投诉的，投诉书必须由其主要负责人或投诉人本人签字，并附有效身份证明复印件，已向有关行政监督部门投诉的、应当一并说明情况，并附上有效线索和相关证明材料。 投诉书有关材料是外文的，投诉人应当同时提供其中文译本。</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9.5.2.1.2投诉人不得以投诉为名排挤竞争对手，不得虚假、恶意投诉、阻碍招标投标活动的正常进行。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9.5.2.1.3投诉人认为招投标活动不符合法律、行政法规规定的，可以在知道或应当知道之日起10日内提出书面投诉。依照有关行政法规提出异议的，异议答复期不计在内。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9.5.2.1.4投诉人可以自己直接投诉，也可以委托代理人办理投诉事务。代理人办理投诉事务时，应将授权委托书连同投诉书一并提交投诉机构。授权委托书应当明确有关委托代理的权限和事项。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9.5.2.1.5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w:t>
      </w:r>
      <w:r>
        <w:rPr>
          <w:rFonts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9.5.2.2投诉处理决定做出前，投诉人要求撤回投诉的，应以书面形式提出并说明理由，受理机构根据以下情况，决定是否准予撤回。</w:t>
      </w:r>
      <w:r>
        <w:rPr>
          <w:rFonts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9.5.2.2.1已经查实有明显违法行为的，应当不准撤回，并继续调查直至做出处理决定；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9.5.2.2.2撤回投诉不损害国家利益、社会公共利益或其他当事人合法权益的，准予撤回，投诉处理过程终止。投诉人不得以同一事实和理由再提出投诉。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本项目投诉受理程序按照《福建省交通运输厅关于进一步规范我省公路水运工程招投标、信用考核等投诉来访处理工作的通知》（闽交建[2015]15号）执行，具体招投标活动投诉受理机构为：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受理机构：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投诉电话：</w:t>
      </w:r>
      <w:r>
        <w:rPr>
          <w:rFonts w:hint="eastAsia" w:ascii="宋体" w:hAnsi="宋体"/>
          <w:color w:val="auto"/>
          <w:szCs w:val="21"/>
          <w:highlight w:val="none"/>
          <w:u w:val="non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b w:val="0"/>
          <w:bCs w:val="0"/>
          <w:color w:val="auto"/>
          <w:szCs w:val="21"/>
          <w:highlight w:val="none"/>
        </w:rPr>
      </w:pPr>
      <w:r>
        <w:rPr>
          <w:rFonts w:hint="eastAsia" w:ascii="宋体" w:hAnsi="宋体"/>
          <w:bCs w:val="0"/>
          <w:color w:val="auto"/>
          <w:szCs w:val="21"/>
          <w:highlight w:val="none"/>
        </w:rPr>
        <w:t>地址</w:t>
      </w:r>
      <w:r>
        <w:rPr>
          <w:rFonts w:hint="eastAsia" w:ascii="宋体" w:hAnsi="宋体"/>
          <w:b w:val="0"/>
          <w:bCs w:val="0"/>
          <w:color w:val="auto"/>
          <w:szCs w:val="21"/>
          <w:highlight w:val="none"/>
        </w:rPr>
        <w:t>：</w:t>
      </w:r>
      <w:r>
        <w:rPr>
          <w:rFonts w:hint="eastAsia" w:ascii="宋体" w:hAnsi="宋体"/>
          <w:b w:val="0"/>
          <w:bCs w:val="0"/>
          <w:color w:val="auto"/>
          <w:szCs w:val="21"/>
          <w:highlight w:val="none"/>
          <w:u w:val="none"/>
        </w:rPr>
        <w:t xml:space="preserve">              </w:t>
      </w:r>
      <w:r>
        <w:rPr>
          <w:rFonts w:hint="eastAsia" w:ascii="宋体" w:hAnsi="宋体"/>
          <w:b w:val="0"/>
          <w:bCs w:val="0"/>
          <w:color w:val="auto"/>
          <w:szCs w:val="21"/>
          <w:highlight w:val="none"/>
        </w:rPr>
        <w:t xml:space="preserve">   </w:t>
      </w:r>
    </w:p>
    <w:p>
      <w:pPr>
        <w:spacing w:line="360" w:lineRule="auto"/>
        <w:ind w:firstLine="420" w:firstLineChars="200"/>
        <w:rPr>
          <w:rFonts w:hint="eastAsia" w:ascii="宋体" w:hAnsi="宋体"/>
          <w:color w:val="auto"/>
          <w:szCs w:val="28"/>
          <w:highlight w:val="none"/>
        </w:rPr>
      </w:pPr>
      <w:r>
        <w:rPr>
          <w:rFonts w:hint="eastAsia" w:ascii="宋体" w:hAnsi="宋体"/>
          <w:color w:val="auto"/>
          <w:szCs w:val="21"/>
          <w:highlight w:val="none"/>
        </w:rPr>
        <w:t xml:space="preserve">邮编：  </w:t>
      </w:r>
      <w:r>
        <w:rPr>
          <w:rFonts w:hint="eastAsia" w:ascii="宋体" w:hAnsi="宋体"/>
          <w:b w:val="0"/>
          <w:bCs w:val="0"/>
          <w:color w:val="auto"/>
          <w:szCs w:val="21"/>
          <w:highlight w:val="none"/>
          <w:u w:val="none"/>
        </w:rPr>
        <w:t xml:space="preserve">    </w:t>
      </w:r>
      <w:r>
        <w:rPr>
          <w:rFonts w:hint="eastAsia" w:ascii="宋体" w:hAnsi="宋体"/>
          <w:b/>
          <w:bCs/>
          <w:color w:val="auto"/>
          <w:szCs w:val="21"/>
          <w:highlight w:val="none"/>
          <w:u w:val="single"/>
        </w:rPr>
        <w:t xml:space="preserve">   </w:t>
      </w:r>
      <w:bookmarkStart w:id="916" w:name="_Toc463799050"/>
      <w:bookmarkStart w:id="917" w:name="_Toc419825045"/>
      <w:bookmarkStart w:id="918" w:name="_Toc31305"/>
      <w:bookmarkStart w:id="919" w:name="_Toc419724327"/>
      <w:bookmarkStart w:id="920" w:name="_Toc383013034"/>
      <w:bookmarkStart w:id="921" w:name="_Toc419729394"/>
      <w:bookmarkStart w:id="922" w:name="_Toc383006507"/>
      <w:bookmarkStart w:id="923" w:name="_Toc383512728"/>
      <w:bookmarkStart w:id="924" w:name="_Toc382997981"/>
      <w:bookmarkStart w:id="925" w:name="_Toc382997703"/>
      <w:bookmarkStart w:id="926" w:name="_Toc11261"/>
      <w:bookmarkStart w:id="927" w:name="_Toc490832329"/>
      <w:bookmarkStart w:id="928" w:name="_Toc419825394"/>
    </w:p>
    <w:p>
      <w:pPr>
        <w:pStyle w:val="6"/>
        <w:spacing w:before="0" w:after="0" w:line="360" w:lineRule="auto"/>
        <w:rPr>
          <w:rFonts w:hint="eastAsia" w:ascii="宋体" w:hAnsi="宋体"/>
          <w:color w:val="auto"/>
          <w:szCs w:val="28"/>
          <w:highlight w:val="none"/>
        </w:rPr>
      </w:pPr>
      <w:r>
        <w:rPr>
          <w:rFonts w:hint="eastAsia" w:ascii="宋体" w:hAnsi="宋体"/>
          <w:color w:val="auto"/>
          <w:szCs w:val="28"/>
          <w:highlight w:val="none"/>
        </w:rPr>
        <w:t>10.其他规定</w:t>
      </w:r>
      <w:bookmarkEnd w:id="916"/>
      <w:bookmarkEnd w:id="917"/>
      <w:bookmarkEnd w:id="918"/>
      <w:bookmarkEnd w:id="919"/>
      <w:bookmarkEnd w:id="920"/>
      <w:bookmarkEnd w:id="921"/>
      <w:bookmarkEnd w:id="922"/>
      <w:bookmarkEnd w:id="923"/>
      <w:bookmarkEnd w:id="924"/>
      <w:bookmarkEnd w:id="925"/>
      <w:bookmarkEnd w:id="926"/>
      <w:bookmarkEnd w:id="927"/>
      <w:bookmarkEnd w:id="928"/>
    </w:p>
    <w:bookmarkEnd w:id="911"/>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需要补充的其他内容：见投标人须知前附表。</w:t>
      </w:r>
    </w:p>
    <w:p>
      <w:pPr>
        <w:spacing w:line="360" w:lineRule="auto"/>
        <w:ind w:firstLine="420" w:firstLineChars="200"/>
        <w:rPr>
          <w:rFonts w:hint="eastAsia" w:ascii="宋体" w:hAnsi="宋体"/>
          <w:color w:val="auto"/>
          <w:szCs w:val="21"/>
          <w:highlight w:val="none"/>
        </w:rPr>
      </w:pPr>
    </w:p>
    <w:p>
      <w:pPr>
        <w:pStyle w:val="6"/>
        <w:rPr>
          <w:color w:val="auto"/>
          <w:highlight w:val="none"/>
        </w:rPr>
        <w:sectPr>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bookmarkStart w:id="929" w:name="_Toc31414"/>
      <w:bookmarkStart w:id="930" w:name="_Toc184635081"/>
      <w:bookmarkStart w:id="931" w:name="_Toc11432"/>
      <w:bookmarkStart w:id="932" w:name="_Toc382997982"/>
      <w:bookmarkStart w:id="933" w:name="_Toc382997704"/>
      <w:bookmarkStart w:id="934" w:name="_Toc383006508"/>
    </w:p>
    <w:bookmarkEnd w:id="929"/>
    <w:bookmarkEnd w:id="930"/>
    <w:p>
      <w:pPr>
        <w:wordWrap w:val="0"/>
        <w:spacing w:line="400" w:lineRule="exact"/>
        <w:jc w:val="center"/>
        <w:rPr>
          <w:rFonts w:hint="eastAsia" w:eastAsia="黑体"/>
          <w:color w:val="auto"/>
          <w:sz w:val="28"/>
          <w:szCs w:val="28"/>
          <w:highlight w:val="none"/>
        </w:rPr>
      </w:pPr>
      <w:bookmarkStart w:id="935" w:name="_Toc3412"/>
      <w:bookmarkStart w:id="936" w:name="_Toc184635082"/>
      <w:r>
        <w:rPr>
          <w:rFonts w:hint="eastAsia" w:eastAsia="黑体"/>
          <w:color w:val="auto"/>
          <w:spacing w:val="-10"/>
          <w:sz w:val="28"/>
          <w:szCs w:val="28"/>
          <w:highlight w:val="none"/>
          <w:u w:val="single"/>
        </w:rPr>
        <w:t xml:space="preserve">         </w:t>
      </w:r>
      <w:bookmarkStart w:id="937" w:name="_Toc13567"/>
      <w:r>
        <w:rPr>
          <w:rFonts w:hint="eastAsia" w:eastAsia="黑体"/>
          <w:color w:val="auto"/>
          <w:spacing w:val="-10"/>
          <w:sz w:val="28"/>
          <w:szCs w:val="28"/>
          <w:highlight w:val="none"/>
        </w:rPr>
        <w:t>（项目名称）    标段施工</w:t>
      </w:r>
      <w:r>
        <w:rPr>
          <w:rFonts w:hint="eastAsia" w:eastAsia="黑体"/>
          <w:color w:val="auto"/>
          <w:sz w:val="28"/>
          <w:szCs w:val="28"/>
          <w:highlight w:val="none"/>
        </w:rPr>
        <w:t>开标记录表</w:t>
      </w:r>
      <w:bookmarkEnd w:id="937"/>
    </w:p>
    <w:p>
      <w:pPr>
        <w:wordWrap w:val="0"/>
        <w:spacing w:line="400" w:lineRule="exact"/>
        <w:jc w:val="right"/>
        <w:rPr>
          <w:rFonts w:hint="eastAsia"/>
          <w:color w:val="auto"/>
          <w:highlight w:val="none"/>
        </w:rPr>
      </w:pPr>
      <w:r>
        <w:rPr>
          <w:rFonts w:hint="eastAsia"/>
          <w:color w:val="auto"/>
          <w:highlight w:val="none"/>
        </w:rPr>
        <w:t xml:space="preserve"> 开标时间：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tbl>
      <w:tblPr>
        <w:tblStyle w:val="38"/>
        <w:tblpPr w:leftFromText="180" w:rightFromText="180" w:vertAnchor="text" w:horzAnchor="page" w:tblpX="1846" w:tblpY="456"/>
        <w:tblOverlap w:val="never"/>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1"/>
        <w:gridCol w:w="1673"/>
        <w:gridCol w:w="1152"/>
        <w:gridCol w:w="1115"/>
        <w:gridCol w:w="780"/>
        <w:gridCol w:w="789"/>
        <w:gridCol w:w="1254"/>
        <w:gridCol w:w="1254"/>
        <w:gridCol w:w="1254"/>
        <w:gridCol w:w="1066"/>
        <w:gridCol w:w="1055"/>
        <w:gridCol w:w="726"/>
        <w:gridCol w:w="1041"/>
        <w:gridCol w:w="4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184"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bookmarkStart w:id="938" w:name="_Toc261381671"/>
            <w:r>
              <w:rPr>
                <w:rFonts w:hint="eastAsia" w:ascii="宋体" w:hAnsi="宋体" w:cs="宋体"/>
                <w:color w:val="auto"/>
                <w:sz w:val="21"/>
                <w:szCs w:val="21"/>
                <w:highlight w:val="none"/>
              </w:rPr>
              <w:t>序号</w:t>
            </w:r>
          </w:p>
        </w:tc>
        <w:tc>
          <w:tcPr>
            <w:tcW w:w="590"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w:t>
            </w:r>
          </w:p>
        </w:tc>
        <w:tc>
          <w:tcPr>
            <w:tcW w:w="406"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投标保证金（元）</w:t>
            </w:r>
          </w:p>
        </w:tc>
        <w:tc>
          <w:tcPr>
            <w:tcW w:w="393"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投标报价（元）</w:t>
            </w:r>
          </w:p>
        </w:tc>
        <w:tc>
          <w:tcPr>
            <w:tcW w:w="275" w:type="pct"/>
            <w:vMerge w:val="restart"/>
            <w:noWrap w:val="0"/>
            <w:vAlign w:val="center"/>
          </w:tcPr>
          <w:p>
            <w:pPr>
              <w:wordWrap w:val="0"/>
              <w:adjustRightInd w:val="0"/>
              <w:spacing w:line="0" w:lineRule="atLeast"/>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质量目标</w:t>
            </w:r>
          </w:p>
        </w:tc>
        <w:tc>
          <w:tcPr>
            <w:tcW w:w="278" w:type="pct"/>
            <w:vMerge w:val="restart"/>
            <w:noWrap w:val="0"/>
            <w:vAlign w:val="center"/>
          </w:tcPr>
          <w:p>
            <w:pPr>
              <w:wordWrap w:val="0"/>
              <w:adjustRightInd w:val="0"/>
              <w:spacing w:line="0" w:lineRule="atLeast"/>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工期</w:t>
            </w:r>
          </w:p>
        </w:tc>
        <w:tc>
          <w:tcPr>
            <w:tcW w:w="442"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项目经理姓名、证书及编号</w:t>
            </w:r>
          </w:p>
        </w:tc>
        <w:tc>
          <w:tcPr>
            <w:tcW w:w="442" w:type="pct"/>
            <w:vMerge w:val="restart"/>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技术负责人、证书及编号</w:t>
            </w:r>
          </w:p>
        </w:tc>
        <w:tc>
          <w:tcPr>
            <w:tcW w:w="442" w:type="pct"/>
            <w:vMerge w:val="restart"/>
            <w:noWrap w:val="0"/>
            <w:vAlign w:val="center"/>
          </w:tcPr>
          <w:p>
            <w:pPr>
              <w:rPr>
                <w:color w:val="auto"/>
              </w:rPr>
            </w:pPr>
            <w:r>
              <w:rPr>
                <w:rFonts w:hint="eastAsia" w:ascii="宋体" w:hAnsi="宋体" w:cs="宋体"/>
                <w:color w:val="auto"/>
                <w:kern w:val="0"/>
                <w:sz w:val="21"/>
                <w:szCs w:val="21"/>
                <w:highlight w:val="none"/>
                <w:lang w:eastAsia="zh-CN" w:bidi="ar"/>
              </w:rPr>
              <w:t>厦门市住房和建设局</w:t>
            </w:r>
            <w:r>
              <w:rPr>
                <w:rFonts w:hint="eastAsia" w:ascii="宋体" w:hAnsi="宋体" w:cs="宋体"/>
                <w:color w:val="auto"/>
                <w:kern w:val="0"/>
                <w:sz w:val="21"/>
                <w:szCs w:val="21"/>
                <w:highlight w:val="none"/>
                <w:lang w:bidi="ar"/>
              </w:rPr>
              <w:t>建设市场信用监管系统信用评价结果</w:t>
            </w:r>
          </w:p>
          <w:p>
            <w:pPr>
              <w:widowControl/>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年度）</w:t>
            </w:r>
          </w:p>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376" w:type="pct"/>
            <w:vMerge w:val="restart"/>
            <w:noWrap w:val="0"/>
            <w:vAlign w:val="center"/>
          </w:tcPr>
          <w:p>
            <w:pPr>
              <w:wordWrap w:val="0"/>
              <w:adjustRightInd w:val="0"/>
              <w:spacing w:line="0" w:lineRule="atLeast"/>
              <w:jc w:val="center"/>
              <w:textAlignment w:val="baseline"/>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《企业信用声明》使用的信用考核评价等级</w:t>
            </w:r>
          </w:p>
        </w:tc>
        <w:tc>
          <w:tcPr>
            <w:tcW w:w="995" w:type="pct"/>
            <w:gridSpan w:val="3"/>
            <w:tcBorders>
              <w:bottom w:val="single" w:color="auto" w:sz="4" w:space="0"/>
            </w:tcBorders>
            <w:noWrap w:val="0"/>
            <w:vAlign w:val="center"/>
          </w:tcPr>
          <w:p>
            <w:pPr>
              <w:wordWrap w:val="0"/>
              <w:adjustRightInd w:val="0"/>
              <w:spacing w:before="156" w:beforeLines="50" w:line="30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递交投标文件电脑</w:t>
            </w:r>
          </w:p>
          <w:p>
            <w:pPr>
              <w:wordWrap w:val="0"/>
              <w:adjustRightInd w:val="0"/>
              <w:jc w:val="center"/>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的硬件信息</w:t>
            </w:r>
          </w:p>
        </w:tc>
        <w:tc>
          <w:tcPr>
            <w:tcW w:w="171" w:type="pct"/>
            <w:vMerge w:val="restar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84"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590"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406"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393"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275"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278"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442"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442"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442"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376" w:type="pct"/>
            <w:vMerge w:val="continue"/>
            <w:noWrap w:val="0"/>
            <w:vAlign w:val="center"/>
          </w:tcPr>
          <w:p>
            <w:pPr>
              <w:wordWrap w:val="0"/>
              <w:adjustRightInd w:val="0"/>
              <w:spacing w:line="0" w:lineRule="atLeast"/>
              <w:jc w:val="center"/>
              <w:textAlignment w:val="baseline"/>
              <w:rPr>
                <w:rFonts w:hint="eastAsia" w:ascii="宋体" w:hAnsi="宋体" w:cs="宋体"/>
                <w:color w:val="auto"/>
                <w:sz w:val="21"/>
                <w:szCs w:val="21"/>
                <w:highlight w:val="none"/>
              </w:rPr>
            </w:pPr>
          </w:p>
        </w:tc>
        <w:tc>
          <w:tcPr>
            <w:tcW w:w="372" w:type="pct"/>
            <w:tcBorders>
              <w:top w:val="single" w:color="auto" w:sz="4" w:space="0"/>
            </w:tcBorders>
            <w:noWrap w:val="0"/>
            <w:vAlign w:val="center"/>
          </w:tcPr>
          <w:p>
            <w:pPr>
              <w:wordWrap w:val="0"/>
              <w:adjustRightInd w:val="0"/>
              <w:spacing w:before="0" w:beforeLines="0" w:line="24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MAC</w:t>
            </w:r>
          </w:p>
          <w:p>
            <w:pPr>
              <w:wordWrap w:val="0"/>
              <w:adjustRightInd w:val="0"/>
              <w:spacing w:before="0" w:beforeLines="0" w:line="240" w:lineRule="auto"/>
              <w:jc w:val="center"/>
              <w:textAlignment w:val="baseline"/>
              <w:rPr>
                <w:rFonts w:ascii="宋体" w:hAnsi="宋体" w:cs="宋体"/>
                <w:color w:val="auto"/>
                <w:sz w:val="21"/>
                <w:szCs w:val="21"/>
                <w:highlight w:val="none"/>
              </w:rPr>
            </w:pPr>
            <w:r>
              <w:rPr>
                <w:rFonts w:hint="eastAsia" w:ascii="宋体" w:hAnsi="宋体" w:cs="宋体"/>
                <w:color w:val="auto"/>
                <w:szCs w:val="21"/>
                <w:highlight w:val="none"/>
              </w:rPr>
              <w:t>地址</w:t>
            </w:r>
          </w:p>
        </w:tc>
        <w:tc>
          <w:tcPr>
            <w:tcW w:w="256" w:type="pct"/>
            <w:tcBorders>
              <w:top w:val="single" w:color="auto" w:sz="4" w:space="0"/>
            </w:tcBorders>
            <w:noWrap w:val="0"/>
            <w:vAlign w:val="center"/>
          </w:tcPr>
          <w:p>
            <w:pPr>
              <w:wordWrap w:val="0"/>
              <w:adjustRightInd w:val="0"/>
              <w:spacing w:before="0" w:beforeLines="0" w:line="24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CPU序</w:t>
            </w:r>
          </w:p>
          <w:p>
            <w:pPr>
              <w:wordWrap w:val="0"/>
              <w:adjustRightInd w:val="0"/>
              <w:spacing w:before="0" w:beforeLines="0" w:line="240" w:lineRule="auto"/>
              <w:jc w:val="center"/>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列号</w:t>
            </w:r>
          </w:p>
        </w:tc>
        <w:tc>
          <w:tcPr>
            <w:tcW w:w="366" w:type="pct"/>
            <w:tcBorders>
              <w:top w:val="single" w:color="auto" w:sz="4" w:space="0"/>
            </w:tcBorders>
            <w:noWrap w:val="0"/>
            <w:vAlign w:val="center"/>
          </w:tcPr>
          <w:p>
            <w:pPr>
              <w:wordWrap w:val="0"/>
              <w:adjustRightInd w:val="0"/>
              <w:spacing w:before="0" w:beforeLines="0" w:line="240" w:lineRule="auto"/>
              <w:jc w:val="center"/>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硬盘序列号</w:t>
            </w:r>
          </w:p>
        </w:tc>
        <w:tc>
          <w:tcPr>
            <w:tcW w:w="171" w:type="pct"/>
            <w:vMerge w:val="continue"/>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84"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590"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0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93"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5"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78"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442" w:type="pct"/>
            <w:noWrap w:val="0"/>
            <w:vAlign w:val="top"/>
          </w:tcPr>
          <w:p>
            <w:pPr>
              <w:wordWrap w:val="0"/>
              <w:rPr>
                <w:rFonts w:hint="eastAsia" w:ascii="宋体" w:hAnsi="宋体" w:cs="宋体"/>
                <w:color w:val="auto"/>
                <w:sz w:val="21"/>
                <w:szCs w:val="21"/>
                <w:highlight w:val="none"/>
              </w:rPr>
            </w:pPr>
          </w:p>
        </w:tc>
        <w:tc>
          <w:tcPr>
            <w:tcW w:w="37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72"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25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366"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c>
          <w:tcPr>
            <w:tcW w:w="171" w:type="pct"/>
            <w:noWrap w:val="0"/>
            <w:vAlign w:val="center"/>
          </w:tcPr>
          <w:p>
            <w:pPr>
              <w:wordWrap w:val="0"/>
              <w:adjustRightInd w:val="0"/>
              <w:spacing w:line="500" w:lineRule="exact"/>
              <w:jc w:val="center"/>
              <w:textAlignment w:val="baseline"/>
              <w:rPr>
                <w:rFonts w:hint="eastAsia" w:ascii="宋体" w:hAnsi="宋体" w:cs="宋体"/>
                <w:color w:val="auto"/>
                <w:sz w:val="21"/>
                <w:szCs w:val="21"/>
                <w:highlight w:val="none"/>
              </w:rPr>
            </w:pPr>
          </w:p>
        </w:tc>
      </w:tr>
    </w:tbl>
    <w:p>
      <w:pPr>
        <w:pageBreakBefore w:val="0"/>
        <w:kinsoku/>
        <w:wordWrap w:val="0"/>
        <w:overflowPunct/>
        <w:bidi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wordWrap w:val="0"/>
        <w:spacing w:line="620" w:lineRule="exact"/>
        <w:jc w:val="right"/>
        <w:rPr>
          <w:rFonts w:hint="eastAsia" w:ascii="宋体" w:hAnsi="宋体"/>
          <w:b/>
          <w:color w:val="auto"/>
          <w:sz w:val="24"/>
          <w:highlight w:val="none"/>
        </w:r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bookmarkEnd w:id="935"/>
      <w:bookmarkEnd w:id="936"/>
      <w:bookmarkEnd w:id="938"/>
    </w:p>
    <w:p>
      <w:pPr>
        <w:spacing w:line="360" w:lineRule="auto"/>
        <w:rPr>
          <w:rFonts w:hint="eastAsia" w:ascii="宋体" w:hAnsi="宋体"/>
          <w:b/>
          <w:color w:val="auto"/>
          <w:sz w:val="24"/>
          <w:highlight w:val="none"/>
        </w:rPr>
        <w:sectPr>
          <w:headerReference r:id="rId9" w:type="default"/>
          <w:footerReference r:id="rId10" w:type="default"/>
          <w:pgSz w:w="16838" w:h="11906" w:orient="landscape"/>
          <w:pgMar w:top="1417" w:right="1440" w:bottom="1417" w:left="1440" w:header="851" w:footer="992" w:gutter="0"/>
          <w:pgBorders>
            <w:top w:val="none" w:sz="0" w:space="0"/>
            <w:left w:val="none" w:sz="0" w:space="0"/>
            <w:bottom w:val="none" w:sz="0" w:space="0"/>
            <w:right w:val="none" w:sz="0" w:space="0"/>
          </w:pgBorders>
          <w:pgNumType w:start="28"/>
          <w:cols w:space="720" w:num="1"/>
          <w:docGrid w:type="lines" w:linePitch="312" w:charSpace="0"/>
        </w:sectPr>
      </w:pPr>
    </w:p>
    <w:p>
      <w:pPr>
        <w:spacing w:line="360" w:lineRule="auto"/>
        <w:ind w:firstLine="481" w:firstLineChars="200"/>
        <w:jc w:val="center"/>
        <w:rPr>
          <w:rFonts w:hint="eastAsia" w:ascii="宋体" w:hAnsi="宋体"/>
          <w:b/>
          <w:color w:val="auto"/>
          <w:sz w:val="24"/>
          <w:highlight w:val="none"/>
        </w:rPr>
      </w:pPr>
      <w:r>
        <w:rPr>
          <w:rFonts w:hint="eastAsia" w:ascii="宋体" w:hAnsi="宋体"/>
          <w:b/>
          <w:color w:val="auto"/>
          <w:sz w:val="24"/>
          <w:highlight w:val="none"/>
        </w:rPr>
        <w:t>问题澄清通知</w:t>
      </w:r>
    </w:p>
    <w:p>
      <w:pPr>
        <w:spacing w:line="360" w:lineRule="auto"/>
        <w:ind w:firstLine="420" w:firstLineChars="200"/>
        <w:jc w:val="center"/>
        <w:rPr>
          <w:rFonts w:ascii="宋体" w:hAnsi="宋体"/>
          <w:b/>
          <w:color w:val="auto"/>
          <w:sz w:val="24"/>
          <w:highlight w:val="none"/>
        </w:rPr>
      </w:pPr>
      <w:r>
        <w:rPr>
          <w:rFonts w:hint="eastAsia" w:ascii="宋体" w:hAnsi="宋体"/>
          <w:color w:val="auto"/>
          <w:szCs w:val="21"/>
          <w:highlight w:val="none"/>
        </w:rPr>
        <w:t>编号：</w:t>
      </w:r>
    </w:p>
    <w:p>
      <w:pPr>
        <w:spacing w:line="360" w:lineRule="auto"/>
        <w:ind w:firstLine="420" w:firstLineChars="200"/>
        <w:rPr>
          <w:rFonts w:hint="eastAsia" w:ascii="宋体" w:hAnsi="宋体"/>
          <w:color w:val="auto"/>
          <w:szCs w:val="21"/>
          <w:highlight w:val="none"/>
          <w:u w:val="singl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（项目名称）施工招标的评标委员会，对你方的投标文件进行了仔细的审查，现需你方对下列问题在线予以澄清：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请将上述问题的澄清于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时_____分___秒前在线回复。</w:t>
      </w:r>
    </w:p>
    <w:p>
      <w:pPr>
        <w:spacing w:line="360" w:lineRule="auto"/>
        <w:ind w:firstLine="5145" w:firstLineChars="2450"/>
        <w:rPr>
          <w:rFonts w:hint="eastAsia" w:ascii="宋体" w:hAnsi="宋体"/>
          <w:color w:val="auto"/>
          <w:szCs w:val="21"/>
          <w:highlight w:val="none"/>
        </w:rPr>
      </w:pPr>
    </w:p>
    <w:p>
      <w:pPr>
        <w:spacing w:line="360" w:lineRule="auto"/>
        <w:ind w:firstLine="5145" w:firstLineChars="2450"/>
        <w:rPr>
          <w:rFonts w:hint="eastAsia" w:ascii="宋体" w:hAnsi="宋体"/>
          <w:color w:val="auto"/>
          <w:szCs w:val="21"/>
          <w:highlight w:val="none"/>
        </w:rPr>
      </w:pPr>
    </w:p>
    <w:p>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评标工作组负责人：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rPr>
          <w:rFonts w:hint="eastAsia" w:ascii="宋体" w:hAnsi="宋体"/>
          <w:color w:val="auto"/>
          <w:szCs w:val="21"/>
          <w:highlight w:val="none"/>
          <w:u w:val="single"/>
        </w:rPr>
      </w:pPr>
    </w:p>
    <w:p>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5460" w:firstLineChars="26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pgNumType w:start="28"/>
          <w:cols w:space="720" w:num="1"/>
          <w:docGrid w:type="lines" w:linePitch="317" w:charSpace="0"/>
        </w:sectPr>
      </w:pPr>
    </w:p>
    <w:p>
      <w:pPr>
        <w:spacing w:line="360" w:lineRule="auto"/>
        <w:ind w:firstLine="481" w:firstLineChars="200"/>
        <w:jc w:val="center"/>
        <w:rPr>
          <w:rFonts w:hint="eastAsia" w:ascii="宋体" w:hAnsi="宋体"/>
          <w:b/>
          <w:color w:val="auto"/>
          <w:sz w:val="24"/>
          <w:highlight w:val="none"/>
        </w:rPr>
      </w:pPr>
      <w:r>
        <w:rPr>
          <w:rFonts w:hint="eastAsia" w:ascii="宋体" w:hAnsi="宋体"/>
          <w:b/>
          <w:color w:val="auto"/>
          <w:sz w:val="24"/>
          <w:highlight w:val="none"/>
        </w:rPr>
        <w:t>问题的澄清</w:t>
      </w:r>
    </w:p>
    <w:p>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编号：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标段施工招标评标委员会：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问题澄清通知（编号：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已收悉，现澄清如下：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5145" w:firstLineChars="2450"/>
        <w:rPr>
          <w:rFonts w:hint="eastAsia" w:ascii="宋体" w:hAnsi="宋体"/>
          <w:color w:val="auto"/>
          <w:szCs w:val="21"/>
          <w:highlight w:val="none"/>
          <w:u w:val="single"/>
        </w:rPr>
      </w:pPr>
    </w:p>
    <w:p>
      <w:pPr>
        <w:spacing w:line="360" w:lineRule="auto"/>
        <w:ind w:firstLine="5145" w:firstLineChars="24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p>
    <w:p>
      <w:pPr>
        <w:spacing w:line="360" w:lineRule="auto"/>
        <w:ind w:firstLine="5145" w:firstLineChars="245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wordWrap w:val="0"/>
        <w:spacing w:before="63" w:beforeLines="20" w:after="63" w:afterLines="20"/>
        <w:outlineLvl w:val="3"/>
        <w:rPr>
          <w:rFonts w:eastAsia="黑体"/>
          <w:b/>
          <w:bCs/>
          <w:color w:val="auto"/>
          <w:szCs w:val="21"/>
          <w:highlight w:val="none"/>
        </w:rPr>
      </w:pPr>
      <w:r>
        <w:rPr>
          <w:rFonts w:hint="eastAsia" w:eastAsia="黑体"/>
          <w:b/>
          <w:bCs/>
          <w:color w:val="auto"/>
          <w:szCs w:val="21"/>
          <w:highlight w:val="none"/>
        </w:rPr>
        <w:t>定标候选人公示（格式）（适用于其他项目）</w:t>
      </w:r>
    </w:p>
    <w:p>
      <w:pPr>
        <w:rPr>
          <w:color w:val="auto"/>
          <w:kern w:val="1"/>
          <w:highlight w:val="none"/>
          <w:lang w:val="zh-CN"/>
        </w:rPr>
      </w:pPr>
    </w:p>
    <w:p>
      <w:pPr>
        <w:spacing w:line="360" w:lineRule="auto"/>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定标候选人公示</w:t>
      </w:r>
    </w:p>
    <w:p>
      <w:pPr>
        <w:pStyle w:val="15"/>
        <w:tabs>
          <w:tab w:val="left" w:pos="4057"/>
          <w:tab w:val="left" w:pos="6259"/>
        </w:tabs>
        <w:spacing w:line="364" w:lineRule="auto"/>
        <w:ind w:left="472" w:right="489" w:firstLine="420"/>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招</w:t>
      </w:r>
      <w:r>
        <w:rPr>
          <w:rFonts w:hint="eastAsia" w:ascii="宋体" w:hAnsi="宋体" w:cs="宋体"/>
          <w:color w:val="auto"/>
          <w:spacing w:val="4"/>
          <w:sz w:val="21"/>
          <w:szCs w:val="21"/>
          <w:highlight w:val="none"/>
        </w:rPr>
        <w:t>标</w:t>
      </w:r>
      <w:r>
        <w:rPr>
          <w:rFonts w:hint="eastAsia" w:ascii="宋体" w:hAnsi="宋体" w:cs="宋体"/>
          <w:color w:val="auto"/>
          <w:spacing w:val="6"/>
          <w:sz w:val="21"/>
          <w:szCs w:val="21"/>
          <w:highlight w:val="none"/>
        </w:rPr>
        <w:t>项目编</w:t>
      </w:r>
      <w:r>
        <w:rPr>
          <w:rFonts w:hint="eastAsia" w:ascii="宋体" w:hAnsi="宋体" w:cs="宋体"/>
          <w:color w:val="auto"/>
          <w:spacing w:val="4"/>
          <w:sz w:val="21"/>
          <w:szCs w:val="21"/>
          <w:highlight w:val="none"/>
        </w:rPr>
        <w:t>号</w:t>
      </w:r>
      <w:r>
        <w:rPr>
          <w:rFonts w:hint="eastAsia" w:ascii="宋体" w:hAnsi="宋体" w:cs="宋体"/>
          <w:color w:val="auto"/>
          <w:spacing w:val="3"/>
          <w:sz w:val="21"/>
          <w:szCs w:val="21"/>
          <w:highlight w:val="none"/>
        </w:rPr>
        <w:t>为</w:t>
      </w:r>
      <w:r>
        <w:rPr>
          <w:rFonts w:hint="eastAsia" w:ascii="宋体" w:hAnsi="宋体" w:cs="宋体"/>
          <w:color w:val="auto"/>
          <w:spacing w:val="3"/>
          <w:sz w:val="21"/>
          <w:szCs w:val="21"/>
          <w:highlight w:val="none"/>
          <w:u w:val="single"/>
        </w:rPr>
        <w:t xml:space="preserve"> </w:t>
      </w:r>
      <w:r>
        <w:rPr>
          <w:rFonts w:hint="eastAsia" w:ascii="宋体" w:hAnsi="宋体" w:cs="宋体"/>
          <w:color w:val="auto"/>
          <w:spacing w:val="3"/>
          <w:sz w:val="21"/>
          <w:szCs w:val="21"/>
          <w:highlight w:val="none"/>
          <w:u w:val="single"/>
        </w:rPr>
        <w:tab/>
      </w:r>
      <w:r>
        <w:rPr>
          <w:rFonts w:hint="eastAsia" w:ascii="宋体" w:hAnsi="宋体" w:cs="宋体"/>
          <w:color w:val="auto"/>
          <w:spacing w:val="4"/>
          <w:sz w:val="21"/>
          <w:szCs w:val="21"/>
          <w:highlight w:val="none"/>
        </w:rPr>
        <w:t>的</w:t>
      </w:r>
      <w:r>
        <w:rPr>
          <w:rFonts w:hint="eastAsia" w:ascii="宋体" w:hAnsi="宋体" w:cs="宋体"/>
          <w:color w:val="auto"/>
          <w:spacing w:val="4"/>
          <w:sz w:val="21"/>
          <w:szCs w:val="21"/>
          <w:highlight w:val="none"/>
          <w:u w:val="single"/>
        </w:rPr>
        <w:t xml:space="preserve"> </w:t>
      </w:r>
      <w:r>
        <w:rPr>
          <w:rFonts w:hint="eastAsia" w:ascii="宋体" w:hAnsi="宋体" w:cs="宋体"/>
          <w:color w:val="auto"/>
          <w:spacing w:val="4"/>
          <w:sz w:val="21"/>
          <w:szCs w:val="21"/>
          <w:highlight w:val="none"/>
          <w:u w:val="single"/>
        </w:rPr>
        <w:tab/>
      </w:r>
      <w:r>
        <w:rPr>
          <w:rFonts w:hint="eastAsia" w:ascii="宋体" w:hAnsi="宋体" w:cs="宋体"/>
          <w:color w:val="auto"/>
          <w:spacing w:val="6"/>
          <w:sz w:val="21"/>
          <w:szCs w:val="21"/>
          <w:highlight w:val="none"/>
        </w:rPr>
        <w:t>工</w:t>
      </w:r>
      <w:r>
        <w:rPr>
          <w:rFonts w:hint="eastAsia" w:ascii="宋体" w:hAnsi="宋体" w:cs="宋体"/>
          <w:color w:val="auto"/>
          <w:spacing w:val="4"/>
          <w:sz w:val="21"/>
          <w:szCs w:val="21"/>
          <w:highlight w:val="none"/>
        </w:rPr>
        <w:t>程</w:t>
      </w:r>
      <w:r>
        <w:rPr>
          <w:rFonts w:hint="eastAsia" w:ascii="宋体" w:hAnsi="宋体" w:cs="宋体"/>
          <w:color w:val="auto"/>
          <w:spacing w:val="6"/>
          <w:sz w:val="21"/>
          <w:szCs w:val="21"/>
          <w:highlight w:val="none"/>
        </w:rPr>
        <w:t>建</w:t>
      </w:r>
      <w:r>
        <w:rPr>
          <w:rFonts w:hint="eastAsia" w:ascii="宋体" w:hAnsi="宋体" w:cs="宋体"/>
          <w:color w:val="auto"/>
          <w:spacing w:val="4"/>
          <w:sz w:val="21"/>
          <w:szCs w:val="21"/>
          <w:highlight w:val="none"/>
        </w:rPr>
        <w:t>设</w:t>
      </w:r>
      <w:r>
        <w:rPr>
          <w:rFonts w:hint="eastAsia" w:ascii="宋体" w:hAnsi="宋体" w:cs="宋体"/>
          <w:color w:val="auto"/>
          <w:spacing w:val="6"/>
          <w:sz w:val="21"/>
          <w:szCs w:val="21"/>
          <w:highlight w:val="none"/>
        </w:rPr>
        <w:t>项</w:t>
      </w:r>
      <w:r>
        <w:rPr>
          <w:rFonts w:hint="eastAsia" w:ascii="宋体" w:hAnsi="宋体" w:cs="宋体"/>
          <w:color w:val="auto"/>
          <w:spacing w:val="4"/>
          <w:sz w:val="21"/>
          <w:szCs w:val="21"/>
          <w:highlight w:val="none"/>
        </w:rPr>
        <w:t>目</w:t>
      </w:r>
      <w:r>
        <w:rPr>
          <w:rFonts w:hint="eastAsia" w:ascii="宋体" w:hAnsi="宋体" w:cs="宋体"/>
          <w:color w:val="auto"/>
          <w:spacing w:val="6"/>
          <w:sz w:val="21"/>
          <w:szCs w:val="21"/>
          <w:highlight w:val="none"/>
        </w:rPr>
        <w:t>，该工</w:t>
      </w:r>
      <w:r>
        <w:rPr>
          <w:rFonts w:hint="eastAsia" w:ascii="宋体" w:hAnsi="宋体" w:cs="宋体"/>
          <w:color w:val="auto"/>
          <w:spacing w:val="4"/>
          <w:sz w:val="21"/>
          <w:szCs w:val="21"/>
          <w:highlight w:val="none"/>
        </w:rPr>
        <w:t>程</w:t>
      </w:r>
      <w:r>
        <w:rPr>
          <w:rFonts w:hint="eastAsia" w:ascii="宋体" w:hAnsi="宋体" w:cs="宋体"/>
          <w:color w:val="auto"/>
          <w:spacing w:val="6"/>
          <w:sz w:val="21"/>
          <w:szCs w:val="21"/>
          <w:highlight w:val="none"/>
        </w:rPr>
        <w:t>施</w:t>
      </w:r>
      <w:r>
        <w:rPr>
          <w:rFonts w:hint="eastAsia" w:ascii="宋体" w:hAnsi="宋体" w:cs="宋体"/>
          <w:color w:val="auto"/>
          <w:spacing w:val="4"/>
          <w:sz w:val="21"/>
          <w:szCs w:val="21"/>
          <w:highlight w:val="none"/>
        </w:rPr>
        <w:t>工</w:t>
      </w:r>
      <w:r>
        <w:rPr>
          <w:rFonts w:hint="eastAsia" w:ascii="宋体" w:hAnsi="宋体" w:cs="宋体"/>
          <w:color w:val="auto"/>
          <w:spacing w:val="6"/>
          <w:sz w:val="21"/>
          <w:szCs w:val="21"/>
          <w:highlight w:val="none"/>
        </w:rPr>
        <w:t>招</w:t>
      </w:r>
      <w:r>
        <w:rPr>
          <w:rFonts w:hint="eastAsia" w:ascii="宋体" w:hAnsi="宋体" w:cs="宋体"/>
          <w:color w:val="auto"/>
          <w:spacing w:val="4"/>
          <w:sz w:val="21"/>
          <w:szCs w:val="21"/>
          <w:highlight w:val="none"/>
        </w:rPr>
        <w:t>标</w:t>
      </w:r>
      <w:r>
        <w:rPr>
          <w:rFonts w:hint="eastAsia" w:ascii="宋体" w:hAnsi="宋体" w:cs="宋体"/>
          <w:color w:val="auto"/>
          <w:spacing w:val="3"/>
          <w:sz w:val="21"/>
          <w:szCs w:val="21"/>
          <w:highlight w:val="none"/>
        </w:rPr>
        <w:t>于</w:t>
      </w:r>
      <w:r>
        <w:rPr>
          <w:rFonts w:hint="eastAsia" w:ascii="宋体" w:hAnsi="宋体" w:cs="宋体"/>
          <w:color w:val="auto"/>
          <w:spacing w:val="3"/>
          <w:sz w:val="21"/>
          <w:szCs w:val="21"/>
          <w:highlight w:val="none"/>
          <w:u w:val="single"/>
        </w:rPr>
        <w:t xml:space="preserve">   </w:t>
      </w:r>
      <w:r>
        <w:rPr>
          <w:rFonts w:hint="eastAsia" w:ascii="宋体" w:hAnsi="宋体" w:cs="宋体"/>
          <w:color w:val="auto"/>
          <w:spacing w:val="16"/>
          <w:sz w:val="21"/>
          <w:szCs w:val="21"/>
          <w:highlight w:val="none"/>
          <w:u w:val="single"/>
        </w:rPr>
        <w:t xml:space="preserve"> </w:t>
      </w:r>
      <w:r>
        <w:rPr>
          <w:rFonts w:hint="eastAsia" w:ascii="宋体" w:hAnsi="宋体" w:cs="宋体"/>
          <w:color w:val="auto"/>
          <w:spacing w:val="-12"/>
          <w:sz w:val="21"/>
          <w:szCs w:val="21"/>
          <w:highlight w:val="none"/>
        </w:rPr>
        <w:t>年</w:t>
      </w:r>
      <w:r>
        <w:rPr>
          <w:rFonts w:hint="eastAsia" w:ascii="宋体" w:hAnsi="宋体" w:cs="宋体"/>
          <w:color w:val="auto"/>
          <w:spacing w:val="-12"/>
          <w:sz w:val="21"/>
          <w:szCs w:val="21"/>
          <w:highlight w:val="none"/>
          <w:u w:val="single"/>
          <w:lang w:val="en-US" w:eastAsia="zh-CN"/>
        </w:rPr>
        <w:t xml:space="preserve">      </w:t>
      </w:r>
      <w:r>
        <w:rPr>
          <w:rFonts w:hint="eastAsia" w:ascii="宋体" w:hAnsi="宋体" w:cs="宋体"/>
          <w:color w:val="auto"/>
          <w:spacing w:val="7"/>
          <w:sz w:val="21"/>
          <w:szCs w:val="21"/>
          <w:highlight w:val="none"/>
        </w:rPr>
        <w:t>月</w:t>
      </w:r>
      <w:r>
        <w:rPr>
          <w:rFonts w:hint="eastAsia" w:ascii="宋体" w:hAnsi="宋体" w:cs="宋体"/>
          <w:color w:val="auto"/>
          <w:spacing w:val="7"/>
          <w:sz w:val="21"/>
          <w:szCs w:val="21"/>
          <w:highlight w:val="none"/>
          <w:u w:val="single"/>
        </w:rPr>
        <w:t xml:space="preserve"> </w:t>
      </w:r>
      <w:r>
        <w:rPr>
          <w:rFonts w:hint="eastAsia" w:ascii="宋体" w:hAnsi="宋体" w:cs="宋体"/>
          <w:color w:val="auto"/>
          <w:spacing w:val="118"/>
          <w:sz w:val="21"/>
          <w:szCs w:val="21"/>
          <w:highlight w:val="none"/>
          <w:u w:val="single"/>
        </w:rPr>
        <w:t xml:space="preserve"> </w:t>
      </w:r>
      <w:r>
        <w:rPr>
          <w:rFonts w:hint="eastAsia" w:ascii="宋体" w:hAnsi="宋体" w:cs="宋体"/>
          <w:color w:val="auto"/>
          <w:spacing w:val="7"/>
          <w:sz w:val="21"/>
          <w:szCs w:val="21"/>
          <w:highlight w:val="none"/>
        </w:rPr>
        <w:t>日依法公开</w:t>
      </w:r>
      <w:r>
        <w:rPr>
          <w:rFonts w:hint="eastAsia" w:ascii="宋体" w:hAnsi="宋体" w:cs="宋体"/>
          <w:color w:val="auto"/>
          <w:spacing w:val="6"/>
          <w:sz w:val="21"/>
          <w:szCs w:val="21"/>
          <w:highlight w:val="none"/>
        </w:rPr>
        <w:t>开</w:t>
      </w:r>
      <w:r>
        <w:rPr>
          <w:rFonts w:hint="eastAsia" w:ascii="宋体" w:hAnsi="宋体" w:cs="宋体"/>
          <w:color w:val="auto"/>
          <w:spacing w:val="7"/>
          <w:sz w:val="21"/>
          <w:szCs w:val="21"/>
          <w:highlight w:val="none"/>
        </w:rPr>
        <w:t>标后，资格</w:t>
      </w:r>
      <w:r>
        <w:rPr>
          <w:rFonts w:hint="eastAsia" w:ascii="宋体" w:hAnsi="宋体" w:cs="宋体"/>
          <w:color w:val="auto"/>
          <w:spacing w:val="6"/>
          <w:sz w:val="21"/>
          <w:szCs w:val="21"/>
          <w:highlight w:val="none"/>
        </w:rPr>
        <w:t>审</w:t>
      </w:r>
      <w:r>
        <w:rPr>
          <w:rFonts w:hint="eastAsia" w:ascii="宋体" w:hAnsi="宋体" w:cs="宋体"/>
          <w:color w:val="auto"/>
          <w:spacing w:val="7"/>
          <w:sz w:val="21"/>
          <w:szCs w:val="21"/>
          <w:highlight w:val="none"/>
        </w:rPr>
        <w:t>查委员会和</w:t>
      </w:r>
      <w:r>
        <w:rPr>
          <w:rFonts w:hint="eastAsia" w:ascii="宋体" w:hAnsi="宋体" w:cs="宋体"/>
          <w:color w:val="auto"/>
          <w:spacing w:val="6"/>
          <w:sz w:val="21"/>
          <w:szCs w:val="21"/>
          <w:highlight w:val="none"/>
        </w:rPr>
        <w:t>评</w:t>
      </w:r>
      <w:r>
        <w:rPr>
          <w:rFonts w:hint="eastAsia" w:ascii="宋体" w:hAnsi="宋体" w:cs="宋体"/>
          <w:color w:val="auto"/>
          <w:spacing w:val="7"/>
          <w:sz w:val="21"/>
          <w:szCs w:val="21"/>
          <w:highlight w:val="none"/>
        </w:rPr>
        <w:t>标委员会</w:t>
      </w:r>
      <w:r>
        <w:rPr>
          <w:rFonts w:hint="eastAsia" w:ascii="宋体" w:hAnsi="宋体" w:cs="宋体"/>
          <w:color w:val="auto"/>
          <w:spacing w:val="6"/>
          <w:sz w:val="21"/>
          <w:szCs w:val="21"/>
          <w:highlight w:val="none"/>
        </w:rPr>
        <w:t>按</w:t>
      </w:r>
      <w:r>
        <w:rPr>
          <w:rFonts w:hint="eastAsia" w:ascii="宋体" w:hAnsi="宋体" w:cs="宋体"/>
          <w:color w:val="auto"/>
          <w:spacing w:val="7"/>
          <w:sz w:val="21"/>
          <w:szCs w:val="21"/>
          <w:highlight w:val="none"/>
        </w:rPr>
        <w:t>照</w:t>
      </w:r>
      <w:r>
        <w:rPr>
          <w:rFonts w:hint="eastAsia" w:ascii="宋体" w:hAnsi="宋体" w:cs="宋体"/>
          <w:color w:val="auto"/>
          <w:spacing w:val="6"/>
          <w:sz w:val="21"/>
          <w:szCs w:val="21"/>
          <w:highlight w:val="none"/>
        </w:rPr>
        <w:t>招</w:t>
      </w:r>
      <w:r>
        <w:rPr>
          <w:rFonts w:hint="eastAsia" w:ascii="宋体" w:hAnsi="宋体" w:cs="宋体"/>
          <w:color w:val="auto"/>
          <w:spacing w:val="7"/>
          <w:sz w:val="21"/>
          <w:szCs w:val="21"/>
          <w:highlight w:val="none"/>
        </w:rPr>
        <w:t>标文件规定</w:t>
      </w:r>
      <w:r>
        <w:rPr>
          <w:rFonts w:hint="eastAsia" w:ascii="宋体" w:hAnsi="宋体" w:cs="宋体"/>
          <w:color w:val="auto"/>
          <w:spacing w:val="6"/>
          <w:sz w:val="21"/>
          <w:szCs w:val="21"/>
          <w:highlight w:val="none"/>
        </w:rPr>
        <w:t>的</w:t>
      </w:r>
      <w:r>
        <w:rPr>
          <w:rFonts w:hint="eastAsia" w:ascii="宋体" w:hAnsi="宋体" w:cs="宋体"/>
          <w:color w:val="auto"/>
          <w:spacing w:val="7"/>
          <w:sz w:val="21"/>
          <w:szCs w:val="21"/>
          <w:highlight w:val="none"/>
        </w:rPr>
        <w:t>评标标准和</w:t>
      </w:r>
      <w:r>
        <w:rPr>
          <w:rFonts w:hint="eastAsia" w:ascii="宋体" w:hAnsi="宋体" w:cs="宋体"/>
          <w:color w:val="auto"/>
          <w:spacing w:val="6"/>
          <w:sz w:val="21"/>
          <w:szCs w:val="21"/>
          <w:highlight w:val="none"/>
        </w:rPr>
        <w:t>方</w:t>
      </w:r>
      <w:r>
        <w:rPr>
          <w:rFonts w:hint="eastAsia" w:ascii="宋体" w:hAnsi="宋体" w:cs="宋体"/>
          <w:color w:val="auto"/>
          <w:spacing w:val="7"/>
          <w:sz w:val="21"/>
          <w:szCs w:val="21"/>
          <w:highlight w:val="none"/>
        </w:rPr>
        <w:t>法进行了评</w:t>
      </w:r>
      <w:r>
        <w:rPr>
          <w:rFonts w:hint="eastAsia" w:ascii="宋体" w:hAnsi="宋体" w:cs="宋体"/>
          <w:color w:val="auto"/>
          <w:sz w:val="21"/>
          <w:szCs w:val="21"/>
          <w:highlight w:val="none"/>
        </w:rPr>
        <w:t>审，</w:t>
      </w:r>
      <w:r>
        <w:rPr>
          <w:rFonts w:hint="eastAsia" w:ascii="宋体" w:hAnsi="宋体" w:cs="宋体"/>
          <w:color w:val="auto"/>
          <w:spacing w:val="3"/>
          <w:sz w:val="21"/>
          <w:szCs w:val="21"/>
          <w:highlight w:val="none"/>
        </w:rPr>
        <w:t>根</w:t>
      </w:r>
      <w:r>
        <w:rPr>
          <w:rFonts w:hint="eastAsia" w:ascii="宋体" w:hAnsi="宋体" w:cs="宋体"/>
          <w:color w:val="auto"/>
          <w:sz w:val="21"/>
          <w:szCs w:val="21"/>
          <w:highlight w:val="none"/>
        </w:rPr>
        <w:t>据资格</w:t>
      </w:r>
      <w:r>
        <w:rPr>
          <w:rFonts w:hint="eastAsia" w:ascii="宋体" w:hAnsi="宋体" w:cs="宋体"/>
          <w:color w:val="auto"/>
          <w:spacing w:val="3"/>
          <w:sz w:val="21"/>
          <w:szCs w:val="21"/>
          <w:highlight w:val="none"/>
        </w:rPr>
        <w:t>审</w:t>
      </w:r>
      <w:r>
        <w:rPr>
          <w:rFonts w:hint="eastAsia" w:ascii="宋体" w:hAnsi="宋体" w:cs="宋体"/>
          <w:color w:val="auto"/>
          <w:sz w:val="21"/>
          <w:szCs w:val="21"/>
          <w:highlight w:val="none"/>
        </w:rPr>
        <w:t>查委员会</w:t>
      </w:r>
      <w:r>
        <w:rPr>
          <w:rFonts w:hint="eastAsia" w:ascii="宋体" w:hAnsi="宋体" w:cs="宋体"/>
          <w:color w:val="auto"/>
          <w:spacing w:val="3"/>
          <w:sz w:val="21"/>
          <w:szCs w:val="21"/>
          <w:highlight w:val="none"/>
        </w:rPr>
        <w:t>提</w:t>
      </w:r>
      <w:r>
        <w:rPr>
          <w:rFonts w:hint="eastAsia" w:ascii="宋体" w:hAnsi="宋体" w:cs="宋体"/>
          <w:color w:val="auto"/>
          <w:sz w:val="21"/>
          <w:szCs w:val="21"/>
          <w:highlight w:val="none"/>
        </w:rPr>
        <w:t>交的资</w:t>
      </w:r>
      <w:r>
        <w:rPr>
          <w:rFonts w:hint="eastAsia" w:ascii="宋体" w:hAnsi="宋体" w:cs="宋体"/>
          <w:color w:val="auto"/>
          <w:spacing w:val="4"/>
          <w:sz w:val="21"/>
          <w:szCs w:val="21"/>
          <w:highlight w:val="none"/>
        </w:rPr>
        <w:t>格</w:t>
      </w:r>
      <w:r>
        <w:rPr>
          <w:rFonts w:hint="eastAsia" w:ascii="宋体" w:hAnsi="宋体" w:cs="宋体"/>
          <w:color w:val="auto"/>
          <w:sz w:val="21"/>
          <w:szCs w:val="21"/>
          <w:highlight w:val="none"/>
        </w:rPr>
        <w:t>审查报告</w:t>
      </w:r>
      <w:r>
        <w:rPr>
          <w:rFonts w:hint="eastAsia" w:ascii="宋体" w:hAnsi="宋体" w:cs="宋体"/>
          <w:color w:val="auto"/>
          <w:spacing w:val="4"/>
          <w:sz w:val="21"/>
          <w:szCs w:val="21"/>
          <w:highlight w:val="none"/>
        </w:rPr>
        <w:t>和</w:t>
      </w:r>
      <w:r>
        <w:rPr>
          <w:rFonts w:hint="eastAsia" w:ascii="宋体" w:hAnsi="宋体" w:cs="宋体"/>
          <w:color w:val="auto"/>
          <w:sz w:val="21"/>
          <w:szCs w:val="21"/>
          <w:highlight w:val="none"/>
        </w:rPr>
        <w:t>评标委</w:t>
      </w:r>
      <w:r>
        <w:rPr>
          <w:rFonts w:hint="eastAsia" w:ascii="宋体" w:hAnsi="宋体" w:cs="宋体"/>
          <w:color w:val="auto"/>
          <w:spacing w:val="3"/>
          <w:sz w:val="21"/>
          <w:szCs w:val="21"/>
          <w:highlight w:val="none"/>
        </w:rPr>
        <w:t>员</w:t>
      </w:r>
      <w:r>
        <w:rPr>
          <w:rFonts w:hint="eastAsia" w:ascii="宋体" w:hAnsi="宋体" w:cs="宋体"/>
          <w:color w:val="auto"/>
          <w:sz w:val="21"/>
          <w:szCs w:val="21"/>
          <w:highlight w:val="none"/>
        </w:rPr>
        <w:t>会提交的</w:t>
      </w:r>
      <w:r>
        <w:rPr>
          <w:rFonts w:hint="eastAsia" w:ascii="宋体" w:hAnsi="宋体" w:cs="宋体"/>
          <w:color w:val="auto"/>
          <w:spacing w:val="3"/>
          <w:sz w:val="21"/>
          <w:szCs w:val="21"/>
          <w:highlight w:val="none"/>
        </w:rPr>
        <w:t>评</w:t>
      </w:r>
      <w:r>
        <w:rPr>
          <w:rFonts w:hint="eastAsia" w:ascii="宋体" w:hAnsi="宋体" w:cs="宋体"/>
          <w:color w:val="auto"/>
          <w:sz w:val="21"/>
          <w:szCs w:val="21"/>
          <w:highlight w:val="none"/>
        </w:rPr>
        <w:t>标报告</w:t>
      </w:r>
      <w:r>
        <w:rPr>
          <w:rFonts w:hint="eastAsia" w:ascii="宋体" w:hAnsi="宋体" w:cs="宋体"/>
          <w:color w:val="auto"/>
          <w:spacing w:val="3"/>
          <w:sz w:val="21"/>
          <w:szCs w:val="21"/>
          <w:highlight w:val="none"/>
        </w:rPr>
        <w:t>，</w:t>
      </w:r>
      <w:r>
        <w:rPr>
          <w:rFonts w:hint="eastAsia" w:ascii="宋体" w:hAnsi="宋体" w:cs="宋体"/>
          <w:color w:val="auto"/>
          <w:sz w:val="21"/>
          <w:szCs w:val="21"/>
          <w:highlight w:val="none"/>
        </w:rPr>
        <w:t>现将资格</w:t>
      </w:r>
      <w:r>
        <w:rPr>
          <w:rFonts w:hint="eastAsia" w:ascii="宋体" w:hAnsi="宋体" w:cs="宋体"/>
          <w:color w:val="auto"/>
          <w:spacing w:val="3"/>
          <w:sz w:val="21"/>
          <w:szCs w:val="21"/>
          <w:highlight w:val="none"/>
        </w:rPr>
        <w:t>审</w:t>
      </w:r>
      <w:r>
        <w:rPr>
          <w:rFonts w:hint="eastAsia" w:ascii="宋体" w:hAnsi="宋体" w:cs="宋体"/>
          <w:color w:val="auto"/>
          <w:sz w:val="21"/>
          <w:szCs w:val="21"/>
          <w:highlight w:val="none"/>
        </w:rPr>
        <w:t>查结果</w:t>
      </w:r>
      <w:r>
        <w:rPr>
          <w:rFonts w:hint="eastAsia" w:ascii="宋体" w:hAnsi="宋体" w:cs="宋体"/>
          <w:color w:val="auto"/>
          <w:spacing w:val="4"/>
          <w:sz w:val="21"/>
          <w:szCs w:val="21"/>
          <w:highlight w:val="none"/>
        </w:rPr>
        <w:t>、</w:t>
      </w:r>
      <w:r>
        <w:rPr>
          <w:rFonts w:hint="eastAsia" w:ascii="宋体" w:hAnsi="宋体" w:cs="宋体"/>
          <w:color w:val="auto"/>
          <w:sz w:val="21"/>
          <w:szCs w:val="21"/>
          <w:highlight w:val="none"/>
        </w:rPr>
        <w:t>入围投标人、评标结果、定标候选人名单、否决其投标的投标人及否决原因公示如下：</w:t>
      </w:r>
    </w:p>
    <w:p>
      <w:pPr>
        <w:pStyle w:val="15"/>
        <w:spacing w:line="268" w:lineRule="exact"/>
        <w:ind w:left="892"/>
        <w:rPr>
          <w:rFonts w:hint="eastAsia" w:ascii="宋体" w:hAnsi="宋体" w:cs="宋体"/>
          <w:color w:val="auto"/>
          <w:sz w:val="21"/>
          <w:szCs w:val="21"/>
          <w:highlight w:val="none"/>
        </w:rPr>
      </w:pPr>
      <w:r>
        <w:rPr>
          <w:rFonts w:hint="eastAsia" w:ascii="宋体" w:hAnsi="宋体" w:cs="宋体"/>
          <w:color w:val="auto"/>
          <w:sz w:val="21"/>
          <w:szCs w:val="21"/>
          <w:highlight w:val="none"/>
        </w:rPr>
        <w:t>一、资格审查结果以及入围投标人名单：</w:t>
      </w:r>
    </w:p>
    <w:tbl>
      <w:tblPr>
        <w:tblStyle w:val="38"/>
        <w:tblW w:w="8614"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3225"/>
        <w:gridCol w:w="2630"/>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84" w:type="dxa"/>
            <w:noWrap w:val="0"/>
            <w:vAlign w:val="top"/>
          </w:tcPr>
          <w:p>
            <w:pPr>
              <w:pStyle w:val="96"/>
              <w:spacing w:before="140"/>
              <w:ind w:left="205"/>
              <w:rPr>
                <w:rFonts w:hint="eastAsia"/>
                <w:color w:val="auto"/>
                <w:szCs w:val="21"/>
                <w:highlight w:val="none"/>
              </w:rPr>
            </w:pPr>
            <w:r>
              <w:rPr>
                <w:rFonts w:hint="eastAsia"/>
                <w:color w:val="auto"/>
                <w:szCs w:val="21"/>
                <w:highlight w:val="none"/>
              </w:rPr>
              <w:t>序号</w:t>
            </w:r>
          </w:p>
        </w:tc>
        <w:tc>
          <w:tcPr>
            <w:tcW w:w="3225" w:type="dxa"/>
            <w:noWrap w:val="0"/>
            <w:vAlign w:val="top"/>
          </w:tcPr>
          <w:p>
            <w:pPr>
              <w:pStyle w:val="96"/>
              <w:spacing w:before="140"/>
              <w:ind w:left="1067" w:right="1058"/>
              <w:jc w:val="center"/>
              <w:rPr>
                <w:rFonts w:hint="eastAsia"/>
                <w:color w:val="auto"/>
                <w:szCs w:val="21"/>
                <w:highlight w:val="none"/>
              </w:rPr>
            </w:pPr>
            <w:r>
              <w:rPr>
                <w:rFonts w:hint="eastAsia"/>
                <w:color w:val="auto"/>
                <w:szCs w:val="21"/>
                <w:highlight w:val="none"/>
              </w:rPr>
              <w:t>投标人名称</w:t>
            </w:r>
          </w:p>
        </w:tc>
        <w:tc>
          <w:tcPr>
            <w:tcW w:w="2630" w:type="dxa"/>
            <w:noWrap w:val="0"/>
            <w:vAlign w:val="top"/>
          </w:tcPr>
          <w:p>
            <w:pPr>
              <w:pStyle w:val="96"/>
              <w:spacing w:before="130"/>
              <w:ind w:left="10" w:firstLine="630" w:firstLineChars="300"/>
              <w:rPr>
                <w:rFonts w:hint="eastAsia"/>
                <w:color w:val="auto"/>
                <w:szCs w:val="21"/>
                <w:highlight w:val="none"/>
              </w:rPr>
            </w:pPr>
            <w:r>
              <w:rPr>
                <w:rFonts w:hint="eastAsia"/>
                <w:color w:val="auto"/>
                <w:szCs w:val="21"/>
                <w:highlight w:val="none"/>
              </w:rPr>
              <w:t>资格审查结果</w:t>
            </w:r>
            <w:r>
              <w:rPr>
                <w:rFonts w:hint="eastAsia"/>
                <w:color w:val="auto"/>
                <w:position w:val="9"/>
                <w:szCs w:val="21"/>
                <w:highlight w:val="none"/>
              </w:rPr>
              <w:t>①</w:t>
            </w:r>
          </w:p>
        </w:tc>
        <w:tc>
          <w:tcPr>
            <w:tcW w:w="1875" w:type="dxa"/>
            <w:noWrap w:val="0"/>
            <w:vAlign w:val="top"/>
          </w:tcPr>
          <w:p>
            <w:pPr>
              <w:pStyle w:val="96"/>
              <w:spacing w:before="130"/>
              <w:ind w:left="378"/>
              <w:rPr>
                <w:rFonts w:hint="eastAsia"/>
                <w:color w:val="auto"/>
                <w:szCs w:val="21"/>
                <w:highlight w:val="none"/>
              </w:rPr>
            </w:pPr>
            <w:r>
              <w:rPr>
                <w:rFonts w:hint="eastAsia"/>
                <w:color w:val="auto"/>
                <w:szCs w:val="21"/>
                <w:highlight w:val="none"/>
              </w:rPr>
              <w:t>入围情况</w:t>
            </w:r>
            <w:r>
              <w:rPr>
                <w:rFonts w:hint="eastAsia"/>
                <w:color w:val="auto"/>
                <w:position w:val="9"/>
                <w:szCs w:val="21"/>
                <w:highlight w:val="none"/>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84" w:type="dxa"/>
            <w:noWrap w:val="0"/>
            <w:vAlign w:val="top"/>
          </w:tcPr>
          <w:p>
            <w:pPr>
              <w:pStyle w:val="96"/>
              <w:rPr>
                <w:rFonts w:hint="eastAsia"/>
                <w:color w:val="auto"/>
                <w:szCs w:val="21"/>
                <w:highlight w:val="none"/>
              </w:rPr>
            </w:pPr>
          </w:p>
        </w:tc>
        <w:tc>
          <w:tcPr>
            <w:tcW w:w="3225" w:type="dxa"/>
            <w:noWrap w:val="0"/>
            <w:vAlign w:val="top"/>
          </w:tcPr>
          <w:p>
            <w:pPr>
              <w:pStyle w:val="96"/>
              <w:rPr>
                <w:rFonts w:hint="eastAsia"/>
                <w:color w:val="auto"/>
                <w:szCs w:val="21"/>
                <w:highlight w:val="none"/>
              </w:rPr>
            </w:pPr>
          </w:p>
        </w:tc>
        <w:tc>
          <w:tcPr>
            <w:tcW w:w="2630" w:type="dxa"/>
            <w:noWrap w:val="0"/>
            <w:vAlign w:val="top"/>
          </w:tcPr>
          <w:p>
            <w:pPr>
              <w:pStyle w:val="96"/>
              <w:rPr>
                <w:rFonts w:hint="eastAsia"/>
                <w:color w:val="auto"/>
                <w:szCs w:val="21"/>
                <w:highlight w:val="none"/>
              </w:rPr>
            </w:pPr>
          </w:p>
        </w:tc>
        <w:tc>
          <w:tcPr>
            <w:tcW w:w="1875"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84" w:type="dxa"/>
            <w:noWrap w:val="0"/>
            <w:vAlign w:val="top"/>
          </w:tcPr>
          <w:p>
            <w:pPr>
              <w:pStyle w:val="96"/>
              <w:rPr>
                <w:rFonts w:hint="eastAsia"/>
                <w:color w:val="auto"/>
                <w:szCs w:val="21"/>
                <w:highlight w:val="none"/>
              </w:rPr>
            </w:pPr>
          </w:p>
        </w:tc>
        <w:tc>
          <w:tcPr>
            <w:tcW w:w="3225" w:type="dxa"/>
            <w:noWrap w:val="0"/>
            <w:vAlign w:val="top"/>
          </w:tcPr>
          <w:p>
            <w:pPr>
              <w:pStyle w:val="96"/>
              <w:rPr>
                <w:rFonts w:hint="eastAsia"/>
                <w:color w:val="auto"/>
                <w:szCs w:val="21"/>
                <w:highlight w:val="none"/>
              </w:rPr>
            </w:pPr>
          </w:p>
        </w:tc>
        <w:tc>
          <w:tcPr>
            <w:tcW w:w="2630" w:type="dxa"/>
            <w:noWrap w:val="0"/>
            <w:vAlign w:val="top"/>
          </w:tcPr>
          <w:p>
            <w:pPr>
              <w:pStyle w:val="96"/>
              <w:rPr>
                <w:rFonts w:hint="eastAsia"/>
                <w:color w:val="auto"/>
                <w:szCs w:val="21"/>
                <w:highlight w:val="none"/>
              </w:rPr>
            </w:pPr>
          </w:p>
        </w:tc>
        <w:tc>
          <w:tcPr>
            <w:tcW w:w="1875"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884" w:type="dxa"/>
            <w:noWrap w:val="0"/>
            <w:vAlign w:val="top"/>
          </w:tcPr>
          <w:p>
            <w:pPr>
              <w:pStyle w:val="96"/>
              <w:rPr>
                <w:rFonts w:hint="eastAsia"/>
                <w:color w:val="auto"/>
                <w:szCs w:val="21"/>
                <w:highlight w:val="none"/>
              </w:rPr>
            </w:pPr>
          </w:p>
        </w:tc>
        <w:tc>
          <w:tcPr>
            <w:tcW w:w="3225" w:type="dxa"/>
            <w:noWrap w:val="0"/>
            <w:vAlign w:val="top"/>
          </w:tcPr>
          <w:p>
            <w:pPr>
              <w:pStyle w:val="96"/>
              <w:rPr>
                <w:rFonts w:hint="eastAsia"/>
                <w:color w:val="auto"/>
                <w:szCs w:val="21"/>
                <w:highlight w:val="none"/>
              </w:rPr>
            </w:pPr>
          </w:p>
        </w:tc>
        <w:tc>
          <w:tcPr>
            <w:tcW w:w="2630" w:type="dxa"/>
            <w:noWrap w:val="0"/>
            <w:vAlign w:val="top"/>
          </w:tcPr>
          <w:p>
            <w:pPr>
              <w:pStyle w:val="96"/>
              <w:rPr>
                <w:rFonts w:hint="eastAsia"/>
                <w:color w:val="auto"/>
                <w:szCs w:val="21"/>
                <w:highlight w:val="none"/>
              </w:rPr>
            </w:pPr>
          </w:p>
        </w:tc>
        <w:tc>
          <w:tcPr>
            <w:tcW w:w="1875"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84" w:type="dxa"/>
            <w:noWrap w:val="0"/>
            <w:vAlign w:val="top"/>
          </w:tcPr>
          <w:p>
            <w:pPr>
              <w:pStyle w:val="96"/>
              <w:rPr>
                <w:rFonts w:hint="eastAsia"/>
                <w:color w:val="auto"/>
                <w:szCs w:val="21"/>
                <w:highlight w:val="none"/>
              </w:rPr>
            </w:pPr>
          </w:p>
        </w:tc>
        <w:tc>
          <w:tcPr>
            <w:tcW w:w="3225" w:type="dxa"/>
            <w:noWrap w:val="0"/>
            <w:vAlign w:val="top"/>
          </w:tcPr>
          <w:p>
            <w:pPr>
              <w:pStyle w:val="96"/>
              <w:rPr>
                <w:rFonts w:hint="eastAsia"/>
                <w:color w:val="auto"/>
                <w:szCs w:val="21"/>
                <w:highlight w:val="none"/>
              </w:rPr>
            </w:pPr>
          </w:p>
        </w:tc>
        <w:tc>
          <w:tcPr>
            <w:tcW w:w="2630" w:type="dxa"/>
            <w:noWrap w:val="0"/>
            <w:vAlign w:val="top"/>
          </w:tcPr>
          <w:p>
            <w:pPr>
              <w:pStyle w:val="96"/>
              <w:rPr>
                <w:rFonts w:hint="eastAsia"/>
                <w:color w:val="auto"/>
                <w:szCs w:val="21"/>
                <w:highlight w:val="none"/>
              </w:rPr>
            </w:pPr>
          </w:p>
        </w:tc>
        <w:tc>
          <w:tcPr>
            <w:tcW w:w="1875"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84" w:type="dxa"/>
            <w:noWrap w:val="0"/>
            <w:vAlign w:val="top"/>
          </w:tcPr>
          <w:p>
            <w:pPr>
              <w:pStyle w:val="96"/>
              <w:rPr>
                <w:rFonts w:hint="eastAsia"/>
                <w:color w:val="auto"/>
                <w:szCs w:val="21"/>
                <w:highlight w:val="none"/>
              </w:rPr>
            </w:pPr>
          </w:p>
        </w:tc>
        <w:tc>
          <w:tcPr>
            <w:tcW w:w="3225" w:type="dxa"/>
            <w:noWrap w:val="0"/>
            <w:vAlign w:val="top"/>
          </w:tcPr>
          <w:p>
            <w:pPr>
              <w:pStyle w:val="96"/>
              <w:rPr>
                <w:rFonts w:hint="eastAsia"/>
                <w:color w:val="auto"/>
                <w:szCs w:val="21"/>
                <w:highlight w:val="none"/>
              </w:rPr>
            </w:pPr>
          </w:p>
        </w:tc>
        <w:tc>
          <w:tcPr>
            <w:tcW w:w="2630" w:type="dxa"/>
            <w:noWrap w:val="0"/>
            <w:vAlign w:val="top"/>
          </w:tcPr>
          <w:p>
            <w:pPr>
              <w:pStyle w:val="96"/>
              <w:rPr>
                <w:rFonts w:hint="eastAsia"/>
                <w:color w:val="auto"/>
                <w:szCs w:val="21"/>
                <w:highlight w:val="none"/>
              </w:rPr>
            </w:pPr>
          </w:p>
        </w:tc>
        <w:tc>
          <w:tcPr>
            <w:tcW w:w="1875" w:type="dxa"/>
            <w:noWrap w:val="0"/>
            <w:vAlign w:val="top"/>
          </w:tcPr>
          <w:p>
            <w:pPr>
              <w:pStyle w:val="96"/>
              <w:rPr>
                <w:rFonts w:hint="eastAsia"/>
                <w:color w:val="auto"/>
                <w:szCs w:val="21"/>
                <w:highlight w:val="none"/>
              </w:rPr>
            </w:pPr>
          </w:p>
        </w:tc>
      </w:tr>
    </w:tbl>
    <w:p>
      <w:pPr>
        <w:pStyle w:val="15"/>
        <w:spacing w:before="6"/>
        <w:rPr>
          <w:rFonts w:hint="eastAsia" w:ascii="宋体" w:hAnsi="宋体" w:cs="宋体"/>
          <w:color w:val="auto"/>
          <w:sz w:val="21"/>
          <w:szCs w:val="21"/>
          <w:highlight w:val="none"/>
        </w:rPr>
      </w:pPr>
    </w:p>
    <w:p>
      <w:pPr>
        <w:pStyle w:val="15"/>
        <w:spacing w:before="1"/>
        <w:ind w:left="898"/>
        <w:rPr>
          <w:rFonts w:hint="eastAsia" w:ascii="宋体" w:hAnsi="宋体" w:cs="宋体"/>
          <w:color w:val="auto"/>
          <w:sz w:val="21"/>
          <w:szCs w:val="21"/>
          <w:highlight w:val="none"/>
        </w:rPr>
      </w:pPr>
      <w:r>
        <w:rPr>
          <w:rFonts w:hint="eastAsia" w:ascii="宋体" w:hAnsi="宋体" w:cs="宋体"/>
          <w:color w:val="auto"/>
          <w:sz w:val="21"/>
          <w:szCs w:val="21"/>
          <w:highlight w:val="none"/>
        </w:rPr>
        <w:t>二、推荐的定标候选人及主要投标内容：</w:t>
      </w:r>
    </w:p>
    <w:tbl>
      <w:tblPr>
        <w:tblStyle w:val="38"/>
        <w:tblW w:w="10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6"/>
        <w:gridCol w:w="1216"/>
        <w:gridCol w:w="1064"/>
        <w:gridCol w:w="912"/>
        <w:gridCol w:w="912"/>
        <w:gridCol w:w="912"/>
        <w:gridCol w:w="912"/>
        <w:gridCol w:w="913"/>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jc w:val="center"/>
        </w:trPr>
        <w:tc>
          <w:tcPr>
            <w:tcW w:w="2886" w:type="dxa"/>
            <w:noWrap w:val="0"/>
            <w:vAlign w:val="top"/>
          </w:tcPr>
          <w:p>
            <w:pPr>
              <w:pStyle w:val="96"/>
              <w:rPr>
                <w:rFonts w:hint="eastAsia"/>
                <w:color w:val="auto"/>
                <w:szCs w:val="21"/>
                <w:highlight w:val="none"/>
              </w:rPr>
            </w:pPr>
            <w:r>
              <w:rPr>
                <w:rFonts w:hint="eastAsia"/>
                <w:color w:val="auto"/>
                <w:szCs w:val="21"/>
                <w:highlight w:val="none"/>
              </w:rPr>
              <mc:AlternateContent>
                <mc:Choice Requires="wps">
                  <w:drawing>
                    <wp:anchor distT="0" distB="0" distL="114300" distR="114300" simplePos="0" relativeHeight="251659264" behindDoc="1" locked="0" layoutInCell="1" allowOverlap="1">
                      <wp:simplePos x="0" y="0"/>
                      <wp:positionH relativeFrom="page">
                        <wp:posOffset>12065</wp:posOffset>
                      </wp:positionH>
                      <wp:positionV relativeFrom="paragraph">
                        <wp:posOffset>22860</wp:posOffset>
                      </wp:positionV>
                      <wp:extent cx="1827530" cy="1383665"/>
                      <wp:effectExtent l="3175" t="3810" r="17145" b="22225"/>
                      <wp:wrapNone/>
                      <wp:docPr id="1" name="直线 12"/>
                      <wp:cNvGraphicFramePr/>
                      <a:graphic xmlns:a="http://schemas.openxmlformats.org/drawingml/2006/main">
                        <a:graphicData uri="http://schemas.microsoft.com/office/word/2010/wordprocessingShape">
                          <wps:wsp>
                            <wps:cNvCnPr/>
                            <wps:spPr>
                              <a:xfrm>
                                <a:off x="0" y="0"/>
                                <a:ext cx="1827530" cy="1383665"/>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0.95pt;margin-top:1.8pt;height:108.95pt;width:143.9pt;mso-position-horizontal-relative:page;z-index:-251657216;mso-width-relative:page;mso-height-relative:page;" filled="f" stroked="t" coordsize="21600,21600" o:gfxdata="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Xe0YStQA&#10;AAAHAQAADwAAAAAAAAABACAAAAA4AAAAZHJzL2Rvd25yZXYueG1sUEsBAhQAFAAAAAgAh07iQD5S&#10;7DrUAQAAlwMAAA4AAAAAAAAAAQAgAAAAOQEAAGRycy9lMm9Eb2MueG1sUEsFBgAAAAAGAAYAWQEA&#10;AH8FAAAAAA==&#10;">
                      <v:fill on="f" focussize="0,0"/>
                      <v:stroke weight="0.5pt" color="#000000" joinstyle="round"/>
                      <v:imagedata o:title=""/>
                      <o:lock v:ext="edit" aspectratio="f"/>
                    </v:line>
                  </w:pict>
                </mc:Fallback>
              </mc:AlternateContent>
            </w:r>
          </w:p>
          <w:p>
            <w:pPr>
              <w:pStyle w:val="96"/>
              <w:spacing w:before="4"/>
              <w:rPr>
                <w:rFonts w:hint="eastAsia"/>
                <w:color w:val="auto"/>
                <w:szCs w:val="21"/>
                <w:highlight w:val="none"/>
              </w:rPr>
            </w:pPr>
          </w:p>
          <w:p>
            <w:pPr>
              <w:pStyle w:val="96"/>
              <w:ind w:left="1366"/>
              <w:rPr>
                <w:rFonts w:hint="eastAsia"/>
                <w:color w:val="auto"/>
                <w:szCs w:val="21"/>
                <w:highlight w:val="none"/>
              </w:rPr>
            </w:pPr>
            <w:r>
              <w:rPr>
                <w:rFonts w:hint="eastAsia"/>
                <w:color w:val="auto"/>
                <w:szCs w:val="21"/>
                <w:highlight w:val="none"/>
              </w:rPr>
              <w:t>投标主要内容</w:t>
            </w:r>
          </w:p>
          <w:p>
            <w:pPr>
              <w:pStyle w:val="96"/>
              <w:rPr>
                <w:rFonts w:hint="eastAsia"/>
                <w:color w:val="auto"/>
                <w:szCs w:val="21"/>
                <w:highlight w:val="none"/>
              </w:rPr>
            </w:pPr>
          </w:p>
          <w:p>
            <w:pPr>
              <w:pStyle w:val="96"/>
              <w:rPr>
                <w:rFonts w:hint="eastAsia"/>
                <w:color w:val="auto"/>
                <w:szCs w:val="21"/>
                <w:highlight w:val="none"/>
              </w:rPr>
            </w:pPr>
          </w:p>
          <w:p>
            <w:pPr>
              <w:pStyle w:val="96"/>
              <w:spacing w:before="10"/>
              <w:rPr>
                <w:rFonts w:hint="eastAsia"/>
                <w:color w:val="auto"/>
                <w:szCs w:val="21"/>
                <w:highlight w:val="none"/>
              </w:rPr>
            </w:pPr>
          </w:p>
          <w:p>
            <w:pPr>
              <w:pStyle w:val="96"/>
              <w:ind w:left="106"/>
              <w:rPr>
                <w:rFonts w:hint="eastAsia"/>
                <w:color w:val="auto"/>
                <w:szCs w:val="21"/>
                <w:highlight w:val="none"/>
              </w:rPr>
            </w:pPr>
            <w:r>
              <w:rPr>
                <w:rFonts w:hint="eastAsia"/>
                <w:color w:val="auto"/>
                <w:szCs w:val="21"/>
                <w:highlight w:val="none"/>
              </w:rPr>
              <w:t>定标候选人名称</w:t>
            </w:r>
          </w:p>
        </w:tc>
        <w:tc>
          <w:tcPr>
            <w:tcW w:w="1216" w:type="dxa"/>
            <w:noWrap w:val="0"/>
            <w:vAlign w:val="top"/>
          </w:tcPr>
          <w:p>
            <w:pPr>
              <w:pStyle w:val="96"/>
              <w:rPr>
                <w:rFonts w:hint="eastAsia"/>
                <w:color w:val="auto"/>
                <w:szCs w:val="21"/>
                <w:highlight w:val="none"/>
              </w:rPr>
            </w:pPr>
          </w:p>
          <w:p>
            <w:pPr>
              <w:pStyle w:val="96"/>
              <w:rPr>
                <w:rFonts w:hint="eastAsia"/>
                <w:color w:val="auto"/>
                <w:szCs w:val="21"/>
                <w:highlight w:val="none"/>
              </w:rPr>
            </w:pPr>
          </w:p>
          <w:p>
            <w:pPr>
              <w:pStyle w:val="96"/>
              <w:spacing w:before="166" w:line="242" w:lineRule="auto"/>
              <w:ind w:left="396" w:right="178" w:hanging="210"/>
              <w:rPr>
                <w:rFonts w:hint="eastAsia"/>
                <w:color w:val="auto"/>
                <w:szCs w:val="21"/>
                <w:highlight w:val="none"/>
              </w:rPr>
            </w:pPr>
            <w:r>
              <w:rPr>
                <w:rFonts w:hint="eastAsia"/>
                <w:color w:val="auto"/>
                <w:spacing w:val="-5"/>
                <w:szCs w:val="21"/>
                <w:highlight w:val="none"/>
              </w:rPr>
              <w:t>投标报价</w:t>
            </w:r>
            <w:r>
              <w:rPr>
                <w:rFonts w:hint="eastAsia"/>
                <w:color w:val="auto"/>
                <w:szCs w:val="21"/>
                <w:highlight w:val="none"/>
              </w:rPr>
              <w:t>总价</w:t>
            </w:r>
          </w:p>
          <w:p>
            <w:pPr>
              <w:pStyle w:val="96"/>
              <w:ind w:left="291"/>
              <w:rPr>
                <w:rFonts w:hint="eastAsia"/>
                <w:color w:val="auto"/>
                <w:szCs w:val="21"/>
                <w:highlight w:val="none"/>
              </w:rPr>
            </w:pPr>
            <w:r>
              <w:rPr>
                <w:rFonts w:hint="eastAsia"/>
                <w:color w:val="auto"/>
                <w:szCs w:val="21"/>
                <w:highlight w:val="none"/>
              </w:rPr>
              <w:t>（元）</w:t>
            </w:r>
          </w:p>
        </w:tc>
        <w:tc>
          <w:tcPr>
            <w:tcW w:w="1064" w:type="dxa"/>
            <w:noWrap w:val="0"/>
            <w:vAlign w:val="top"/>
          </w:tcPr>
          <w:p>
            <w:pPr>
              <w:pStyle w:val="96"/>
              <w:rPr>
                <w:rFonts w:hint="eastAsia"/>
                <w:color w:val="auto"/>
                <w:szCs w:val="21"/>
                <w:highlight w:val="none"/>
              </w:rPr>
            </w:pPr>
          </w:p>
          <w:p>
            <w:pPr>
              <w:pStyle w:val="96"/>
              <w:rPr>
                <w:rFonts w:hint="eastAsia"/>
                <w:color w:val="auto"/>
                <w:szCs w:val="21"/>
                <w:highlight w:val="none"/>
              </w:rPr>
            </w:pPr>
          </w:p>
          <w:p>
            <w:pPr>
              <w:pStyle w:val="96"/>
              <w:spacing w:before="7"/>
              <w:rPr>
                <w:rFonts w:hint="eastAsia"/>
                <w:color w:val="auto"/>
                <w:szCs w:val="21"/>
                <w:highlight w:val="none"/>
              </w:rPr>
            </w:pPr>
          </w:p>
          <w:p>
            <w:pPr>
              <w:pStyle w:val="96"/>
              <w:spacing w:line="242" w:lineRule="auto"/>
              <w:ind w:left="214" w:right="102" w:hanging="105"/>
              <w:rPr>
                <w:rFonts w:hint="eastAsia"/>
                <w:color w:val="auto"/>
                <w:szCs w:val="21"/>
                <w:highlight w:val="none"/>
              </w:rPr>
            </w:pPr>
            <w:r>
              <w:rPr>
                <w:rFonts w:hint="eastAsia"/>
                <w:color w:val="auto"/>
                <w:szCs w:val="21"/>
                <w:highlight w:val="none"/>
              </w:rPr>
              <w:t>工期（日历天）</w:t>
            </w:r>
          </w:p>
        </w:tc>
        <w:tc>
          <w:tcPr>
            <w:tcW w:w="912" w:type="dxa"/>
            <w:noWrap w:val="0"/>
            <w:vAlign w:val="top"/>
          </w:tcPr>
          <w:p>
            <w:pPr>
              <w:pStyle w:val="96"/>
              <w:rPr>
                <w:rFonts w:hint="eastAsia"/>
                <w:color w:val="auto"/>
                <w:szCs w:val="21"/>
                <w:highlight w:val="none"/>
              </w:rPr>
            </w:pPr>
          </w:p>
          <w:p>
            <w:pPr>
              <w:pStyle w:val="96"/>
              <w:rPr>
                <w:rFonts w:hint="eastAsia"/>
                <w:color w:val="auto"/>
                <w:szCs w:val="21"/>
                <w:highlight w:val="none"/>
              </w:rPr>
            </w:pPr>
          </w:p>
          <w:p>
            <w:pPr>
              <w:pStyle w:val="96"/>
              <w:spacing w:before="7"/>
              <w:rPr>
                <w:rFonts w:hint="eastAsia"/>
                <w:color w:val="auto"/>
                <w:szCs w:val="21"/>
                <w:highlight w:val="none"/>
              </w:rPr>
            </w:pPr>
          </w:p>
          <w:p>
            <w:pPr>
              <w:pStyle w:val="96"/>
              <w:spacing w:line="242" w:lineRule="auto"/>
              <w:ind w:left="347" w:right="132" w:hanging="210"/>
              <w:rPr>
                <w:rFonts w:hint="eastAsia"/>
                <w:color w:val="auto"/>
                <w:szCs w:val="21"/>
                <w:highlight w:val="none"/>
              </w:rPr>
            </w:pPr>
            <w:r>
              <w:rPr>
                <w:rFonts w:hint="eastAsia"/>
                <w:color w:val="auto"/>
                <w:szCs w:val="21"/>
                <w:highlight w:val="none"/>
              </w:rPr>
              <w:t>质量标准</w:t>
            </w:r>
          </w:p>
        </w:tc>
        <w:tc>
          <w:tcPr>
            <w:tcW w:w="912" w:type="dxa"/>
            <w:noWrap w:val="0"/>
            <w:vAlign w:val="top"/>
          </w:tcPr>
          <w:p>
            <w:pPr>
              <w:pStyle w:val="96"/>
              <w:rPr>
                <w:rFonts w:hint="eastAsia"/>
                <w:color w:val="auto"/>
                <w:szCs w:val="21"/>
                <w:highlight w:val="none"/>
              </w:rPr>
            </w:pPr>
          </w:p>
          <w:p>
            <w:pPr>
              <w:pStyle w:val="96"/>
              <w:rPr>
                <w:rFonts w:hint="eastAsia"/>
                <w:color w:val="auto"/>
                <w:szCs w:val="21"/>
                <w:highlight w:val="none"/>
              </w:rPr>
            </w:pPr>
          </w:p>
          <w:p>
            <w:pPr>
              <w:pStyle w:val="96"/>
              <w:spacing w:before="7"/>
              <w:rPr>
                <w:rFonts w:hint="eastAsia"/>
                <w:color w:val="auto"/>
                <w:szCs w:val="21"/>
                <w:highlight w:val="none"/>
              </w:rPr>
            </w:pPr>
          </w:p>
          <w:p>
            <w:pPr>
              <w:pStyle w:val="96"/>
              <w:spacing w:line="242" w:lineRule="auto"/>
              <w:ind w:left="242" w:right="133" w:hanging="106"/>
              <w:rPr>
                <w:rFonts w:hint="eastAsia"/>
                <w:color w:val="auto"/>
                <w:szCs w:val="21"/>
                <w:highlight w:val="none"/>
              </w:rPr>
            </w:pPr>
            <w:r>
              <w:rPr>
                <w:rFonts w:hint="eastAsia"/>
                <w:color w:val="auto"/>
                <w:szCs w:val="21"/>
                <w:highlight w:val="none"/>
              </w:rPr>
              <w:t>项目负责人</w:t>
            </w:r>
          </w:p>
        </w:tc>
        <w:tc>
          <w:tcPr>
            <w:tcW w:w="912" w:type="dxa"/>
            <w:noWrap w:val="0"/>
            <w:vAlign w:val="center"/>
          </w:tcPr>
          <w:p>
            <w:pPr>
              <w:wordWrap w:val="0"/>
              <w:adjustRightInd w:val="0"/>
              <w:spacing w:line="0" w:lineRule="atLeast"/>
              <w:jc w:val="center"/>
              <w:textAlignment w:val="baseline"/>
              <w:rPr>
                <w:rFonts w:hint="eastAsia"/>
                <w:color w:val="auto"/>
                <w:szCs w:val="21"/>
                <w:highlight w:val="none"/>
              </w:rPr>
            </w:pPr>
            <w:r>
              <w:rPr>
                <w:rFonts w:hint="eastAsia" w:ascii="宋体" w:hAnsi="宋体" w:cs="宋体"/>
                <w:color w:val="auto"/>
                <w:sz w:val="21"/>
                <w:szCs w:val="21"/>
                <w:highlight w:val="none"/>
              </w:rPr>
              <w:t>项目经理姓名、证书及编号</w:t>
            </w:r>
          </w:p>
        </w:tc>
        <w:tc>
          <w:tcPr>
            <w:tcW w:w="912" w:type="dxa"/>
            <w:noWrap w:val="0"/>
            <w:vAlign w:val="center"/>
          </w:tcPr>
          <w:p>
            <w:pPr>
              <w:wordWrap w:val="0"/>
              <w:adjustRightInd w:val="0"/>
              <w:spacing w:line="0" w:lineRule="atLeast"/>
              <w:jc w:val="center"/>
              <w:textAlignment w:val="baseline"/>
              <w:rPr>
                <w:rFonts w:hint="eastAsia"/>
                <w:color w:val="auto"/>
                <w:szCs w:val="21"/>
                <w:highlight w:val="none"/>
              </w:rPr>
            </w:pPr>
            <w:r>
              <w:rPr>
                <w:rFonts w:hint="eastAsia" w:ascii="宋体" w:hAnsi="宋体" w:cs="宋体"/>
                <w:color w:val="auto"/>
                <w:sz w:val="21"/>
                <w:szCs w:val="21"/>
                <w:highlight w:val="none"/>
              </w:rPr>
              <w:t>技术负责人、证书及编号</w:t>
            </w:r>
          </w:p>
        </w:tc>
        <w:tc>
          <w:tcPr>
            <w:tcW w:w="913" w:type="dxa"/>
            <w:noWrap w:val="0"/>
            <w:vAlign w:val="top"/>
          </w:tcPr>
          <w:p>
            <w:pPr>
              <w:pStyle w:val="96"/>
              <w:rPr>
                <w:rFonts w:hint="eastAsia"/>
                <w:color w:val="auto"/>
                <w:szCs w:val="21"/>
                <w:highlight w:val="none"/>
              </w:rPr>
            </w:pPr>
          </w:p>
          <w:p>
            <w:pPr>
              <w:pStyle w:val="96"/>
              <w:spacing w:line="242" w:lineRule="auto"/>
              <w:ind w:left="134" w:right="136"/>
              <w:rPr>
                <w:rFonts w:hint="eastAsia"/>
                <w:color w:val="auto"/>
                <w:szCs w:val="21"/>
                <w:highlight w:val="none"/>
              </w:rPr>
            </w:pPr>
            <w:r>
              <w:rPr>
                <w:rFonts w:hint="eastAsia"/>
                <w:color w:val="auto"/>
                <w:spacing w:val="-6"/>
                <w:szCs w:val="21"/>
                <w:highlight w:val="none"/>
              </w:rPr>
              <w:t>定标候选人的类似工程业绩</w:t>
            </w:r>
          </w:p>
          <w:p>
            <w:pPr>
              <w:pStyle w:val="96"/>
              <w:spacing w:before="2" w:line="242" w:lineRule="auto"/>
              <w:ind w:left="238" w:right="136" w:hanging="105"/>
              <w:rPr>
                <w:rFonts w:hint="eastAsia"/>
                <w:color w:val="auto"/>
                <w:szCs w:val="21"/>
                <w:highlight w:val="none"/>
              </w:rPr>
            </w:pPr>
            <w:r>
              <w:rPr>
                <w:rFonts w:hint="eastAsia"/>
                <w:color w:val="auto"/>
                <w:szCs w:val="21"/>
                <w:highlight w:val="none"/>
              </w:rPr>
              <w:t>（</w:t>
            </w:r>
            <w:r>
              <w:rPr>
                <w:rFonts w:hint="eastAsia"/>
                <w:color w:val="auto"/>
                <w:spacing w:val="-8"/>
                <w:szCs w:val="21"/>
                <w:highlight w:val="none"/>
              </w:rPr>
              <w:t>如有</w:t>
            </w:r>
            <w:r>
              <w:rPr>
                <w:rFonts w:hint="eastAsia"/>
                <w:color w:val="auto"/>
                <w:szCs w:val="21"/>
                <w:highlight w:val="none"/>
              </w:rPr>
              <w:t>时）</w:t>
            </w:r>
          </w:p>
        </w:tc>
        <w:tc>
          <w:tcPr>
            <w:tcW w:w="913" w:type="dxa"/>
            <w:noWrap w:val="0"/>
            <w:vAlign w:val="center"/>
          </w:tcPr>
          <w:p>
            <w:pPr>
              <w:pStyle w:val="96"/>
              <w:spacing w:before="2" w:line="242" w:lineRule="auto"/>
              <w:ind w:left="238" w:right="136" w:hanging="105"/>
              <w:jc w:val="center"/>
              <w:rPr>
                <w:rFonts w:hint="eastAsia"/>
                <w:color w:val="auto"/>
                <w:szCs w:val="21"/>
                <w:highlight w:val="none"/>
              </w:rPr>
            </w:pPr>
            <w:r>
              <w:rPr>
                <w:rFonts w:hint="eastAsia"/>
                <w:color w:val="auto"/>
                <w:szCs w:val="21"/>
                <w:highlight w:val="none"/>
                <w:lang w:val="en-US" w:eastAsia="zh-CN"/>
              </w:rPr>
              <w:t>企业及人员</w:t>
            </w:r>
            <w:r>
              <w:rPr>
                <w:rFonts w:hint="eastAsia"/>
                <w:color w:val="auto"/>
                <w:szCs w:val="21"/>
                <w:highlight w:val="none"/>
              </w:rPr>
              <w:t>信用分享用情况</w:t>
            </w:r>
            <w:r>
              <w:rPr>
                <w:rFonts w:hint="eastAsia"/>
                <w:color w:val="auto"/>
                <w:szCs w:val="21"/>
                <w:highlight w:val="none"/>
                <w:lang w:eastAsia="zh-CN"/>
              </w:rPr>
              <w:t>（</w:t>
            </w:r>
            <w:r>
              <w:rPr>
                <w:rFonts w:hint="eastAsia"/>
                <w:color w:val="auto"/>
                <w:szCs w:val="21"/>
                <w:highlight w:val="none"/>
                <w:lang w:val="en-US" w:eastAsia="zh-CN"/>
              </w:rPr>
              <w:t>如有</w:t>
            </w:r>
            <w:r>
              <w:rPr>
                <w:rFonts w:hint="eastAsia"/>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886" w:type="dxa"/>
            <w:noWrap w:val="0"/>
            <w:vAlign w:val="top"/>
          </w:tcPr>
          <w:p>
            <w:pPr>
              <w:pStyle w:val="96"/>
              <w:rPr>
                <w:rFonts w:hint="eastAsia"/>
                <w:color w:val="auto"/>
                <w:szCs w:val="21"/>
                <w:highlight w:val="none"/>
              </w:rPr>
            </w:pPr>
          </w:p>
        </w:tc>
        <w:tc>
          <w:tcPr>
            <w:tcW w:w="1216" w:type="dxa"/>
            <w:noWrap w:val="0"/>
            <w:vAlign w:val="top"/>
          </w:tcPr>
          <w:p>
            <w:pPr>
              <w:pStyle w:val="96"/>
              <w:rPr>
                <w:rFonts w:hint="eastAsia"/>
                <w:color w:val="auto"/>
                <w:szCs w:val="21"/>
                <w:highlight w:val="none"/>
              </w:rPr>
            </w:pPr>
          </w:p>
        </w:tc>
        <w:tc>
          <w:tcPr>
            <w:tcW w:w="1064"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886" w:type="dxa"/>
            <w:noWrap w:val="0"/>
            <w:vAlign w:val="top"/>
          </w:tcPr>
          <w:p>
            <w:pPr>
              <w:pStyle w:val="96"/>
              <w:rPr>
                <w:rFonts w:hint="eastAsia"/>
                <w:color w:val="auto"/>
                <w:szCs w:val="21"/>
                <w:highlight w:val="none"/>
              </w:rPr>
            </w:pPr>
          </w:p>
        </w:tc>
        <w:tc>
          <w:tcPr>
            <w:tcW w:w="1216" w:type="dxa"/>
            <w:noWrap w:val="0"/>
            <w:vAlign w:val="top"/>
          </w:tcPr>
          <w:p>
            <w:pPr>
              <w:pStyle w:val="96"/>
              <w:rPr>
                <w:rFonts w:hint="eastAsia"/>
                <w:color w:val="auto"/>
                <w:szCs w:val="21"/>
                <w:highlight w:val="none"/>
              </w:rPr>
            </w:pPr>
          </w:p>
        </w:tc>
        <w:tc>
          <w:tcPr>
            <w:tcW w:w="1064"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2886" w:type="dxa"/>
            <w:noWrap w:val="0"/>
            <w:vAlign w:val="top"/>
          </w:tcPr>
          <w:p>
            <w:pPr>
              <w:pStyle w:val="96"/>
              <w:rPr>
                <w:rFonts w:hint="eastAsia"/>
                <w:color w:val="auto"/>
                <w:szCs w:val="21"/>
                <w:highlight w:val="none"/>
              </w:rPr>
            </w:pPr>
          </w:p>
        </w:tc>
        <w:tc>
          <w:tcPr>
            <w:tcW w:w="1216" w:type="dxa"/>
            <w:noWrap w:val="0"/>
            <w:vAlign w:val="top"/>
          </w:tcPr>
          <w:p>
            <w:pPr>
              <w:pStyle w:val="96"/>
              <w:rPr>
                <w:rFonts w:hint="eastAsia"/>
                <w:color w:val="auto"/>
                <w:szCs w:val="21"/>
                <w:highlight w:val="none"/>
              </w:rPr>
            </w:pPr>
          </w:p>
        </w:tc>
        <w:tc>
          <w:tcPr>
            <w:tcW w:w="1064"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2886" w:type="dxa"/>
            <w:noWrap w:val="0"/>
            <w:vAlign w:val="top"/>
          </w:tcPr>
          <w:p>
            <w:pPr>
              <w:pStyle w:val="96"/>
              <w:rPr>
                <w:rFonts w:hint="eastAsia"/>
                <w:color w:val="auto"/>
                <w:szCs w:val="21"/>
                <w:highlight w:val="none"/>
              </w:rPr>
            </w:pPr>
          </w:p>
        </w:tc>
        <w:tc>
          <w:tcPr>
            <w:tcW w:w="1216" w:type="dxa"/>
            <w:noWrap w:val="0"/>
            <w:vAlign w:val="top"/>
          </w:tcPr>
          <w:p>
            <w:pPr>
              <w:pStyle w:val="96"/>
              <w:rPr>
                <w:rFonts w:hint="eastAsia"/>
                <w:color w:val="auto"/>
                <w:szCs w:val="21"/>
                <w:highlight w:val="none"/>
              </w:rPr>
            </w:pPr>
          </w:p>
        </w:tc>
        <w:tc>
          <w:tcPr>
            <w:tcW w:w="1064"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886" w:type="dxa"/>
            <w:noWrap w:val="0"/>
            <w:vAlign w:val="top"/>
          </w:tcPr>
          <w:p>
            <w:pPr>
              <w:pStyle w:val="96"/>
              <w:rPr>
                <w:rFonts w:hint="eastAsia"/>
                <w:color w:val="auto"/>
                <w:szCs w:val="21"/>
                <w:highlight w:val="none"/>
              </w:rPr>
            </w:pPr>
          </w:p>
        </w:tc>
        <w:tc>
          <w:tcPr>
            <w:tcW w:w="1216" w:type="dxa"/>
            <w:noWrap w:val="0"/>
            <w:vAlign w:val="top"/>
          </w:tcPr>
          <w:p>
            <w:pPr>
              <w:pStyle w:val="96"/>
              <w:rPr>
                <w:rFonts w:hint="eastAsia"/>
                <w:color w:val="auto"/>
                <w:szCs w:val="21"/>
                <w:highlight w:val="none"/>
              </w:rPr>
            </w:pPr>
          </w:p>
        </w:tc>
        <w:tc>
          <w:tcPr>
            <w:tcW w:w="1064"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2"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c>
          <w:tcPr>
            <w:tcW w:w="913" w:type="dxa"/>
            <w:noWrap w:val="0"/>
            <w:vAlign w:val="top"/>
          </w:tcPr>
          <w:p>
            <w:pPr>
              <w:pStyle w:val="96"/>
              <w:rPr>
                <w:rFonts w:hint="eastAsia"/>
                <w:color w:val="auto"/>
                <w:szCs w:val="21"/>
                <w:highlight w:val="none"/>
              </w:rPr>
            </w:pPr>
          </w:p>
        </w:tc>
      </w:tr>
    </w:tbl>
    <w:p>
      <w:pPr>
        <w:pStyle w:val="15"/>
        <w:spacing w:before="5"/>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720090</wp:posOffset>
                </wp:positionH>
                <wp:positionV relativeFrom="paragraph">
                  <wp:posOffset>109220</wp:posOffset>
                </wp:positionV>
                <wp:extent cx="1828165" cy="0"/>
                <wp:effectExtent l="0" t="0" r="0" b="0"/>
                <wp:wrapTopAndBottom/>
                <wp:docPr id="4" name="直线 13"/>
                <wp:cNvGraphicFramePr/>
                <a:graphic xmlns:a="http://schemas.openxmlformats.org/drawingml/2006/main">
                  <a:graphicData uri="http://schemas.microsoft.com/office/word/2010/wordprocessingShape">
                    <wps:wsp>
                      <wps:cNvCnPr/>
                      <wps:spPr>
                        <a:xfrm>
                          <a:off x="0" y="0"/>
                          <a:ext cx="1828165"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56.7pt;margin-top:8.6pt;height:0pt;width:143.95pt;mso-position-horizontal-relative:page;mso-wrap-distance-bottom:0pt;mso-wrap-distance-top:0pt;z-index:-251654144;mso-width-relative:page;mso-height-relative:page;" filled="f" stroked="t" coordsize="21600,21600" o:gfxdata="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vjre9YAAAAJAQAA&#10;DwAAAAAAAAABACAAAAA4AAAAZHJzL2Rvd25yZXYueG1sUEsBAhQAFAAAAAgAh07iQLptS7PMAQAA&#10;jgMAAA4AAAAAAAAAAQAgAAAAOwEAAGRycy9lMm9Eb2MueG1sUEsFBgAAAAAGAAYAWQEAAHkFAAAA&#10;AA==&#10;">
                <v:fill on="f" focussize="0,0"/>
                <v:stroke weight="0pt" color="#000000" joinstyle="round"/>
                <v:imagedata o:title=""/>
                <o:lock v:ext="edit" aspectratio="f"/>
                <w10:wrap type="topAndBottom"/>
              </v:line>
            </w:pict>
          </mc:Fallback>
        </mc:AlternateContent>
      </w:r>
    </w:p>
    <w:p>
      <w:pPr>
        <w:pStyle w:val="15"/>
        <w:numPr>
          <w:ilvl w:val="0"/>
          <w:numId w:val="8"/>
        </w:numPr>
        <w:tabs>
          <w:tab w:val="left" w:pos="10238"/>
        </w:tabs>
        <w:spacing w:before="77" w:line="364" w:lineRule="auto"/>
        <w:ind w:left="892" w:right="48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否决其投标的投标人及原因：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p>
    <w:p>
      <w:pPr>
        <w:pStyle w:val="15"/>
        <w:numPr>
          <w:ilvl w:val="0"/>
          <w:numId w:val="8"/>
        </w:numPr>
        <w:tabs>
          <w:tab w:val="left" w:pos="10238"/>
        </w:tabs>
        <w:spacing w:before="77" w:line="364" w:lineRule="auto"/>
        <w:ind w:left="892" w:right="48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评标委员会对投标报价给予修正的原因、依据和修正结果（如有时）：</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 xml:space="preserve"> </w:t>
      </w:r>
    </w:p>
    <w:p>
      <w:pPr>
        <w:pStyle w:val="15"/>
        <w:tabs>
          <w:tab w:val="left" w:pos="10238"/>
        </w:tabs>
        <w:spacing w:before="77" w:line="364" w:lineRule="auto"/>
        <w:ind w:left="892" w:right="489"/>
        <w:jc w:val="left"/>
        <w:rPr>
          <w:rFonts w:hint="eastAsia"/>
          <w:color w:val="auto"/>
          <w:sz w:val="21"/>
          <w:szCs w:val="21"/>
          <w:highlight w:val="none"/>
        </w:rPr>
      </w:pPr>
      <w:r>
        <w:rPr>
          <w:rFonts w:hint="eastAsia"/>
          <w:color w:val="auto"/>
          <w:sz w:val="21"/>
          <w:szCs w:val="21"/>
          <w:highlight w:val="none"/>
        </w:rPr>
        <w:t>五、</w:t>
      </w:r>
      <w:r>
        <w:rPr>
          <w:color w:val="auto"/>
          <w:sz w:val="21"/>
          <w:szCs w:val="21"/>
          <w:highlight w:val="none"/>
        </w:rPr>
        <w:t>评标委员会成员名</w:t>
      </w:r>
      <w:r>
        <w:rPr>
          <w:rFonts w:hint="eastAsia"/>
          <w:color w:val="auto"/>
          <w:sz w:val="21"/>
          <w:szCs w:val="21"/>
          <w:highlight w:val="none"/>
        </w:rPr>
        <w:t>单：</w:t>
      </w:r>
      <w:r>
        <w:rPr>
          <w:rFonts w:hint="eastAsia"/>
          <w:color w:val="auto"/>
          <w:sz w:val="21"/>
          <w:szCs w:val="21"/>
          <w:highlight w:val="none"/>
          <w:u w:val="single"/>
        </w:rPr>
        <w:t xml:space="preserve">                                         </w:t>
      </w:r>
    </w:p>
    <w:p>
      <w:pPr>
        <w:pStyle w:val="15"/>
        <w:tabs>
          <w:tab w:val="left" w:pos="10238"/>
        </w:tabs>
        <w:spacing w:before="77" w:line="364" w:lineRule="auto"/>
        <w:ind w:left="892" w:right="489"/>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六、公示时间</w:t>
      </w:r>
      <w:r>
        <w:rPr>
          <w:rFonts w:hint="eastAsia" w:ascii="宋体" w:hAnsi="宋体" w:cs="宋体"/>
          <w:color w:val="auto"/>
          <w:spacing w:val="4"/>
          <w:sz w:val="21"/>
          <w:szCs w:val="21"/>
          <w:highlight w:val="none"/>
        </w:rPr>
        <w:t>：</w:t>
      </w:r>
      <w:r>
        <w:rPr>
          <w:rFonts w:hint="eastAsia" w:ascii="宋体" w:hAnsi="宋体" w:cs="宋体"/>
          <w:color w:val="auto"/>
          <w:spacing w:val="5"/>
          <w:sz w:val="21"/>
          <w:szCs w:val="21"/>
          <w:highlight w:val="none"/>
          <w:u w:val="single"/>
        </w:rPr>
        <w:t xml:space="preserve">   </w:t>
      </w:r>
      <w:r>
        <w:rPr>
          <w:rFonts w:hint="eastAsia" w:ascii="宋体" w:hAnsi="宋体" w:cs="宋体"/>
          <w:color w:val="auto"/>
          <w:spacing w:val="3"/>
          <w:sz w:val="21"/>
          <w:szCs w:val="21"/>
          <w:highlight w:val="none"/>
        </w:rPr>
        <w:t>年</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3"/>
          <w:sz w:val="21"/>
          <w:szCs w:val="21"/>
          <w:highlight w:val="none"/>
        </w:rPr>
        <w:t>月</w:t>
      </w:r>
      <w:r>
        <w:rPr>
          <w:rFonts w:hint="eastAsia" w:ascii="宋体" w:hAnsi="宋体" w:cs="宋体"/>
          <w:color w:val="auto"/>
          <w:spacing w:val="7"/>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pacing w:val="5"/>
          <w:sz w:val="21"/>
          <w:szCs w:val="21"/>
          <w:highlight w:val="none"/>
          <w:u w:val="single"/>
        </w:rPr>
        <w:t xml:space="preserve">   </w:t>
      </w:r>
      <w:r>
        <w:rPr>
          <w:rFonts w:hint="eastAsia" w:ascii="宋体" w:hAnsi="宋体" w:cs="宋体"/>
          <w:color w:val="auto"/>
          <w:spacing w:val="3"/>
          <w:sz w:val="21"/>
          <w:szCs w:val="21"/>
          <w:highlight w:val="none"/>
        </w:rPr>
        <w:t>年</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3"/>
          <w:sz w:val="21"/>
          <w:szCs w:val="21"/>
          <w:highlight w:val="none"/>
        </w:rPr>
        <w:t>月</w:t>
      </w:r>
      <w:r>
        <w:rPr>
          <w:rFonts w:hint="eastAsia" w:ascii="宋体" w:hAnsi="宋体" w:cs="宋体"/>
          <w:color w:val="auto"/>
          <w:spacing w:val="7"/>
          <w:sz w:val="21"/>
          <w:szCs w:val="21"/>
          <w:highlight w:val="none"/>
          <w:u w:val="single"/>
        </w:rPr>
        <w:t xml:space="preserve">   </w:t>
      </w:r>
      <w:r>
        <w:rPr>
          <w:rFonts w:hint="eastAsia" w:ascii="宋体" w:hAnsi="宋体" w:cs="宋体"/>
          <w:color w:val="auto"/>
          <w:sz w:val="21"/>
          <w:szCs w:val="21"/>
          <w:highlight w:val="none"/>
        </w:rPr>
        <w:t>日。投标人或者其他利害关系人对评标结果有异议的，应当在公示期间书面向招标人提出。</w:t>
      </w:r>
    </w:p>
    <w:p>
      <w:pPr>
        <w:pStyle w:val="15"/>
        <w:tabs>
          <w:tab w:val="left" w:pos="10238"/>
        </w:tabs>
        <w:spacing w:before="77" w:line="364" w:lineRule="auto"/>
        <w:ind w:left="892" w:right="489"/>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七、异议的渠道和方式：</w:t>
      </w: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（电子签名专用章）</w:t>
      </w:r>
      <w:r>
        <w:rPr>
          <w:rFonts w:hint="eastAsia"/>
          <w:color w:val="auto"/>
          <w:sz w:val="24"/>
          <w:highlight w:val="none"/>
        </w:rPr>
        <w:t xml:space="preserve"> 招标代理机构：</w:t>
      </w:r>
      <w:r>
        <w:rPr>
          <w:rFonts w:hint="eastAsia"/>
          <w:color w:val="auto"/>
          <w:sz w:val="24"/>
          <w:highlight w:val="none"/>
          <w:u w:val="single"/>
        </w:rPr>
        <w:t xml:space="preserve">     （电子签名专用章）</w:t>
      </w:r>
    </w:p>
    <w:p>
      <w:pPr>
        <w:spacing w:line="360" w:lineRule="auto"/>
        <w:rPr>
          <w:color w:val="auto"/>
          <w:sz w:val="24"/>
          <w:highlight w:val="none"/>
        </w:rPr>
      </w:pPr>
      <w:r>
        <w:rPr>
          <w:rFonts w:hint="eastAsia"/>
          <w:color w:val="auto"/>
          <w:sz w:val="24"/>
          <w:highlight w:val="none"/>
        </w:rPr>
        <w:t>法定代表人或                    法定代表人或</w:t>
      </w:r>
    </w:p>
    <w:p>
      <w:pPr>
        <w:spacing w:line="360" w:lineRule="auto"/>
        <w:rPr>
          <w:color w:val="auto"/>
          <w:highlight w:val="none"/>
        </w:rPr>
      </w:pPr>
      <w:r>
        <w:rPr>
          <w:rFonts w:hint="eastAsia"/>
          <w:color w:val="auto"/>
          <w:sz w:val="24"/>
          <w:highlight w:val="none"/>
        </w:rPr>
        <w:t>其委托代理人：</w:t>
      </w:r>
      <w:r>
        <w:rPr>
          <w:rFonts w:hint="eastAsia"/>
          <w:color w:val="auto"/>
          <w:sz w:val="24"/>
          <w:highlight w:val="none"/>
          <w:u w:val="single"/>
        </w:rPr>
        <w:t>（电子签名专用章）</w:t>
      </w:r>
      <w:r>
        <w:rPr>
          <w:rFonts w:hint="eastAsia"/>
          <w:color w:val="auto"/>
          <w:sz w:val="24"/>
          <w:highlight w:val="none"/>
        </w:rPr>
        <w:t xml:space="preserve"> 其委托代理人：</w:t>
      </w:r>
      <w:r>
        <w:rPr>
          <w:rFonts w:hint="eastAsia"/>
          <w:color w:val="auto"/>
          <w:sz w:val="24"/>
          <w:highlight w:val="none"/>
          <w:u w:val="single"/>
        </w:rPr>
        <w:t xml:space="preserve">     （电子签名专用章）</w:t>
      </w:r>
    </w:p>
    <w:p>
      <w:pPr>
        <w:pStyle w:val="15"/>
        <w:spacing w:before="2"/>
        <w:rPr>
          <w:color w:val="auto"/>
          <w:sz w:val="23"/>
          <w:highlight w:val="none"/>
        </w:rPr>
      </w:pPr>
    </w:p>
    <w:p>
      <w:pPr>
        <w:spacing w:before="71"/>
        <w:ind w:left="608"/>
        <w:rPr>
          <w:rFonts w:hint="eastAsia" w:ascii="黑体" w:eastAsia="黑体"/>
          <w:color w:val="auto"/>
          <w:highlight w:val="none"/>
        </w:rPr>
      </w:pPr>
      <w:r>
        <w:rPr>
          <w:rFonts w:hint="eastAsia" w:ascii="黑体" w:eastAsia="黑体"/>
          <w:color w:val="auto"/>
          <w:highlight w:val="none"/>
        </w:rPr>
        <w:br w:type="page"/>
      </w:r>
    </w:p>
    <w:p>
      <w:pPr>
        <w:pStyle w:val="15"/>
        <w:spacing w:before="71"/>
        <w:ind w:left="608"/>
        <w:rPr>
          <w:rFonts w:hint="eastAsia" w:ascii="黑体" w:eastAsia="黑体"/>
          <w:color w:val="auto"/>
          <w:highlight w:val="none"/>
        </w:rPr>
      </w:pPr>
      <w:r>
        <w:rPr>
          <w:rFonts w:hint="eastAsia" w:ascii="黑体" w:eastAsia="黑体"/>
          <w:color w:val="auto"/>
          <w:highlight w:val="none"/>
        </w:rPr>
        <w:t>定标候选人公示（格式）（适用于简易程序招标项目）</w:t>
      </w:r>
    </w:p>
    <w:p>
      <w:pPr>
        <w:pStyle w:val="15"/>
        <w:spacing w:before="10"/>
        <w:rPr>
          <w:rFonts w:ascii="黑体"/>
          <w:color w:val="auto"/>
          <w:sz w:val="29"/>
          <w:highlight w:val="none"/>
        </w:rPr>
      </w:pPr>
    </w:p>
    <w:p>
      <w:pPr>
        <w:pStyle w:val="7"/>
        <w:spacing w:before="0"/>
        <w:ind w:right="18"/>
        <w:jc w:val="center"/>
        <w:rPr>
          <w:rFonts w:ascii="黑体"/>
          <w:color w:val="auto"/>
          <w:sz w:val="35"/>
          <w:highlight w:val="none"/>
        </w:rPr>
      </w:pPr>
      <w:r>
        <w:rPr>
          <w:color w:val="auto"/>
          <w:highlight w:val="none"/>
        </w:rPr>
        <w:t>定标候选人公示</w:t>
      </w:r>
    </w:p>
    <w:p>
      <w:pPr>
        <w:pStyle w:val="15"/>
        <w:tabs>
          <w:tab w:val="left" w:pos="3938"/>
          <w:tab w:val="left" w:pos="6352"/>
          <w:tab w:val="left" w:pos="10028"/>
        </w:tabs>
        <w:autoSpaceDE/>
        <w:autoSpaceDN/>
        <w:spacing w:before="0" w:line="360" w:lineRule="auto"/>
        <w:ind w:left="0" w:right="0" w:firstLine="480" w:firstLineChars="200"/>
        <w:rPr>
          <w:color w:val="auto"/>
          <w:highlight w:val="none"/>
        </w:rPr>
      </w:pPr>
      <w:r>
        <w:rPr>
          <w:color w:val="auto"/>
          <w:highlight w:val="none"/>
        </w:rPr>
        <w:t>招标项目编号为</w:t>
      </w:r>
      <w:r>
        <w:rPr>
          <w:color w:val="auto"/>
          <w:highlight w:val="none"/>
          <w:u w:val="single"/>
        </w:rPr>
        <w:t xml:space="preserve"> </w:t>
      </w:r>
      <w:r>
        <w:rPr>
          <w:color w:val="auto"/>
          <w:highlight w:val="none"/>
          <w:u w:val="single"/>
        </w:rPr>
        <w:tab/>
      </w:r>
      <w:r>
        <w:rPr>
          <w:color w:val="auto"/>
          <w:highlight w:val="none"/>
        </w:rPr>
        <w:t>的</w:t>
      </w:r>
      <w:r>
        <w:rPr>
          <w:color w:val="auto"/>
          <w:highlight w:val="none"/>
          <w:u w:val="single"/>
        </w:rPr>
        <w:t xml:space="preserve"> </w:t>
      </w:r>
      <w:r>
        <w:rPr>
          <w:color w:val="auto"/>
          <w:highlight w:val="none"/>
          <w:u w:val="single"/>
        </w:rPr>
        <w:tab/>
      </w:r>
      <w:r>
        <w:rPr>
          <w:color w:val="auto"/>
          <w:highlight w:val="none"/>
        </w:rPr>
        <w:t>工程建设项目，该工程施工招标于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 xml:space="preserve">年 </w:t>
      </w:r>
      <w:r>
        <w:rPr>
          <w:rFonts w:hint="eastAsia"/>
          <w:color w:val="auto"/>
          <w:highlight w:val="none"/>
          <w:lang w:val="en-US" w:eastAsia="zh-CN"/>
        </w:rPr>
        <w:t xml:space="preserve">     </w:t>
      </w:r>
      <w:r>
        <w:rPr>
          <w:color w:val="auto"/>
          <w:highlight w:val="none"/>
        </w:rPr>
        <w:t>月</w:t>
      </w:r>
      <w:r>
        <w:rPr>
          <w:color w:val="auto"/>
          <w:spacing w:val="19"/>
          <w:highlight w:val="none"/>
          <w:u w:val="single"/>
        </w:rPr>
        <w:t xml:space="preserve"> </w:t>
      </w:r>
      <w:r>
        <w:rPr>
          <w:rFonts w:hint="eastAsia"/>
          <w:color w:val="auto"/>
          <w:spacing w:val="19"/>
          <w:highlight w:val="none"/>
          <w:u w:val="single"/>
          <w:lang w:val="en-US" w:eastAsia="zh-CN"/>
        </w:rPr>
        <w:t xml:space="preserve">     </w:t>
      </w:r>
      <w:r>
        <w:rPr>
          <w:color w:val="auto"/>
          <w:highlight w:val="none"/>
        </w:rPr>
        <w:t>日依法公开开标后，资格审查委员会按照招标文件规定的评标标准和方法进行了审查，根据资格审查委员会提交的资格审查报告，现将入围投标人、资格审查结果、定标候选人名单、否决其投标的投标人及否决原因公示如下：</w:t>
      </w:r>
    </w:p>
    <w:p>
      <w:pPr>
        <w:pStyle w:val="15"/>
        <w:spacing w:line="267" w:lineRule="exact"/>
        <w:ind w:left="892"/>
        <w:rPr>
          <w:color w:val="auto"/>
          <w:highlight w:val="none"/>
        </w:rPr>
      </w:pPr>
      <w:r>
        <w:rPr>
          <w:color w:val="auto"/>
          <w:highlight w:val="none"/>
        </w:rPr>
        <w:t>二、入围投标人名单：</w:t>
      </w:r>
    </w:p>
    <w:p>
      <w:pPr>
        <w:pStyle w:val="15"/>
        <w:spacing w:before="12"/>
        <w:rPr>
          <w:color w:val="auto"/>
          <w:sz w:val="10"/>
          <w:highlight w:val="none"/>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8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68" w:type="dxa"/>
            <w:noWrap w:val="0"/>
            <w:vAlign w:val="top"/>
          </w:tcPr>
          <w:p>
            <w:pPr>
              <w:pStyle w:val="96"/>
              <w:spacing w:before="140"/>
              <w:ind w:left="446"/>
              <w:rPr>
                <w:color w:val="auto"/>
                <w:highlight w:val="none"/>
              </w:rPr>
            </w:pPr>
            <w:r>
              <w:rPr>
                <w:color w:val="auto"/>
                <w:highlight w:val="none"/>
              </w:rPr>
              <w:t>序号</w:t>
            </w:r>
          </w:p>
        </w:tc>
        <w:tc>
          <w:tcPr>
            <w:tcW w:w="8284" w:type="dxa"/>
            <w:noWrap w:val="0"/>
            <w:vAlign w:val="top"/>
          </w:tcPr>
          <w:p>
            <w:pPr>
              <w:pStyle w:val="96"/>
              <w:spacing w:before="140"/>
              <w:ind w:left="3595" w:right="3589"/>
              <w:jc w:val="center"/>
              <w:rPr>
                <w:color w:val="auto"/>
                <w:highlight w:val="none"/>
              </w:rPr>
            </w:pPr>
            <w:r>
              <w:rPr>
                <w:color w:val="auto"/>
                <w:highlight w:val="none"/>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68" w:type="dxa"/>
            <w:noWrap w:val="0"/>
            <w:vAlign w:val="top"/>
          </w:tcPr>
          <w:p>
            <w:pPr>
              <w:pStyle w:val="96"/>
              <w:rPr>
                <w:rFonts w:ascii="Times New Roman"/>
                <w:color w:val="auto"/>
                <w:sz w:val="20"/>
                <w:highlight w:val="none"/>
              </w:rPr>
            </w:pPr>
          </w:p>
        </w:tc>
        <w:tc>
          <w:tcPr>
            <w:tcW w:w="8284"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68" w:type="dxa"/>
            <w:noWrap w:val="0"/>
            <w:vAlign w:val="top"/>
          </w:tcPr>
          <w:p>
            <w:pPr>
              <w:pStyle w:val="96"/>
              <w:rPr>
                <w:rFonts w:ascii="Times New Roman"/>
                <w:color w:val="auto"/>
                <w:sz w:val="20"/>
                <w:highlight w:val="none"/>
              </w:rPr>
            </w:pPr>
          </w:p>
        </w:tc>
        <w:tc>
          <w:tcPr>
            <w:tcW w:w="8284"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68" w:type="dxa"/>
            <w:noWrap w:val="0"/>
            <w:vAlign w:val="top"/>
          </w:tcPr>
          <w:p>
            <w:pPr>
              <w:pStyle w:val="96"/>
              <w:rPr>
                <w:rFonts w:ascii="Times New Roman"/>
                <w:color w:val="auto"/>
                <w:sz w:val="20"/>
                <w:highlight w:val="none"/>
              </w:rPr>
            </w:pPr>
          </w:p>
        </w:tc>
        <w:tc>
          <w:tcPr>
            <w:tcW w:w="8284"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68" w:type="dxa"/>
            <w:noWrap w:val="0"/>
            <w:vAlign w:val="top"/>
          </w:tcPr>
          <w:p>
            <w:pPr>
              <w:pStyle w:val="96"/>
              <w:rPr>
                <w:rFonts w:ascii="Times New Roman"/>
                <w:color w:val="auto"/>
                <w:sz w:val="20"/>
                <w:highlight w:val="none"/>
              </w:rPr>
            </w:pPr>
          </w:p>
        </w:tc>
        <w:tc>
          <w:tcPr>
            <w:tcW w:w="8284"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68" w:type="dxa"/>
            <w:noWrap w:val="0"/>
            <w:vAlign w:val="top"/>
          </w:tcPr>
          <w:p>
            <w:pPr>
              <w:pStyle w:val="96"/>
              <w:rPr>
                <w:rFonts w:ascii="Times New Roman"/>
                <w:color w:val="auto"/>
                <w:sz w:val="20"/>
                <w:highlight w:val="none"/>
              </w:rPr>
            </w:pPr>
          </w:p>
        </w:tc>
        <w:tc>
          <w:tcPr>
            <w:tcW w:w="8284" w:type="dxa"/>
            <w:noWrap w:val="0"/>
            <w:vAlign w:val="top"/>
          </w:tcPr>
          <w:p>
            <w:pPr>
              <w:pStyle w:val="96"/>
              <w:rPr>
                <w:rFonts w:ascii="Times New Roman"/>
                <w:color w:val="auto"/>
                <w:sz w:val="20"/>
                <w:highlight w:val="none"/>
              </w:rPr>
            </w:pPr>
          </w:p>
        </w:tc>
      </w:tr>
    </w:tbl>
    <w:p>
      <w:pPr>
        <w:pStyle w:val="15"/>
        <w:spacing w:before="6"/>
        <w:rPr>
          <w:color w:val="auto"/>
          <w:highlight w:val="none"/>
        </w:rPr>
      </w:pPr>
    </w:p>
    <w:p>
      <w:pPr>
        <w:pStyle w:val="15"/>
        <w:spacing w:before="1"/>
        <w:ind w:left="898"/>
        <w:rPr>
          <w:color w:val="auto"/>
          <w:highlight w:val="none"/>
        </w:rPr>
      </w:pPr>
      <w:r>
        <w:rPr>
          <w:color w:val="auto"/>
          <w:highlight w:val="none"/>
        </w:rPr>
        <w:t>二、推荐的定标候选人及主要投标内容：</w:t>
      </w:r>
    </w:p>
    <w:tbl>
      <w:tblPr>
        <w:tblStyle w:val="38"/>
        <w:tblpPr w:leftFromText="180" w:rightFromText="180" w:vertAnchor="text" w:horzAnchor="page" w:tblpX="1249" w:tblpY="453"/>
        <w:tblOverlap w:val="never"/>
        <w:tblW w:w="10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6"/>
        <w:gridCol w:w="1216"/>
        <w:gridCol w:w="1064"/>
        <w:gridCol w:w="912"/>
        <w:gridCol w:w="912"/>
        <w:gridCol w:w="912"/>
        <w:gridCol w:w="912"/>
        <w:gridCol w:w="913"/>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2886" w:type="dxa"/>
            <w:tcBorders>
              <w:tl2br w:val="single" w:color="000000" w:sz="4" w:space="0"/>
            </w:tcBorders>
            <w:noWrap w:val="0"/>
            <w:vAlign w:val="top"/>
          </w:tcPr>
          <w:p>
            <w:pPr>
              <w:pStyle w:val="96"/>
              <w:rPr>
                <w:color w:val="auto"/>
                <w:sz w:val="20"/>
                <w:highlight w:val="none"/>
              </w:rPr>
            </w:pPr>
          </w:p>
          <w:p>
            <w:pPr>
              <w:pStyle w:val="96"/>
              <w:spacing w:before="4"/>
              <w:rPr>
                <w:color w:val="auto"/>
                <w:sz w:val="22"/>
                <w:highlight w:val="none"/>
              </w:rPr>
            </w:pPr>
          </w:p>
          <w:p>
            <w:pPr>
              <w:pStyle w:val="96"/>
              <w:ind w:left="1366"/>
              <w:rPr>
                <w:color w:val="auto"/>
                <w:highlight w:val="none"/>
              </w:rPr>
            </w:pPr>
            <w:r>
              <w:rPr>
                <w:color w:val="auto"/>
                <w:highlight w:val="none"/>
              </w:rPr>
              <w:t>投标主要内容</w:t>
            </w:r>
          </w:p>
          <w:p>
            <w:pPr>
              <w:pStyle w:val="96"/>
              <w:rPr>
                <w:color w:val="auto"/>
                <w:sz w:val="20"/>
                <w:highlight w:val="none"/>
              </w:rPr>
            </w:pPr>
          </w:p>
          <w:p>
            <w:pPr>
              <w:pStyle w:val="96"/>
              <w:rPr>
                <w:color w:val="auto"/>
                <w:sz w:val="20"/>
                <w:highlight w:val="none"/>
              </w:rPr>
            </w:pPr>
          </w:p>
          <w:p>
            <w:pPr>
              <w:pStyle w:val="96"/>
              <w:spacing w:before="10"/>
              <w:rPr>
                <w:color w:val="auto"/>
                <w:sz w:val="22"/>
                <w:highlight w:val="none"/>
              </w:rPr>
            </w:pPr>
          </w:p>
          <w:p>
            <w:pPr>
              <w:pStyle w:val="96"/>
              <w:ind w:left="106"/>
              <w:rPr>
                <w:color w:val="auto"/>
                <w:highlight w:val="none"/>
              </w:rPr>
            </w:pPr>
            <w:r>
              <w:rPr>
                <w:color w:val="auto"/>
                <w:highlight w:val="none"/>
              </w:rPr>
              <w:t>定标候选人名称</w:t>
            </w:r>
          </w:p>
        </w:tc>
        <w:tc>
          <w:tcPr>
            <w:tcW w:w="1216" w:type="dxa"/>
            <w:noWrap w:val="0"/>
            <w:vAlign w:val="top"/>
          </w:tcPr>
          <w:p>
            <w:pPr>
              <w:pStyle w:val="96"/>
              <w:rPr>
                <w:color w:val="auto"/>
                <w:sz w:val="20"/>
                <w:highlight w:val="none"/>
              </w:rPr>
            </w:pPr>
          </w:p>
          <w:p>
            <w:pPr>
              <w:pStyle w:val="96"/>
              <w:rPr>
                <w:color w:val="auto"/>
                <w:sz w:val="20"/>
                <w:highlight w:val="none"/>
              </w:rPr>
            </w:pPr>
          </w:p>
          <w:p>
            <w:pPr>
              <w:pStyle w:val="96"/>
              <w:spacing w:before="166" w:line="242" w:lineRule="auto"/>
              <w:ind w:left="396" w:right="178" w:hanging="210"/>
              <w:rPr>
                <w:color w:val="auto"/>
                <w:highlight w:val="none"/>
              </w:rPr>
            </w:pPr>
            <w:r>
              <w:rPr>
                <w:color w:val="auto"/>
                <w:spacing w:val="-5"/>
                <w:highlight w:val="none"/>
              </w:rPr>
              <w:t>投标报价</w:t>
            </w:r>
            <w:r>
              <w:rPr>
                <w:color w:val="auto"/>
                <w:highlight w:val="none"/>
              </w:rPr>
              <w:t>总价</w:t>
            </w:r>
          </w:p>
          <w:p>
            <w:pPr>
              <w:pStyle w:val="96"/>
              <w:ind w:left="291"/>
              <w:rPr>
                <w:color w:val="auto"/>
                <w:highlight w:val="none"/>
              </w:rPr>
            </w:pPr>
            <w:r>
              <w:rPr>
                <w:color w:val="auto"/>
                <w:highlight w:val="none"/>
              </w:rPr>
              <w:t>（元）</w:t>
            </w:r>
          </w:p>
        </w:tc>
        <w:tc>
          <w:tcPr>
            <w:tcW w:w="1064" w:type="dxa"/>
            <w:noWrap w:val="0"/>
            <w:vAlign w:val="top"/>
          </w:tcPr>
          <w:p>
            <w:pPr>
              <w:pStyle w:val="96"/>
              <w:rPr>
                <w:color w:val="auto"/>
                <w:sz w:val="20"/>
                <w:highlight w:val="none"/>
              </w:rPr>
            </w:pPr>
          </w:p>
          <w:p>
            <w:pPr>
              <w:pStyle w:val="96"/>
              <w:rPr>
                <w:color w:val="auto"/>
                <w:sz w:val="20"/>
                <w:highlight w:val="none"/>
              </w:rPr>
            </w:pPr>
          </w:p>
          <w:p>
            <w:pPr>
              <w:pStyle w:val="96"/>
              <w:spacing w:before="7"/>
              <w:rPr>
                <w:color w:val="auto"/>
                <w:sz w:val="23"/>
                <w:highlight w:val="none"/>
              </w:rPr>
            </w:pPr>
          </w:p>
          <w:p>
            <w:pPr>
              <w:pStyle w:val="96"/>
              <w:spacing w:line="242" w:lineRule="auto"/>
              <w:ind w:left="214" w:right="102" w:hanging="105"/>
              <w:rPr>
                <w:color w:val="auto"/>
                <w:highlight w:val="none"/>
              </w:rPr>
            </w:pPr>
            <w:r>
              <w:rPr>
                <w:color w:val="auto"/>
                <w:highlight w:val="none"/>
              </w:rPr>
              <w:t>工期（日历天）</w:t>
            </w:r>
          </w:p>
        </w:tc>
        <w:tc>
          <w:tcPr>
            <w:tcW w:w="912" w:type="dxa"/>
            <w:noWrap w:val="0"/>
            <w:vAlign w:val="top"/>
          </w:tcPr>
          <w:p>
            <w:pPr>
              <w:pStyle w:val="96"/>
              <w:rPr>
                <w:color w:val="auto"/>
                <w:sz w:val="20"/>
                <w:highlight w:val="none"/>
              </w:rPr>
            </w:pPr>
          </w:p>
          <w:p>
            <w:pPr>
              <w:pStyle w:val="96"/>
              <w:rPr>
                <w:color w:val="auto"/>
                <w:sz w:val="20"/>
                <w:highlight w:val="none"/>
              </w:rPr>
            </w:pPr>
          </w:p>
          <w:p>
            <w:pPr>
              <w:pStyle w:val="96"/>
              <w:spacing w:before="7"/>
              <w:rPr>
                <w:color w:val="auto"/>
                <w:sz w:val="23"/>
                <w:highlight w:val="none"/>
              </w:rPr>
            </w:pPr>
          </w:p>
          <w:p>
            <w:pPr>
              <w:pStyle w:val="96"/>
              <w:spacing w:line="242" w:lineRule="auto"/>
              <w:ind w:left="347" w:right="132" w:hanging="210"/>
              <w:rPr>
                <w:color w:val="auto"/>
                <w:highlight w:val="none"/>
              </w:rPr>
            </w:pPr>
            <w:r>
              <w:rPr>
                <w:color w:val="auto"/>
                <w:highlight w:val="none"/>
              </w:rPr>
              <w:t>质量标准</w:t>
            </w:r>
          </w:p>
        </w:tc>
        <w:tc>
          <w:tcPr>
            <w:tcW w:w="912" w:type="dxa"/>
            <w:noWrap w:val="0"/>
            <w:vAlign w:val="top"/>
          </w:tcPr>
          <w:p>
            <w:pPr>
              <w:pStyle w:val="96"/>
              <w:rPr>
                <w:color w:val="auto"/>
                <w:sz w:val="20"/>
                <w:highlight w:val="none"/>
              </w:rPr>
            </w:pPr>
          </w:p>
          <w:p>
            <w:pPr>
              <w:pStyle w:val="96"/>
              <w:rPr>
                <w:color w:val="auto"/>
                <w:sz w:val="20"/>
                <w:highlight w:val="none"/>
              </w:rPr>
            </w:pPr>
          </w:p>
          <w:p>
            <w:pPr>
              <w:pStyle w:val="96"/>
              <w:spacing w:before="7"/>
              <w:rPr>
                <w:color w:val="auto"/>
                <w:sz w:val="23"/>
                <w:highlight w:val="none"/>
              </w:rPr>
            </w:pPr>
          </w:p>
          <w:p>
            <w:pPr>
              <w:pStyle w:val="96"/>
              <w:spacing w:line="242" w:lineRule="auto"/>
              <w:ind w:left="242" w:right="133" w:hanging="106"/>
              <w:rPr>
                <w:color w:val="auto"/>
                <w:highlight w:val="none"/>
              </w:rPr>
            </w:pPr>
            <w:r>
              <w:rPr>
                <w:color w:val="auto"/>
                <w:highlight w:val="none"/>
              </w:rPr>
              <w:t>项目负责人</w:t>
            </w:r>
          </w:p>
        </w:tc>
        <w:tc>
          <w:tcPr>
            <w:tcW w:w="912" w:type="dxa"/>
            <w:noWrap w:val="0"/>
            <w:vAlign w:val="center"/>
          </w:tcPr>
          <w:p>
            <w:pPr>
              <w:wordWrap w:val="0"/>
              <w:adjustRightInd w:val="0"/>
              <w:spacing w:line="0" w:lineRule="atLeast"/>
              <w:jc w:val="center"/>
              <w:textAlignment w:val="baseline"/>
              <w:rPr>
                <w:color w:val="auto"/>
                <w:highlight w:val="none"/>
              </w:rPr>
            </w:pPr>
            <w:r>
              <w:rPr>
                <w:rFonts w:hint="eastAsia" w:ascii="宋体" w:hAnsi="宋体" w:cs="宋体"/>
                <w:color w:val="auto"/>
                <w:sz w:val="21"/>
                <w:szCs w:val="21"/>
                <w:highlight w:val="none"/>
              </w:rPr>
              <w:t>项目经理姓名、证书及编号</w:t>
            </w:r>
          </w:p>
        </w:tc>
        <w:tc>
          <w:tcPr>
            <w:tcW w:w="912" w:type="dxa"/>
            <w:noWrap w:val="0"/>
            <w:vAlign w:val="center"/>
          </w:tcPr>
          <w:p>
            <w:pPr>
              <w:wordWrap w:val="0"/>
              <w:adjustRightInd w:val="0"/>
              <w:spacing w:line="0" w:lineRule="atLeast"/>
              <w:jc w:val="center"/>
              <w:textAlignment w:val="baseline"/>
              <w:rPr>
                <w:color w:val="auto"/>
                <w:highlight w:val="none"/>
              </w:rPr>
            </w:pPr>
            <w:r>
              <w:rPr>
                <w:rFonts w:hint="eastAsia" w:ascii="宋体" w:hAnsi="宋体" w:cs="宋体"/>
                <w:color w:val="auto"/>
                <w:sz w:val="21"/>
                <w:szCs w:val="21"/>
                <w:highlight w:val="none"/>
              </w:rPr>
              <w:t>技术负责人、证书及编号</w:t>
            </w:r>
          </w:p>
        </w:tc>
        <w:tc>
          <w:tcPr>
            <w:tcW w:w="913" w:type="dxa"/>
            <w:noWrap w:val="0"/>
            <w:vAlign w:val="top"/>
          </w:tcPr>
          <w:p>
            <w:pPr>
              <w:pStyle w:val="96"/>
              <w:rPr>
                <w:color w:val="auto"/>
                <w:highlight w:val="none"/>
              </w:rPr>
            </w:pPr>
          </w:p>
          <w:p>
            <w:pPr>
              <w:pStyle w:val="96"/>
              <w:spacing w:line="242" w:lineRule="auto"/>
              <w:ind w:left="134" w:right="136"/>
              <w:rPr>
                <w:color w:val="auto"/>
                <w:highlight w:val="none"/>
              </w:rPr>
            </w:pPr>
            <w:r>
              <w:rPr>
                <w:color w:val="auto"/>
                <w:spacing w:val="-6"/>
                <w:highlight w:val="none"/>
              </w:rPr>
              <w:t>定标候选人的类似工程业绩</w:t>
            </w:r>
          </w:p>
          <w:p>
            <w:pPr>
              <w:pStyle w:val="96"/>
              <w:spacing w:before="2" w:line="242" w:lineRule="auto"/>
              <w:ind w:left="238" w:right="136" w:hanging="105"/>
              <w:rPr>
                <w:color w:val="auto"/>
                <w:highlight w:val="none"/>
              </w:rPr>
            </w:pPr>
            <w:r>
              <w:rPr>
                <w:color w:val="auto"/>
                <w:highlight w:val="none"/>
              </w:rPr>
              <w:t>（</w:t>
            </w:r>
            <w:r>
              <w:rPr>
                <w:color w:val="auto"/>
                <w:spacing w:val="-8"/>
                <w:highlight w:val="none"/>
              </w:rPr>
              <w:t>如有</w:t>
            </w:r>
            <w:r>
              <w:rPr>
                <w:color w:val="auto"/>
                <w:highlight w:val="none"/>
              </w:rPr>
              <w:t>时）</w:t>
            </w:r>
          </w:p>
        </w:tc>
        <w:tc>
          <w:tcPr>
            <w:tcW w:w="913" w:type="dxa"/>
            <w:noWrap w:val="0"/>
            <w:vAlign w:val="center"/>
          </w:tcPr>
          <w:p>
            <w:pPr>
              <w:pStyle w:val="96"/>
              <w:spacing w:before="2" w:line="242" w:lineRule="auto"/>
              <w:ind w:left="238" w:right="136" w:hanging="105"/>
              <w:jc w:val="center"/>
              <w:rPr>
                <w:color w:val="auto"/>
                <w:highlight w:val="none"/>
              </w:rPr>
            </w:pPr>
            <w:r>
              <w:rPr>
                <w:rFonts w:hint="eastAsia"/>
                <w:color w:val="auto"/>
                <w:highlight w:val="none"/>
                <w:lang w:val="en-US" w:eastAsia="zh-CN"/>
              </w:rPr>
              <w:t>企业及人员</w:t>
            </w:r>
            <w:r>
              <w:rPr>
                <w:rFonts w:hint="eastAsia"/>
                <w:color w:val="auto"/>
                <w:highlight w:val="none"/>
              </w:rPr>
              <w:t>信用分享用情况</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886" w:type="dxa"/>
            <w:noWrap w:val="0"/>
            <w:vAlign w:val="top"/>
          </w:tcPr>
          <w:p>
            <w:pPr>
              <w:pStyle w:val="96"/>
              <w:rPr>
                <w:rFonts w:ascii="Times New Roman"/>
                <w:color w:val="auto"/>
                <w:sz w:val="20"/>
                <w:highlight w:val="none"/>
              </w:rPr>
            </w:pPr>
          </w:p>
        </w:tc>
        <w:tc>
          <w:tcPr>
            <w:tcW w:w="1216" w:type="dxa"/>
            <w:noWrap w:val="0"/>
            <w:vAlign w:val="top"/>
          </w:tcPr>
          <w:p>
            <w:pPr>
              <w:pStyle w:val="96"/>
              <w:rPr>
                <w:rFonts w:ascii="Times New Roman"/>
                <w:color w:val="auto"/>
                <w:sz w:val="20"/>
                <w:highlight w:val="none"/>
              </w:rPr>
            </w:pPr>
          </w:p>
        </w:tc>
        <w:tc>
          <w:tcPr>
            <w:tcW w:w="1064"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886" w:type="dxa"/>
            <w:noWrap w:val="0"/>
            <w:vAlign w:val="top"/>
          </w:tcPr>
          <w:p>
            <w:pPr>
              <w:pStyle w:val="96"/>
              <w:rPr>
                <w:rFonts w:ascii="Times New Roman"/>
                <w:color w:val="auto"/>
                <w:sz w:val="20"/>
                <w:highlight w:val="none"/>
              </w:rPr>
            </w:pPr>
          </w:p>
        </w:tc>
        <w:tc>
          <w:tcPr>
            <w:tcW w:w="1216" w:type="dxa"/>
            <w:noWrap w:val="0"/>
            <w:vAlign w:val="top"/>
          </w:tcPr>
          <w:p>
            <w:pPr>
              <w:pStyle w:val="96"/>
              <w:rPr>
                <w:rFonts w:ascii="Times New Roman"/>
                <w:color w:val="auto"/>
                <w:sz w:val="20"/>
                <w:highlight w:val="none"/>
              </w:rPr>
            </w:pPr>
          </w:p>
        </w:tc>
        <w:tc>
          <w:tcPr>
            <w:tcW w:w="1064"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886" w:type="dxa"/>
            <w:noWrap w:val="0"/>
            <w:vAlign w:val="top"/>
          </w:tcPr>
          <w:p>
            <w:pPr>
              <w:pStyle w:val="96"/>
              <w:rPr>
                <w:rFonts w:ascii="Times New Roman"/>
                <w:color w:val="auto"/>
                <w:sz w:val="20"/>
                <w:highlight w:val="none"/>
              </w:rPr>
            </w:pPr>
          </w:p>
        </w:tc>
        <w:tc>
          <w:tcPr>
            <w:tcW w:w="1216" w:type="dxa"/>
            <w:noWrap w:val="0"/>
            <w:vAlign w:val="top"/>
          </w:tcPr>
          <w:p>
            <w:pPr>
              <w:pStyle w:val="96"/>
              <w:rPr>
                <w:rFonts w:ascii="Times New Roman"/>
                <w:color w:val="auto"/>
                <w:sz w:val="20"/>
                <w:highlight w:val="none"/>
              </w:rPr>
            </w:pPr>
          </w:p>
        </w:tc>
        <w:tc>
          <w:tcPr>
            <w:tcW w:w="1064"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886" w:type="dxa"/>
            <w:noWrap w:val="0"/>
            <w:vAlign w:val="top"/>
          </w:tcPr>
          <w:p>
            <w:pPr>
              <w:pStyle w:val="96"/>
              <w:rPr>
                <w:rFonts w:ascii="Times New Roman"/>
                <w:color w:val="auto"/>
                <w:sz w:val="20"/>
                <w:highlight w:val="none"/>
              </w:rPr>
            </w:pPr>
          </w:p>
        </w:tc>
        <w:tc>
          <w:tcPr>
            <w:tcW w:w="1216" w:type="dxa"/>
            <w:noWrap w:val="0"/>
            <w:vAlign w:val="top"/>
          </w:tcPr>
          <w:p>
            <w:pPr>
              <w:pStyle w:val="96"/>
              <w:rPr>
                <w:rFonts w:ascii="Times New Roman"/>
                <w:color w:val="auto"/>
                <w:sz w:val="20"/>
                <w:highlight w:val="none"/>
              </w:rPr>
            </w:pPr>
          </w:p>
        </w:tc>
        <w:tc>
          <w:tcPr>
            <w:tcW w:w="1064"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886" w:type="dxa"/>
            <w:noWrap w:val="0"/>
            <w:vAlign w:val="top"/>
          </w:tcPr>
          <w:p>
            <w:pPr>
              <w:pStyle w:val="96"/>
              <w:rPr>
                <w:rFonts w:ascii="Times New Roman"/>
                <w:color w:val="auto"/>
                <w:sz w:val="20"/>
                <w:highlight w:val="none"/>
              </w:rPr>
            </w:pPr>
          </w:p>
        </w:tc>
        <w:tc>
          <w:tcPr>
            <w:tcW w:w="1216" w:type="dxa"/>
            <w:noWrap w:val="0"/>
            <w:vAlign w:val="top"/>
          </w:tcPr>
          <w:p>
            <w:pPr>
              <w:pStyle w:val="96"/>
              <w:rPr>
                <w:rFonts w:ascii="Times New Roman"/>
                <w:color w:val="auto"/>
                <w:sz w:val="20"/>
                <w:highlight w:val="none"/>
              </w:rPr>
            </w:pPr>
          </w:p>
        </w:tc>
        <w:tc>
          <w:tcPr>
            <w:tcW w:w="1064"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2"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c>
          <w:tcPr>
            <w:tcW w:w="913" w:type="dxa"/>
            <w:noWrap w:val="0"/>
            <w:vAlign w:val="top"/>
          </w:tcPr>
          <w:p>
            <w:pPr>
              <w:pStyle w:val="96"/>
              <w:rPr>
                <w:rFonts w:ascii="Times New Roman"/>
                <w:color w:val="auto"/>
                <w:sz w:val="20"/>
                <w:highlight w:val="none"/>
              </w:rPr>
            </w:pPr>
          </w:p>
        </w:tc>
      </w:tr>
    </w:tbl>
    <w:p>
      <w:pPr>
        <w:pStyle w:val="15"/>
        <w:spacing w:before="11" w:after="1"/>
        <w:rPr>
          <w:color w:val="auto"/>
          <w:sz w:val="10"/>
          <w:highlight w:val="none"/>
        </w:rPr>
      </w:pPr>
    </w:p>
    <w:p>
      <w:pPr>
        <w:pStyle w:val="15"/>
        <w:rPr>
          <w:color w:val="auto"/>
          <w:sz w:val="20"/>
          <w:highlight w:val="none"/>
        </w:rPr>
      </w:pPr>
    </w:p>
    <w:p>
      <w:pPr>
        <w:pStyle w:val="15"/>
        <w:numPr>
          <w:ilvl w:val="0"/>
          <w:numId w:val="9"/>
        </w:numPr>
        <w:tabs>
          <w:tab w:val="left" w:pos="10252"/>
        </w:tabs>
        <w:autoSpaceDE/>
        <w:autoSpaceDN/>
        <w:adjustRightInd/>
        <w:spacing w:before="60" w:line="365" w:lineRule="auto"/>
        <w:ind w:right="488" w:firstLine="420" w:firstLineChars="200"/>
        <w:rPr>
          <w:rFonts w:ascii="Times New Roman" w:eastAsia="Times New Roman"/>
          <w:color w:val="auto"/>
          <w:sz w:val="21"/>
          <w:szCs w:val="21"/>
          <w:highlight w:val="none"/>
          <w:u w:val="single"/>
        </w:rPr>
      </w:pPr>
      <w:r>
        <w:rPr>
          <w:color w:val="auto"/>
          <w:sz w:val="21"/>
          <w:szCs w:val="21"/>
          <w:highlight w:val="none"/>
        </w:rPr>
        <w:t>否决其投标的投标人及原因：</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rPr>
        <w:t xml:space="preserve">                             </w:t>
      </w:r>
    </w:p>
    <w:p>
      <w:pPr>
        <w:pStyle w:val="15"/>
        <w:numPr>
          <w:ilvl w:val="0"/>
          <w:numId w:val="9"/>
        </w:numPr>
        <w:tabs>
          <w:tab w:val="left" w:pos="10252"/>
        </w:tabs>
        <w:autoSpaceDE/>
        <w:autoSpaceDN/>
        <w:adjustRightInd/>
        <w:spacing w:before="60" w:line="365" w:lineRule="auto"/>
        <w:ind w:right="488" w:firstLine="420" w:firstLineChars="200"/>
        <w:rPr>
          <w:color w:val="auto"/>
          <w:sz w:val="21"/>
          <w:szCs w:val="21"/>
          <w:highlight w:val="none"/>
        </w:rPr>
      </w:pPr>
      <w:r>
        <w:rPr>
          <w:color w:val="auto"/>
          <w:sz w:val="21"/>
          <w:szCs w:val="21"/>
          <w:highlight w:val="none"/>
        </w:rPr>
        <w:t>资格审查委员会对投标报价给予修正的原因、依据和修正结果（如有时）：</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ascii="Times New Roman" w:eastAsia="Times New Roman"/>
          <w:color w:val="auto"/>
          <w:sz w:val="21"/>
          <w:szCs w:val="21"/>
          <w:highlight w:val="none"/>
          <w:u w:val="single"/>
        </w:rPr>
        <w:t xml:space="preserve">                                                             </w:t>
      </w:r>
    </w:p>
    <w:p>
      <w:pPr>
        <w:pStyle w:val="15"/>
        <w:numPr>
          <w:ilvl w:val="0"/>
          <w:numId w:val="9"/>
        </w:numPr>
        <w:tabs>
          <w:tab w:val="left" w:pos="10252"/>
        </w:tabs>
        <w:autoSpaceDE/>
        <w:autoSpaceDN/>
        <w:adjustRightInd/>
        <w:spacing w:before="60" w:line="365" w:lineRule="auto"/>
        <w:ind w:right="488" w:firstLine="420" w:firstLineChars="200"/>
        <w:rPr>
          <w:color w:val="auto"/>
          <w:sz w:val="21"/>
          <w:szCs w:val="21"/>
          <w:highlight w:val="none"/>
        </w:rPr>
      </w:pPr>
      <w:r>
        <w:rPr>
          <w:color w:val="auto"/>
          <w:sz w:val="21"/>
          <w:szCs w:val="21"/>
          <w:highlight w:val="none"/>
        </w:rPr>
        <w:t>资格审查委员会成员名单：</w:t>
      </w:r>
      <w:r>
        <w:rPr>
          <w:rFonts w:hint="eastAsia"/>
          <w:color w:val="auto"/>
          <w:sz w:val="21"/>
          <w:szCs w:val="21"/>
          <w:highlight w:val="none"/>
          <w:u w:val="single"/>
        </w:rPr>
        <w:t xml:space="preserve">                       </w:t>
      </w:r>
    </w:p>
    <w:p>
      <w:pPr>
        <w:pStyle w:val="15"/>
        <w:numPr>
          <w:ilvl w:val="0"/>
          <w:numId w:val="9"/>
        </w:numPr>
        <w:tabs>
          <w:tab w:val="left" w:pos="10252"/>
        </w:tabs>
        <w:autoSpaceDE/>
        <w:autoSpaceDN/>
        <w:adjustRightInd/>
        <w:spacing w:before="60" w:line="365" w:lineRule="auto"/>
        <w:ind w:right="488" w:firstLine="420" w:firstLineChars="200"/>
        <w:rPr>
          <w:color w:val="auto"/>
          <w:sz w:val="21"/>
          <w:szCs w:val="21"/>
          <w:highlight w:val="none"/>
        </w:rPr>
      </w:pPr>
      <w:r>
        <w:rPr>
          <w:color w:val="auto"/>
          <w:sz w:val="21"/>
          <w:szCs w:val="21"/>
          <w:highlight w:val="none"/>
        </w:rPr>
        <w:t>公示时间</w:t>
      </w:r>
      <w:r>
        <w:rPr>
          <w:color w:val="auto"/>
          <w:spacing w:val="4"/>
          <w:sz w:val="21"/>
          <w:szCs w:val="21"/>
          <w:highlight w:val="none"/>
        </w:rPr>
        <w:t>：</w:t>
      </w:r>
      <w:r>
        <w:rPr>
          <w:color w:val="auto"/>
          <w:spacing w:val="5"/>
          <w:sz w:val="21"/>
          <w:szCs w:val="21"/>
          <w:highlight w:val="none"/>
          <w:u w:val="single"/>
        </w:rPr>
        <w:t xml:space="preserve"> </w:t>
      </w:r>
      <w:r>
        <w:rPr>
          <w:rFonts w:hint="eastAsia"/>
          <w:color w:val="auto"/>
          <w:spacing w:val="5"/>
          <w:sz w:val="21"/>
          <w:szCs w:val="21"/>
          <w:highlight w:val="none"/>
          <w:u w:val="single"/>
          <w:lang w:val="en-US" w:eastAsia="zh-CN"/>
        </w:rPr>
        <w:t xml:space="preserve">  </w:t>
      </w:r>
      <w:r>
        <w:rPr>
          <w:color w:val="auto"/>
          <w:spacing w:val="3"/>
          <w:sz w:val="21"/>
          <w:szCs w:val="21"/>
          <w:highlight w:val="none"/>
        </w:rPr>
        <w:t>年</w:t>
      </w:r>
      <w:r>
        <w:rPr>
          <w:color w:val="auto"/>
          <w:spacing w:val="6"/>
          <w:sz w:val="21"/>
          <w:szCs w:val="21"/>
          <w:highlight w:val="none"/>
          <w:u w:val="single"/>
        </w:rPr>
        <w:t xml:space="preserve"> </w:t>
      </w:r>
      <w:r>
        <w:rPr>
          <w:rFonts w:hint="eastAsia"/>
          <w:color w:val="auto"/>
          <w:spacing w:val="6"/>
          <w:sz w:val="21"/>
          <w:szCs w:val="21"/>
          <w:highlight w:val="none"/>
          <w:u w:val="single"/>
          <w:lang w:val="en-US" w:eastAsia="zh-CN"/>
        </w:rPr>
        <w:t xml:space="preserve">  </w:t>
      </w:r>
      <w:r>
        <w:rPr>
          <w:color w:val="auto"/>
          <w:spacing w:val="3"/>
          <w:sz w:val="21"/>
          <w:szCs w:val="21"/>
          <w:highlight w:val="none"/>
        </w:rPr>
        <w:t>月</w:t>
      </w:r>
      <w:r>
        <w:rPr>
          <w:color w:val="auto"/>
          <w:spacing w:val="7"/>
          <w:sz w:val="21"/>
          <w:szCs w:val="21"/>
          <w:highlight w:val="none"/>
          <w:u w:val="single"/>
        </w:rPr>
        <w:t xml:space="preserve"> </w:t>
      </w:r>
      <w:r>
        <w:rPr>
          <w:rFonts w:hint="eastAsia"/>
          <w:color w:val="auto"/>
          <w:spacing w:val="7"/>
          <w:sz w:val="21"/>
          <w:szCs w:val="21"/>
          <w:highlight w:val="none"/>
          <w:u w:val="single"/>
          <w:lang w:val="en-US" w:eastAsia="zh-CN"/>
        </w:rPr>
        <w:t xml:space="preserve">  </w:t>
      </w:r>
      <w:r>
        <w:rPr>
          <w:color w:val="auto"/>
          <w:sz w:val="21"/>
          <w:szCs w:val="21"/>
          <w:highlight w:val="none"/>
        </w:rPr>
        <w:t>日至</w:t>
      </w:r>
      <w:r>
        <w:rPr>
          <w:color w:val="auto"/>
          <w:spacing w:val="19"/>
          <w:sz w:val="21"/>
          <w:szCs w:val="21"/>
          <w:highlight w:val="none"/>
          <w:u w:val="single"/>
        </w:rPr>
        <w:t xml:space="preserve"> </w:t>
      </w:r>
      <w:r>
        <w:rPr>
          <w:rFonts w:hint="eastAsia"/>
          <w:color w:val="auto"/>
          <w:spacing w:val="19"/>
          <w:sz w:val="21"/>
          <w:szCs w:val="21"/>
          <w:highlight w:val="none"/>
          <w:u w:val="single"/>
          <w:lang w:val="en-US" w:eastAsia="zh-CN"/>
        </w:rPr>
        <w:t xml:space="preserve">  </w:t>
      </w:r>
      <w:r>
        <w:rPr>
          <w:color w:val="auto"/>
          <w:sz w:val="21"/>
          <w:szCs w:val="21"/>
          <w:highlight w:val="none"/>
        </w:rPr>
        <w:t>年</w:t>
      </w:r>
      <w:r>
        <w:rPr>
          <w:color w:val="auto"/>
          <w:spacing w:val="14"/>
          <w:sz w:val="21"/>
          <w:szCs w:val="21"/>
          <w:highlight w:val="none"/>
          <w:u w:val="single"/>
        </w:rPr>
        <w:t xml:space="preserve"> </w:t>
      </w:r>
      <w:r>
        <w:rPr>
          <w:rFonts w:hint="eastAsia"/>
          <w:color w:val="auto"/>
          <w:spacing w:val="14"/>
          <w:sz w:val="21"/>
          <w:szCs w:val="21"/>
          <w:highlight w:val="none"/>
          <w:u w:val="single"/>
          <w:lang w:val="en-US" w:eastAsia="zh-CN"/>
        </w:rPr>
        <w:t xml:space="preserve">  </w:t>
      </w:r>
      <w:r>
        <w:rPr>
          <w:color w:val="auto"/>
          <w:sz w:val="21"/>
          <w:szCs w:val="21"/>
          <w:highlight w:val="none"/>
        </w:rPr>
        <w:t>月</w:t>
      </w:r>
      <w:r>
        <w:rPr>
          <w:color w:val="auto"/>
          <w:spacing w:val="15"/>
          <w:sz w:val="21"/>
          <w:szCs w:val="21"/>
          <w:highlight w:val="none"/>
          <w:u w:val="single"/>
        </w:rPr>
        <w:t xml:space="preserve"> </w:t>
      </w:r>
      <w:r>
        <w:rPr>
          <w:rFonts w:hint="eastAsia"/>
          <w:color w:val="auto"/>
          <w:spacing w:val="15"/>
          <w:sz w:val="21"/>
          <w:szCs w:val="21"/>
          <w:highlight w:val="none"/>
          <w:u w:val="single"/>
          <w:lang w:val="en-US" w:eastAsia="zh-CN"/>
        </w:rPr>
        <w:t xml:space="preserve">  </w:t>
      </w:r>
      <w:r>
        <w:rPr>
          <w:color w:val="auto"/>
          <w:sz w:val="21"/>
          <w:szCs w:val="21"/>
          <w:highlight w:val="none"/>
        </w:rPr>
        <w:t>日。投标人或者其他利害关系人对评标结果有异议的，应当在公示期间书面向招标人提出。</w:t>
      </w:r>
    </w:p>
    <w:p>
      <w:pPr>
        <w:pStyle w:val="15"/>
        <w:numPr>
          <w:ilvl w:val="0"/>
          <w:numId w:val="9"/>
        </w:numPr>
        <w:tabs>
          <w:tab w:val="left" w:pos="10252"/>
        </w:tabs>
        <w:autoSpaceDE/>
        <w:autoSpaceDN/>
        <w:adjustRightInd/>
        <w:spacing w:before="60" w:line="365" w:lineRule="auto"/>
        <w:ind w:right="488" w:firstLine="420" w:firstLineChars="200"/>
        <w:rPr>
          <w:color w:val="auto"/>
          <w:sz w:val="21"/>
          <w:szCs w:val="21"/>
          <w:highlight w:val="none"/>
        </w:rPr>
      </w:pPr>
      <w:r>
        <w:rPr>
          <w:color w:val="auto"/>
          <w:sz w:val="21"/>
          <w:szCs w:val="21"/>
          <w:highlight w:val="none"/>
        </w:rPr>
        <w:t>异议的渠道和方式：</w:t>
      </w: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（电子签名专用章）</w:t>
      </w:r>
      <w:r>
        <w:rPr>
          <w:rFonts w:hint="eastAsia"/>
          <w:color w:val="auto"/>
          <w:sz w:val="24"/>
          <w:highlight w:val="none"/>
        </w:rPr>
        <w:t xml:space="preserve"> 招标代理机构：</w:t>
      </w:r>
      <w:r>
        <w:rPr>
          <w:rFonts w:hint="eastAsia"/>
          <w:color w:val="auto"/>
          <w:sz w:val="24"/>
          <w:highlight w:val="none"/>
          <w:u w:val="single"/>
        </w:rPr>
        <w:t xml:space="preserve">     （电子签名专用章）</w:t>
      </w:r>
    </w:p>
    <w:p>
      <w:pPr>
        <w:spacing w:line="360" w:lineRule="auto"/>
        <w:rPr>
          <w:color w:val="auto"/>
          <w:sz w:val="24"/>
          <w:highlight w:val="none"/>
        </w:rPr>
      </w:pPr>
      <w:r>
        <w:rPr>
          <w:rFonts w:hint="eastAsia"/>
          <w:color w:val="auto"/>
          <w:sz w:val="24"/>
          <w:highlight w:val="none"/>
        </w:rPr>
        <w:t>法定代表人或                    法定代表人或</w:t>
      </w:r>
    </w:p>
    <w:p>
      <w:pPr>
        <w:spacing w:line="360" w:lineRule="auto"/>
        <w:rPr>
          <w:color w:val="auto"/>
          <w:highlight w:val="none"/>
        </w:rPr>
      </w:pPr>
      <w:r>
        <w:rPr>
          <w:rFonts w:hint="eastAsia"/>
          <w:color w:val="auto"/>
          <w:sz w:val="24"/>
          <w:highlight w:val="none"/>
        </w:rPr>
        <w:t>其委托代理人：</w:t>
      </w:r>
      <w:r>
        <w:rPr>
          <w:rFonts w:hint="eastAsia"/>
          <w:color w:val="auto"/>
          <w:sz w:val="24"/>
          <w:highlight w:val="none"/>
          <w:u w:val="single"/>
        </w:rPr>
        <w:t>（电子签名专用章）</w:t>
      </w:r>
      <w:r>
        <w:rPr>
          <w:rFonts w:hint="eastAsia"/>
          <w:color w:val="auto"/>
          <w:sz w:val="24"/>
          <w:highlight w:val="none"/>
        </w:rPr>
        <w:t xml:space="preserve"> 其委托代理人：</w:t>
      </w:r>
      <w:r>
        <w:rPr>
          <w:rFonts w:hint="eastAsia"/>
          <w:color w:val="auto"/>
          <w:sz w:val="24"/>
          <w:highlight w:val="none"/>
          <w:u w:val="single"/>
        </w:rPr>
        <w:t xml:space="preserve">     （电子签名专用章）</w:t>
      </w:r>
    </w:p>
    <w:p>
      <w:pPr>
        <w:rPr>
          <w:rFonts w:hint="eastAsia" w:eastAsia="黑体"/>
          <w:b/>
          <w:bCs/>
          <w:color w:val="auto"/>
          <w:szCs w:val="21"/>
          <w:highlight w:val="none"/>
          <w:lang w:val="zh-CN"/>
        </w:rPr>
      </w:pPr>
      <w:bookmarkStart w:id="939" w:name="_Toc504581710"/>
      <w:r>
        <w:rPr>
          <w:rFonts w:hint="eastAsia" w:eastAsia="黑体"/>
          <w:b/>
          <w:bCs/>
          <w:color w:val="auto"/>
          <w:szCs w:val="21"/>
          <w:highlight w:val="none"/>
          <w:lang w:val="zh-CN"/>
        </w:rPr>
        <w:t xml:space="preserve"> </w:t>
      </w:r>
    </w:p>
    <w:p>
      <w:pPr>
        <w:rPr>
          <w:rFonts w:hint="eastAsia" w:eastAsia="黑体"/>
          <w:b/>
          <w:bCs/>
          <w:color w:val="auto"/>
          <w:szCs w:val="21"/>
          <w:highlight w:val="none"/>
          <w:lang w:val="zh-CN"/>
        </w:rPr>
      </w:pPr>
      <w:r>
        <w:rPr>
          <w:rFonts w:hint="eastAsia" w:eastAsia="黑体"/>
          <w:b/>
          <w:bCs/>
          <w:color w:val="auto"/>
          <w:szCs w:val="21"/>
          <w:highlight w:val="none"/>
          <w:lang w:val="zh-CN"/>
        </w:rPr>
        <w:br w:type="page"/>
      </w:r>
    </w:p>
    <w:p>
      <w:pPr>
        <w:rPr>
          <w:rFonts w:ascii="仿宋_GB2312" w:eastAsia="仿宋_GB2312"/>
          <w:color w:val="auto"/>
          <w:highlight w:val="none"/>
        </w:rPr>
      </w:pPr>
      <w:r>
        <w:rPr>
          <w:rFonts w:hint="eastAsia" w:eastAsia="黑体"/>
          <w:b/>
          <w:bCs/>
          <w:color w:val="auto"/>
          <w:szCs w:val="21"/>
          <w:highlight w:val="none"/>
        </w:rPr>
        <w:t>中标结果公示（格式）</w:t>
      </w:r>
      <w:bookmarkEnd w:id="939"/>
    </w:p>
    <w:p>
      <w:pPr>
        <w:tabs>
          <w:tab w:val="left" w:pos="1440"/>
        </w:tabs>
        <w:spacing w:line="360" w:lineRule="auto"/>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中标结果公示</w:t>
      </w:r>
    </w:p>
    <w:p>
      <w:pPr>
        <w:spacing w:line="360" w:lineRule="auto"/>
        <w:ind w:firstLine="480" w:firstLineChars="200"/>
        <w:rPr>
          <w:color w:val="auto"/>
          <w:sz w:val="24"/>
          <w:highlight w:val="none"/>
        </w:rPr>
      </w:pPr>
      <w:r>
        <w:rPr>
          <w:rFonts w:hint="eastAsia"/>
          <w:color w:val="auto"/>
          <w:sz w:val="24"/>
          <w:highlight w:val="none"/>
        </w:rPr>
        <w:t>招标编号：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建设项目的招标，招标人根据评标委员会推荐的定标候选人，于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日止，将评标结果进行了公示。公示期间结束后招标人根据定标方案确定中标人。中标人的中标情况公布如下：</w:t>
      </w:r>
    </w:p>
    <w:p>
      <w:pPr>
        <w:spacing w:line="360" w:lineRule="auto"/>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中标人</w:t>
            </w:r>
          </w:p>
        </w:tc>
        <w:tc>
          <w:tcPr>
            <w:tcW w:w="6421" w:type="dxa"/>
            <w:gridSpan w:val="3"/>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中标价</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项目负责人</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工期</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质量标准</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pPr>
              <w:spacing w:line="360" w:lineRule="auto"/>
              <w:jc w:val="center"/>
              <w:rPr>
                <w:rFonts w:hint="eastAsia"/>
                <w:color w:val="auto"/>
                <w:sz w:val="24"/>
                <w:highlight w:val="none"/>
              </w:rPr>
            </w:pPr>
            <w:r>
              <w:rPr>
                <w:rFonts w:hint="eastAsia" w:ascii="宋体" w:hAnsi="宋体"/>
                <w:snapToGrid w:val="0"/>
                <w:color w:val="auto"/>
                <w:kern w:val="0"/>
                <w:szCs w:val="21"/>
                <w:highlight w:val="none"/>
                <w:lang w:val="en-US" w:eastAsia="zh-CN"/>
              </w:rPr>
              <w:t>企业及人员信用分享用情况（如有）</w:t>
            </w:r>
          </w:p>
        </w:tc>
        <w:tc>
          <w:tcPr>
            <w:tcW w:w="6421" w:type="dxa"/>
            <w:gridSpan w:val="3"/>
            <w:noWrap w:val="0"/>
            <w:vAlign w:val="center"/>
          </w:tcPr>
          <w:p>
            <w:pPr>
              <w:spacing w:line="360" w:lineRule="auto"/>
              <w:jc w:val="center"/>
              <w:rPr>
                <w:color w:val="auto"/>
                <w:sz w:val="24"/>
                <w:highlight w:val="none"/>
              </w:rPr>
            </w:pPr>
          </w:p>
        </w:tc>
      </w:tr>
    </w:tbl>
    <w:p>
      <w:pPr>
        <w:spacing w:line="360" w:lineRule="auto"/>
        <w:rPr>
          <w:color w:val="auto"/>
          <w:sz w:val="24"/>
          <w:highlight w:val="none"/>
        </w:rPr>
      </w:pPr>
    </w:p>
    <w:p>
      <w:pPr>
        <w:spacing w:line="360" w:lineRule="auto"/>
        <w:rPr>
          <w:color w:val="auto"/>
          <w:sz w:val="24"/>
          <w:highlight w:val="none"/>
          <w:u w:val="single"/>
        </w:rPr>
      </w:pPr>
      <w:r>
        <w:rPr>
          <w:rFonts w:hint="eastAsia"/>
          <w:color w:val="auto"/>
          <w:sz w:val="24"/>
          <w:highlight w:val="none"/>
        </w:rPr>
        <w:t>评标委员会成员名单：</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hint="eastAsia" w:ascii="宋体" w:hAnsi="宋体"/>
          <w:b/>
          <w:color w:val="auto"/>
          <w:sz w:val="24"/>
          <w:highlight w:val="none"/>
        </w:rPr>
      </w:pP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（中标人名称）: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你方于</w:t>
      </w:r>
      <w:r>
        <w:rPr>
          <w:rFonts w:hint="eastAsia" w:ascii="宋体" w:hAnsi="宋体"/>
          <w:color w:val="auto"/>
          <w:szCs w:val="21"/>
          <w:highlight w:val="none"/>
          <w:u w:val="single"/>
        </w:rPr>
        <w:t xml:space="preserve">                 </w:t>
      </w:r>
      <w:r>
        <w:rPr>
          <w:rFonts w:hint="eastAsia" w:ascii="宋体" w:hAnsi="宋体"/>
          <w:color w:val="auto"/>
          <w:szCs w:val="21"/>
          <w:highlight w:val="none"/>
        </w:rPr>
        <w:t>（投标日期）所递交的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（项目名称）施工投标文件已被我方接受，被确定为中标人。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中标价：</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（姓名及注册建造师证书编号）。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请你方在接到本通知书后的</w:t>
      </w:r>
      <w:r>
        <w:rPr>
          <w:rFonts w:hint="eastAsia" w:ascii="宋体" w:hAnsi="宋体"/>
          <w:color w:val="auto"/>
          <w:szCs w:val="21"/>
          <w:highlight w:val="none"/>
          <w:u w:val="single"/>
        </w:rPr>
        <w:t xml:space="preserve">     </w:t>
      </w:r>
      <w:r>
        <w:rPr>
          <w:rFonts w:hint="eastAsia" w:ascii="宋体" w:hAnsi="宋体"/>
          <w:color w:val="auto"/>
          <w:szCs w:val="21"/>
          <w:highlight w:val="none"/>
        </w:rPr>
        <w:t>日内到</w:t>
      </w:r>
      <w:r>
        <w:rPr>
          <w:rFonts w:hint="eastAsia" w:ascii="宋体" w:hAnsi="宋体"/>
          <w:color w:val="auto"/>
          <w:szCs w:val="21"/>
          <w:highlight w:val="none"/>
          <w:u w:val="single"/>
        </w:rPr>
        <w:t xml:space="preserve">                          </w:t>
      </w:r>
      <w:r>
        <w:rPr>
          <w:rFonts w:hint="eastAsia" w:ascii="宋体" w:hAnsi="宋体"/>
          <w:color w:val="auto"/>
          <w:szCs w:val="21"/>
          <w:highlight w:val="none"/>
        </w:rPr>
        <w:t>（指定地点）与我方签订施工承包合同，在此之前按招标文件第二章“投标人须知”第7.3 款规定向我方提交履约担保。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特此通知。</w:t>
      </w:r>
    </w:p>
    <w:p>
      <w:pPr>
        <w:spacing w:line="360" w:lineRule="auto"/>
        <w:ind w:firstLine="4200" w:firstLineChars="2000"/>
        <w:rPr>
          <w:rFonts w:hint="eastAsia" w:ascii="宋体" w:hAnsi="宋体"/>
          <w:color w:val="auto"/>
          <w:szCs w:val="21"/>
          <w:highlight w:val="none"/>
        </w:rPr>
      </w:pPr>
    </w:p>
    <w:p>
      <w:pPr>
        <w:spacing w:line="360" w:lineRule="auto"/>
        <w:ind w:firstLine="4200" w:firstLineChars="2000"/>
        <w:rPr>
          <w:rFonts w:hint="eastAsia" w:ascii="宋体" w:hAnsi="宋体"/>
          <w:color w:val="auto"/>
          <w:szCs w:val="21"/>
          <w:highlight w:val="none"/>
        </w:rPr>
      </w:pP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ind w:firstLine="4095" w:firstLineChars="19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830" w:firstLineChars="2300"/>
        <w:rPr>
          <w:rFonts w:hint="eastAsia" w:ascii="宋体" w:hAnsi="宋体"/>
          <w:color w:val="auto"/>
          <w:szCs w:val="21"/>
          <w:highlight w:val="none"/>
          <w:u w:val="single"/>
        </w:rPr>
      </w:pPr>
    </w:p>
    <w:p>
      <w:pPr>
        <w:spacing w:line="360" w:lineRule="auto"/>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     日</w:t>
      </w:r>
    </w:p>
    <w:p>
      <w:pPr>
        <w:spacing w:line="360" w:lineRule="auto"/>
        <w:ind w:firstLine="4830" w:firstLineChars="2300"/>
        <w:rPr>
          <w:rFonts w:ascii="宋体" w:hAnsi="宋体"/>
          <w:color w:val="auto"/>
          <w:szCs w:val="21"/>
          <w:highlight w:val="none"/>
        </w:rPr>
        <w:sectPr>
          <w:footerReference r:id="rId11" w:type="default"/>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bookmarkEnd w:id="931"/>
    <w:bookmarkEnd w:id="932"/>
    <w:bookmarkEnd w:id="933"/>
    <w:bookmarkEnd w:id="934"/>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line="300" w:lineRule="auto"/>
        <w:rPr>
          <w:rFonts w:hint="eastAsia" w:ascii="宋体" w:hAnsi="宋体" w:cs="黑体"/>
          <w:color w:val="auto"/>
          <w:highlight w:val="none"/>
        </w:rPr>
      </w:pPr>
      <w:bookmarkStart w:id="940" w:name="_Toc490832330"/>
      <w:bookmarkStart w:id="941" w:name="_Toc12238"/>
      <w:bookmarkStart w:id="942" w:name="_Toc17977"/>
      <w:r>
        <w:rPr>
          <w:rFonts w:hint="eastAsia" w:ascii="宋体" w:hAnsi="宋体" w:cs="黑体"/>
          <w:color w:val="auto"/>
          <w:highlight w:val="none"/>
        </w:rPr>
        <w:t>第三章 评 标 办 法</w:t>
      </w:r>
      <w:bookmarkEnd w:id="940"/>
      <w:bookmarkEnd w:id="941"/>
      <w:bookmarkEnd w:id="942"/>
    </w:p>
    <w:p>
      <w:pPr>
        <w:autoSpaceDE w:val="0"/>
        <w:autoSpaceDN w:val="0"/>
        <w:spacing w:line="300" w:lineRule="auto"/>
        <w:textAlignment w:val="bottom"/>
        <w:rPr>
          <w:rFonts w:hint="eastAsia" w:ascii="宋体" w:hAnsi="宋体"/>
          <w:color w:val="auto"/>
          <w:sz w:val="24"/>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ind w:firstLine="481" w:firstLineChars="200"/>
        <w:jc w:val="left"/>
        <w:textAlignment w:val="bottom"/>
        <w:rPr>
          <w:rFonts w:hint="eastAsia" w:ascii="宋体" w:hAnsi="宋体" w:cs="宋体"/>
          <w:b/>
          <w:bCs/>
          <w:color w:val="auto"/>
          <w:kern w:val="0"/>
          <w:sz w:val="24"/>
          <w:highlight w:val="none"/>
          <w:u w:val="doubl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autoSpaceDE w:val="0"/>
        <w:autoSpaceDN w:val="0"/>
        <w:spacing w:line="300" w:lineRule="auto"/>
        <w:textAlignment w:val="bottom"/>
        <w:rPr>
          <w:rFonts w:hint="eastAsia" w:ascii="宋体" w:hAnsi="宋体"/>
          <w:color w:val="auto"/>
          <w:szCs w:val="21"/>
          <w:highlight w:val="none"/>
        </w:rPr>
      </w:pPr>
    </w:p>
    <w:p>
      <w:pPr>
        <w:widowControl/>
        <w:tabs>
          <w:tab w:val="left" w:pos="4200"/>
        </w:tabs>
        <w:spacing w:line="400" w:lineRule="exact"/>
        <w:rPr>
          <w:rFonts w:hint="eastAsia" w:ascii="宋体" w:hAnsi="宋体" w:cs="宋体"/>
          <w:b/>
          <w:bCs/>
          <w:color w:val="auto"/>
          <w:kern w:val="0"/>
          <w:sz w:val="36"/>
          <w:szCs w:val="36"/>
          <w:highlight w:val="none"/>
        </w:rPr>
      </w:pPr>
      <w:bookmarkStart w:id="943" w:name="_Toc13510"/>
      <w:bookmarkStart w:id="944" w:name="_Toc334077616"/>
    </w:p>
    <w:bookmarkEnd w:id="943"/>
    <w:bookmarkEnd w:id="944"/>
    <w:p>
      <w:pPr>
        <w:widowControl/>
        <w:tabs>
          <w:tab w:val="left" w:pos="4200"/>
        </w:tabs>
        <w:spacing w:before="158" w:beforeLines="50" w:line="400" w:lineRule="exact"/>
        <w:jc w:val="center"/>
        <w:rPr>
          <w:rFonts w:hint="eastAsia"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r>
        <w:rPr>
          <w:rFonts w:hint="eastAsia" w:ascii="宋体" w:hAnsi="宋体" w:cs="宋体"/>
          <w:b/>
          <w:bCs/>
          <w:color w:val="auto"/>
          <w:kern w:val="0"/>
          <w:sz w:val="36"/>
          <w:szCs w:val="36"/>
          <w:highlight w:val="none"/>
        </w:rPr>
        <w:t>评标办法</w:t>
      </w:r>
    </w:p>
    <w:p>
      <w:pPr>
        <w:widowControl/>
        <w:tabs>
          <w:tab w:val="left" w:pos="4200"/>
        </w:tabs>
        <w:spacing w:before="317" w:beforeLines="100" w:after="317" w:afterLines="100" w:line="400" w:lineRule="exac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评标办法前附表</w:t>
      </w:r>
      <w:r>
        <w:rPr>
          <w:rFonts w:hint="eastAsia" w:ascii="黑体" w:eastAsia="黑体"/>
          <w:color w:val="auto"/>
          <w:highlight w:val="none"/>
        </w:rPr>
        <w:t>（适用于其他项目）</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44"/>
        <w:gridCol w:w="2126"/>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43" w:type="dxa"/>
            <w:gridSpan w:val="2"/>
            <w:noWrap w:val="0"/>
            <w:vAlign w:val="center"/>
          </w:tcPr>
          <w:p>
            <w:pPr>
              <w:jc w:val="center"/>
              <w:rPr>
                <w:rFonts w:hint="eastAsia"/>
                <w:b/>
                <w:color w:val="auto"/>
                <w:highlight w:val="none"/>
              </w:rPr>
            </w:pPr>
            <w:r>
              <w:rPr>
                <w:rFonts w:hint="eastAsia" w:ascii="宋体" w:hAnsi="宋体"/>
                <w:b/>
                <w:color w:val="auto"/>
                <w:szCs w:val="21"/>
                <w:highlight w:val="none"/>
              </w:rPr>
              <w:t>条款号</w:t>
            </w:r>
          </w:p>
        </w:tc>
        <w:tc>
          <w:tcPr>
            <w:tcW w:w="2126" w:type="dxa"/>
            <w:noWrap w:val="0"/>
            <w:vAlign w:val="center"/>
          </w:tcPr>
          <w:p>
            <w:pPr>
              <w:jc w:val="center"/>
              <w:rPr>
                <w:rFonts w:hint="eastAsia"/>
                <w:b/>
                <w:color w:val="auto"/>
                <w:highlight w:val="none"/>
              </w:rPr>
            </w:pPr>
            <w:r>
              <w:rPr>
                <w:rFonts w:hint="eastAsia" w:ascii="宋体" w:hAnsi="宋体"/>
                <w:b/>
                <w:color w:val="auto"/>
                <w:szCs w:val="21"/>
                <w:highlight w:val="none"/>
              </w:rPr>
              <w:t>评审因素</w:t>
            </w:r>
          </w:p>
        </w:tc>
        <w:tc>
          <w:tcPr>
            <w:tcW w:w="4962" w:type="dxa"/>
            <w:noWrap w:val="0"/>
            <w:vAlign w:val="center"/>
          </w:tcPr>
          <w:p>
            <w:pPr>
              <w:jc w:val="center"/>
              <w:rPr>
                <w:rFonts w:hint="eastAsia"/>
                <w:b/>
                <w:color w:val="auto"/>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43" w:type="dxa"/>
            <w:gridSpan w:val="2"/>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1</w:t>
            </w:r>
          </w:p>
        </w:tc>
        <w:tc>
          <w:tcPr>
            <w:tcW w:w="2126" w:type="dxa"/>
            <w:noWrap w:val="0"/>
            <w:vAlign w:val="center"/>
          </w:tcPr>
          <w:p>
            <w:pPr>
              <w:widowControl/>
              <w:wordWrap w:val="0"/>
              <w:jc w:val="center"/>
              <w:rPr>
                <w:rFonts w:hint="eastAsia" w:ascii="宋体" w:hAnsi="宋体"/>
                <w:b/>
                <w:color w:val="auto"/>
                <w:szCs w:val="21"/>
                <w:highlight w:val="none"/>
              </w:rPr>
            </w:pPr>
            <w:r>
              <w:rPr>
                <w:rFonts w:hint="eastAsia" w:ascii="宋体" w:hAnsi="宋体" w:cs="宋体"/>
                <w:color w:val="auto"/>
                <w:kern w:val="0"/>
                <w:szCs w:val="21"/>
                <w:highlight w:val="none"/>
              </w:rPr>
              <w:t>确定入围投标人</w:t>
            </w:r>
          </w:p>
        </w:tc>
        <w:tc>
          <w:tcPr>
            <w:tcW w:w="4962" w:type="dxa"/>
            <w:noWrap w:val="0"/>
            <w:vAlign w:val="center"/>
          </w:tcPr>
          <w:p>
            <w:pPr>
              <w:widowControl/>
              <w:wordWrap w:val="0"/>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（一）投标人数量小于或等于20家</w:t>
            </w:r>
          </w:p>
          <w:p>
            <w:pPr>
              <w:spacing w:line="300" w:lineRule="auto"/>
              <w:ind w:firstLine="420" w:firstLineChars="200"/>
              <w:jc w:val="left"/>
              <w:rPr>
                <w:rFonts w:hint="eastAsia"/>
                <w:color w:val="auto"/>
                <w:kern w:val="1"/>
                <w:szCs w:val="21"/>
                <w:highlight w:val="none"/>
                <w:lang w:val="zh-CN"/>
              </w:rPr>
            </w:pPr>
            <w:r>
              <w:rPr>
                <w:rFonts w:hint="eastAsia"/>
                <w:color w:val="auto"/>
                <w:kern w:val="1"/>
                <w:szCs w:val="21"/>
                <w:highlight w:val="none"/>
                <w:lang w:val="zh-CN"/>
              </w:rPr>
              <w:t>1.</w:t>
            </w:r>
            <w:r>
              <w:rPr>
                <w:rFonts w:hint="eastAsia" w:cs="宋体"/>
                <w:color w:val="auto"/>
                <w:kern w:val="1"/>
                <w:szCs w:val="21"/>
                <w:highlight w:val="none"/>
              </w:rPr>
              <w:t>按照投标人投标报价由低往高进行报价排序，淘汰投标报价最高的投标人</w:t>
            </w:r>
            <w:r>
              <w:rPr>
                <w:rFonts w:hint="eastAsia" w:cs="宋体"/>
                <w:color w:val="auto"/>
                <w:kern w:val="1"/>
                <w:szCs w:val="21"/>
                <w:highlight w:val="none"/>
                <w:lang w:bidi="ar"/>
              </w:rPr>
              <w:t>（最高投标报价的投标人多于1家的，一并淘汰）</w:t>
            </w:r>
            <w:r>
              <w:rPr>
                <w:rFonts w:hint="eastAsia" w:cs="宋体"/>
                <w:color w:val="auto"/>
                <w:kern w:val="1"/>
                <w:szCs w:val="21"/>
                <w:highlight w:val="none"/>
              </w:rPr>
              <w:t>，剩余投标人均确定为入围投标人。</w:t>
            </w:r>
          </w:p>
          <w:p>
            <w:pPr>
              <w:widowControl/>
              <w:wordWrap/>
              <w:spacing w:line="300" w:lineRule="auto"/>
              <w:ind w:firstLine="420" w:firstLineChars="200"/>
              <w:jc w:val="left"/>
              <w:rPr>
                <w:rFonts w:hint="eastAsia" w:ascii="Calibri" w:hAnsi="Calibri" w:cs="宋体"/>
                <w:color w:val="auto"/>
                <w:kern w:val="1"/>
                <w:szCs w:val="21"/>
                <w:highlight w:val="none"/>
              </w:rPr>
            </w:pPr>
            <w:r>
              <w:rPr>
                <w:rFonts w:hint="eastAsia" w:cs="宋体"/>
                <w:color w:val="auto"/>
                <w:kern w:val="1"/>
                <w:szCs w:val="21"/>
                <w:highlight w:val="none"/>
                <w:lang w:val="zh-CN"/>
              </w:rPr>
              <w:t>2.招标人将资格审查程序先于确定入围投标人程序的，</w:t>
            </w:r>
            <w:r>
              <w:rPr>
                <w:rFonts w:hint="eastAsia" w:cs="宋体"/>
                <w:color w:val="auto"/>
                <w:kern w:val="1"/>
                <w:szCs w:val="21"/>
                <w:highlight w:val="none"/>
              </w:rPr>
              <w:t>“投标人”指资格审查合格的投标人。</w:t>
            </w:r>
          </w:p>
          <w:p>
            <w:pPr>
              <w:widowControl/>
              <w:wordWrap w:val="0"/>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（二）投标人数量大于20家</w:t>
            </w:r>
          </w:p>
          <w:p>
            <w:pPr>
              <w:ind w:firstLine="420" w:firstLineChars="200"/>
              <w:jc w:val="left"/>
              <w:rPr>
                <w:rFonts w:hint="eastAsia" w:ascii="宋体" w:hAnsi="宋体" w:cs="宋体"/>
                <w:color w:val="auto"/>
                <w:kern w:val="1"/>
                <w:szCs w:val="21"/>
                <w:highlight w:val="none"/>
                <w:lang w:val="zh-CN"/>
              </w:rPr>
            </w:pP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zh-CN"/>
              </w:rPr>
              <w:t>报价排序淘汰投标人：</w:t>
            </w:r>
          </w:p>
          <w:p>
            <w:pPr>
              <w:ind w:firstLine="420" w:firstLineChars="200"/>
              <w:jc w:val="left"/>
              <w:rPr>
                <w:rFonts w:hint="eastAsia" w:ascii="宋体" w:hAnsi="宋体" w:cs="宋体"/>
                <w:color w:val="auto"/>
                <w:kern w:val="1"/>
                <w:szCs w:val="21"/>
                <w:highlight w:val="none"/>
                <w:lang w:val="zh-CN"/>
              </w:rPr>
            </w:pPr>
            <w:r>
              <w:rPr>
                <w:rFonts w:hint="eastAsia" w:ascii="宋体" w:hAnsi="宋体" w:cs="宋体"/>
                <w:color w:val="auto"/>
                <w:szCs w:val="21"/>
                <w:highlight w:val="none"/>
                <w:lang w:val="zh-CN" w:bidi="zh-CN"/>
              </w:rPr>
              <w:t>按投标人的投标报价由低往高</w:t>
            </w:r>
            <w:r>
              <w:rPr>
                <w:rFonts w:hint="eastAsia" w:ascii="宋体" w:hAnsi="宋体" w:cs="宋体"/>
                <w:color w:val="auto"/>
                <w:kern w:val="1"/>
                <w:szCs w:val="21"/>
                <w:highlight w:val="none"/>
                <w:lang w:val="zh-CN"/>
              </w:rPr>
              <w:t>进行报价排序</w:t>
            </w:r>
            <w:r>
              <w:rPr>
                <w:rFonts w:hint="eastAsia" w:ascii="宋体" w:hAnsi="宋体" w:cs="宋体"/>
                <w:color w:val="auto"/>
                <w:szCs w:val="21"/>
                <w:highlight w:val="none"/>
                <w:lang w:val="zh-CN" w:bidi="zh-CN"/>
              </w:rPr>
              <w:t>，淘汰排序靠前5%数量且不少于3家投标人（淘汰数量取整数，小数点第一位“四舍五入”，</w:t>
            </w:r>
            <w:r>
              <w:rPr>
                <w:rFonts w:hint="eastAsia" w:ascii="宋体" w:hAnsi="宋体" w:cs="宋体"/>
                <w:color w:val="auto"/>
                <w:kern w:val="1"/>
                <w:szCs w:val="21"/>
                <w:highlight w:val="none"/>
                <w:lang w:val="zh-CN"/>
              </w:rPr>
              <w:t>第二位及以后不计；与淘汰投标人中最高投标报价相同的投标人，一并淘汰）</w:t>
            </w:r>
            <w:r>
              <w:rPr>
                <w:rFonts w:hint="eastAsia" w:ascii="宋体" w:hAnsi="宋体" w:cs="宋体"/>
                <w:color w:val="auto"/>
                <w:szCs w:val="21"/>
                <w:highlight w:val="none"/>
                <w:lang w:val="zh-CN" w:bidi="zh-CN"/>
              </w:rPr>
              <w:t>，同时在余下的投标人中淘汰排序靠后1/3数量的投标人（淘汰数量取整数，小数点第一位“四舍五入”，</w:t>
            </w:r>
            <w:r>
              <w:rPr>
                <w:rFonts w:hint="eastAsia" w:ascii="宋体" w:hAnsi="宋体" w:cs="宋体"/>
                <w:color w:val="auto"/>
                <w:kern w:val="1"/>
                <w:szCs w:val="21"/>
                <w:highlight w:val="none"/>
                <w:lang w:val="zh-CN"/>
              </w:rPr>
              <w:t>第二位及以后不计；与淘汰投标人中最低投标报价一致的投标人，一并淘汰）。</w:t>
            </w:r>
          </w:p>
          <w:p>
            <w:pPr>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经报价排序淘汰后投标人数量小于或等于20家的全部确定为入围投标人，投标人数量仍大于20家的进入信用排序选取投标人环节。</w:t>
            </w:r>
          </w:p>
          <w:p>
            <w:pPr>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 xml:space="preserve">被本项程序淘汰的投标人不参与第4项规定的入围投标人的确定和增补。  </w:t>
            </w:r>
          </w:p>
          <w:p>
            <w:pPr>
              <w:widowControl/>
              <w:wordWrap w:val="0"/>
              <w:rPr>
                <w:rFonts w:hint="eastAsia" w:ascii="宋体" w:hAnsi="宋体" w:cs="宋体"/>
                <w:color w:val="auto"/>
                <w:kern w:val="0"/>
                <w:szCs w:val="21"/>
                <w:highlight w:val="none"/>
              </w:rPr>
            </w:pPr>
            <w:r>
              <w:rPr>
                <w:rFonts w:hint="eastAsia" w:ascii="宋体" w:hAnsi="宋体" w:cs="宋体"/>
                <w:color w:val="auto"/>
                <w:kern w:val="0"/>
                <w:szCs w:val="21"/>
                <w:highlight w:val="none"/>
              </w:rPr>
              <w:t>2、信用排序选取投标人</w:t>
            </w:r>
          </w:p>
          <w:p>
            <w:pPr>
              <w:widowControl/>
              <w:wordWrap w:val="0"/>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 A 类工程（指经市政府或区政府或市级指挥部确定的特殊工程、应急工程，招标文件公布的合同估算价大于等于 1 亿元的施工总承包工程或合同估算价大于等于 2000 万元的专业承包工程）：</w:t>
            </w:r>
          </w:p>
          <w:p>
            <w:pPr>
              <w:widowControl/>
              <w:wordWrap w:val="0"/>
              <w:ind w:firstLineChars="200"/>
              <w:rPr>
                <w:rFonts w:hint="eastAsia"/>
                <w:color w:val="auto"/>
                <w:highlight w:val="none"/>
              </w:rPr>
            </w:pPr>
            <w:r>
              <w:rPr>
                <w:rFonts w:hint="eastAsia" w:ascii="宋体" w:hAnsi="宋体" w:cs="宋体"/>
                <w:color w:val="auto"/>
                <w:kern w:val="0"/>
                <w:szCs w:val="21"/>
                <w:highlight w:val="none"/>
                <w:lang w:eastAsia="zh-CN"/>
              </w:rPr>
              <w:t>从</w:t>
            </w:r>
            <w:r>
              <w:rPr>
                <w:rFonts w:hint="eastAsia" w:ascii="宋体" w:hAnsi="宋体" w:cs="宋体"/>
                <w:color w:val="auto"/>
                <w:kern w:val="0"/>
                <w:szCs w:val="21"/>
                <w:highlight w:val="none"/>
                <w:lang w:val="en-US" w:eastAsia="zh-CN"/>
              </w:rPr>
              <w:t>投标人《企业信用声明》中填报的“评标使用的等级”</w:t>
            </w:r>
            <w:r>
              <w:rPr>
                <w:rFonts w:hint="eastAsia" w:ascii="宋体" w:hAnsi="宋体" w:cs="宋体"/>
                <w:color w:val="auto"/>
                <w:kern w:val="0"/>
                <w:szCs w:val="21"/>
                <w:highlight w:val="none"/>
                <w:lang w:eastAsia="zh-CN"/>
              </w:rPr>
              <w:t>为AA的投标人加上厦门市建筑施工企业信用综合评价</w:t>
            </w:r>
            <w:r>
              <w:rPr>
                <w:rFonts w:hint="eastAsia" w:ascii="宋体" w:hAnsi="宋体" w:cs="宋体"/>
                <w:color w:val="auto"/>
                <w:kern w:val="0"/>
                <w:szCs w:val="21"/>
                <w:highlight w:val="none"/>
                <w:lang w:val="zh-CN" w:eastAsia="zh-CN"/>
              </w:rPr>
              <w:t>结果的评价</w:t>
            </w:r>
            <w:r>
              <w:rPr>
                <w:rFonts w:hint="eastAsia" w:ascii="宋体" w:hAnsi="宋体" w:cs="宋体"/>
                <w:color w:val="auto"/>
                <w:kern w:val="0"/>
                <w:szCs w:val="21"/>
                <w:highlight w:val="none"/>
                <w:lang w:eastAsia="zh-CN"/>
              </w:rPr>
              <w:t>等级为A的投标人中按投标人的投标报价由低往高进行报价排序，依序确定为入围投标人，以上等级的投标人数量不足 20 家的，再从</w:t>
            </w:r>
            <w:r>
              <w:rPr>
                <w:rFonts w:hint="eastAsia" w:ascii="宋体" w:hAnsi="宋体" w:cs="宋体"/>
                <w:color w:val="auto"/>
                <w:kern w:val="0"/>
                <w:szCs w:val="21"/>
                <w:highlight w:val="none"/>
                <w:lang w:val="en-US" w:eastAsia="zh-CN"/>
              </w:rPr>
              <w:t>投标人《企业信用声明》中填报的“评标使用的等级”</w:t>
            </w:r>
            <w:r>
              <w:rPr>
                <w:rFonts w:hint="eastAsia" w:ascii="宋体" w:hAnsi="宋体" w:cs="宋体"/>
                <w:color w:val="auto"/>
                <w:kern w:val="0"/>
                <w:szCs w:val="21"/>
                <w:highlight w:val="none"/>
                <w:lang w:eastAsia="zh-CN"/>
              </w:rPr>
              <w:t>为A的投标人加上厦门市建筑施工企业信用综合评价等级为BB+的投标人中按投标人的投标报价由低往高排序并依序确定为入围投标人，直至入围投标人数量为 20 家（与前述 20 家投标人中最高报价一致的投标人，一并入围）。</w:t>
            </w:r>
          </w:p>
          <w:p>
            <w:pPr>
              <w:widowControl/>
              <w:wordWrap w:val="0"/>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2.2 B 类工程（指招标文件公布的合同估算价小于 1亿元的施工总承包工程或合同估算价小于 2000 万元的专业承包工程）：</w:t>
            </w:r>
          </w:p>
          <w:p>
            <w:pPr>
              <w:widowControl/>
              <w:wordWrap w:val="0"/>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从</w:t>
            </w:r>
            <w:r>
              <w:rPr>
                <w:rFonts w:hint="eastAsia" w:ascii="宋体" w:hAnsi="宋体" w:cs="宋体"/>
                <w:color w:val="auto"/>
                <w:kern w:val="0"/>
                <w:szCs w:val="21"/>
                <w:highlight w:val="none"/>
                <w:lang w:val="en-US" w:eastAsia="zh-CN"/>
              </w:rPr>
              <w:t>投标人《企业信用声明》中填报的“评标使用的等级”</w:t>
            </w:r>
            <w:r>
              <w:rPr>
                <w:rFonts w:hint="eastAsia" w:ascii="宋体" w:hAnsi="宋体" w:cs="宋体"/>
                <w:color w:val="auto"/>
                <w:kern w:val="0"/>
                <w:szCs w:val="21"/>
                <w:highlight w:val="none"/>
                <w:lang w:eastAsia="zh-CN"/>
              </w:rPr>
              <w:t>为A及以上的投标人加上厦门市建筑施工企业信用综合评价</w:t>
            </w:r>
            <w:r>
              <w:rPr>
                <w:rFonts w:hint="eastAsia" w:ascii="宋体" w:hAnsi="宋体" w:cs="宋体"/>
                <w:color w:val="auto"/>
                <w:kern w:val="0"/>
                <w:szCs w:val="21"/>
                <w:highlight w:val="none"/>
                <w:lang w:val="zh-CN" w:eastAsia="zh-CN"/>
              </w:rPr>
              <w:t>结果的评价</w:t>
            </w:r>
            <w:r>
              <w:rPr>
                <w:rFonts w:hint="eastAsia" w:ascii="宋体" w:hAnsi="宋体" w:cs="宋体"/>
                <w:color w:val="auto"/>
                <w:kern w:val="0"/>
                <w:szCs w:val="21"/>
                <w:highlight w:val="none"/>
                <w:lang w:eastAsia="zh-CN"/>
              </w:rPr>
              <w:t>等级为BB+及以上的投标人中按投标人的投标报价由低往高排序，依序确定为入围投标人，直至入围投标人数量为20 家（与前述 20 家投标人中最高投标报价一致的投标人，一并入围）。</w:t>
            </w:r>
          </w:p>
          <w:p>
            <w:pPr>
              <w:widowControl/>
              <w:wordWrap w:val="0"/>
              <w:ind w:firstLine="420" w:firstLineChars="200"/>
              <w:rPr>
                <w:rFonts w:hint="eastAsia" w:ascii="宋体" w:hAnsi="宋体" w:cs="宋体"/>
                <w:color w:val="auto"/>
                <w:szCs w:val="21"/>
                <w:highlight w:val="none"/>
                <w:lang w:bidi="ar"/>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bidi="ar"/>
              </w:rPr>
              <w:t>①最近期</w:t>
            </w:r>
            <w:r>
              <w:rPr>
                <w:rFonts w:cs="宋体"/>
                <w:color w:val="auto"/>
                <w:szCs w:val="21"/>
                <w:highlight w:val="none"/>
                <w:lang w:bidi="ar"/>
              </w:rPr>
              <w:t>厦门市建筑施工企业信用综合评价结果指</w:t>
            </w:r>
            <w:r>
              <w:rPr>
                <w:rFonts w:hint="eastAsia" w:cs="宋体"/>
                <w:color w:val="auto"/>
                <w:szCs w:val="21"/>
                <w:highlight w:val="none"/>
                <w:u w:val="single"/>
                <w:lang w:bidi="ar"/>
              </w:rPr>
              <w:t xml:space="preserve"> </w:t>
            </w:r>
            <w:r>
              <w:rPr>
                <w:rFonts w:cs="宋体"/>
                <w:color w:val="auto"/>
                <w:szCs w:val="21"/>
                <w:highlight w:val="none"/>
                <w:u w:val="single"/>
                <w:lang w:bidi="ar"/>
              </w:rPr>
              <w:t xml:space="preserve">      </w:t>
            </w:r>
            <w:r>
              <w:rPr>
                <w:rFonts w:hint="eastAsia" w:cs="宋体"/>
                <w:color w:val="auto"/>
                <w:szCs w:val="21"/>
                <w:highlight w:val="none"/>
                <w:lang w:bidi="ar"/>
              </w:rPr>
              <w:t>年度的评价结果，本表下同</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厦门市建筑施工企业信用综合评价结果应当按照联合体中信用综合评价等级最低的企业确定联合体的信用综合评价等级（对于联合体为母公司与在厦控股子公司或关联公司情形另有规定的，从其规定）。</w:t>
            </w:r>
          </w:p>
          <w:p>
            <w:pPr>
              <w:widowControl/>
              <w:wordWrap w:val="0"/>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②本招标项目信用分使用</w:t>
            </w:r>
            <w:r>
              <w:rPr>
                <w:rFonts w:hint="eastAsia" w:ascii="宋体" w:hAnsi="宋体" w:cs="宋体"/>
                <w:color w:val="auto"/>
                <w:kern w:val="0"/>
                <w:szCs w:val="21"/>
                <w:highlight w:val="none"/>
                <w:lang w:val="en-US" w:eastAsia="zh-CN"/>
              </w:rPr>
              <w:t>投标人《企业信用声明》中填报的“评标使用的等级”中</w:t>
            </w:r>
            <w:r>
              <w:rPr>
                <w:rFonts w:hint="eastAsia" w:ascii="宋体" w:hAnsi="宋体" w:cs="宋体"/>
                <w:color w:val="auto"/>
                <w:kern w:val="0"/>
                <w:szCs w:val="21"/>
                <w:highlight w:val="none"/>
              </w:rPr>
              <w:t>施工从业单位及主要从业人员信用考核结果，本表下同。</w:t>
            </w:r>
            <w:r>
              <w:rPr>
                <w:rFonts w:hint="eastAsia" w:ascii="宋体" w:hAnsi="宋体" w:cs="宋体"/>
                <w:color w:val="auto"/>
                <w:kern w:val="0"/>
                <w:szCs w:val="21"/>
                <w:highlight w:val="none"/>
                <w:lang w:val="en-US" w:eastAsia="zh-CN"/>
              </w:rPr>
              <w:t>福建省交通建设市场信用考核评价等级按联合体牵头人的信用等级确定。</w:t>
            </w:r>
          </w:p>
          <w:p>
            <w:pPr>
              <w:widowControl/>
              <w:wordWrap w:val="0"/>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3、经报价排序淘汰和信用排序选取后投标人数量不足 20 家的，按实际数量全部确定为入围投标人。</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当报价排序淘汰和信用排序选取后投标人数量不足3 家时，不足家数从报价排序淘汰后的投标人中按投标人的投标报价由低往高进行报价排序，依序补充确定入围投标人数量直至 5 家（与前述 5 家投标人中最高投标报价一致的投标人，一并入围）。</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4、出现下列情形应当</w:t>
            </w:r>
            <w:r>
              <w:rPr>
                <w:rFonts w:hint="eastAsia" w:ascii="宋体" w:hAnsi="宋体" w:cs="宋体"/>
                <w:color w:val="auto"/>
                <w:szCs w:val="21"/>
                <w:highlight w:val="none"/>
                <w:lang w:bidi="ar"/>
              </w:rPr>
              <w:t>增补入围投标人：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4.1按照第1项与第2项规定确定的入围投标人中最高投标报价与最低投标报价的差值÷招标项目最高投标报价限价×100%的计算结果（保留至小数点后一位，第二位及以后不计）小于1.0%时，视为入围投标人只占用一个入围名额，再按照第1项、第2项规定未被确定为入围投标人的剩余投标人中按以下规定增补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（1）A类工程（同2.1项）</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从</w:t>
            </w:r>
            <w:r>
              <w:rPr>
                <w:rFonts w:hint="eastAsia" w:ascii="宋体" w:hAnsi="宋体" w:cs="宋体"/>
                <w:color w:val="auto"/>
                <w:kern w:val="1"/>
                <w:szCs w:val="21"/>
                <w:highlight w:val="none"/>
                <w:lang w:val="en-US" w:eastAsia="zh-CN" w:bidi="ar"/>
              </w:rPr>
              <w:t>投标人《企业信用声明》中填报的“评标使用的等级”</w:t>
            </w:r>
            <w:r>
              <w:rPr>
                <w:rFonts w:hint="eastAsia" w:ascii="宋体" w:hAnsi="宋体" w:cs="宋体"/>
                <w:color w:val="auto"/>
                <w:kern w:val="1"/>
                <w:szCs w:val="21"/>
                <w:highlight w:val="none"/>
                <w:lang w:bidi="ar"/>
              </w:rPr>
              <w:t>为AA的投标人加上厦门市建筑施工企业信用综合评价结果的评价等级为A的投标人中按投标人的投标报价由低往高进行报价排序，依序选取19家投标人增补为入围投标人。以上等级的投标人数量不足19家的，再从</w:t>
            </w:r>
            <w:r>
              <w:rPr>
                <w:rFonts w:hint="eastAsia" w:ascii="宋体" w:hAnsi="宋体" w:cs="宋体"/>
                <w:color w:val="auto"/>
                <w:kern w:val="1"/>
                <w:szCs w:val="21"/>
                <w:highlight w:val="none"/>
                <w:lang w:val="en-US" w:eastAsia="zh-CN" w:bidi="ar"/>
              </w:rPr>
              <w:t>投标人《企业信用声明》中填报的“评标使用的等级”</w:t>
            </w:r>
            <w:r>
              <w:rPr>
                <w:rFonts w:hint="eastAsia" w:ascii="宋体" w:hAnsi="宋体" w:cs="宋体"/>
                <w:color w:val="auto"/>
                <w:kern w:val="1"/>
                <w:szCs w:val="21"/>
                <w:highlight w:val="none"/>
                <w:lang w:bidi="ar"/>
              </w:rPr>
              <w:t>为A的投标人加上厦门市建筑施工企业信用综合评价等级为BB+的投标人中按投标人的投标报价由低往高排序并依序确定为入围投标人，直至入围投标人数量为19家。</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投标报价与本项增补入围投标人中最高投标报价相同的投标人，一并增补为入围投标人。</w:t>
            </w:r>
          </w:p>
          <w:p>
            <w:pPr>
              <w:pStyle w:val="2"/>
              <w:spacing w:line="240" w:lineRule="auto"/>
              <w:ind w:left="0" w:leftChars="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（2）B类工程（同2.2项）</w:t>
            </w:r>
          </w:p>
          <w:p>
            <w:pPr>
              <w:pStyle w:val="2"/>
              <w:spacing w:line="240" w:lineRule="auto"/>
              <w:ind w:left="0" w:leftChars="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从</w:t>
            </w:r>
            <w:r>
              <w:rPr>
                <w:rFonts w:hint="eastAsia" w:ascii="宋体" w:hAnsi="宋体" w:cs="宋体"/>
                <w:color w:val="auto"/>
                <w:sz w:val="21"/>
                <w:szCs w:val="21"/>
                <w:highlight w:val="none"/>
                <w:lang w:val="en-US" w:eastAsia="zh-CN" w:bidi="ar"/>
              </w:rPr>
              <w:t>投标人《企业信用声明》中填报的“评标使用的等级”</w:t>
            </w:r>
            <w:r>
              <w:rPr>
                <w:rFonts w:hint="eastAsia" w:ascii="宋体" w:hAnsi="宋体" w:cs="宋体"/>
                <w:color w:val="auto"/>
                <w:sz w:val="21"/>
                <w:szCs w:val="21"/>
                <w:highlight w:val="none"/>
                <w:lang w:bidi="ar"/>
              </w:rPr>
              <w:t>为A及以上的投标人加上厦门市建筑施工企业信用综合评价结果的评价等级为BB+及以上的投标人中按投标人的投标报价由低往高排序，依序选取19家投标人增补为入围投标人。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投标报价与本项增补入围投标人中最高投标报价相同的投标人，一并增补为入围投标人。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（3）按照第1项、第2项与第4项规定未被确定为入围投标人的剩余投标人不足19家的，按实际数量全部增补为入围投标人。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4.2按照第1项与第2项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再按照第1项、第2项以及第4.1项规定未被确定为入围投标人的剩余投标人中，按以下规定增补相应数量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（1）A类工程（同2.1项）</w:t>
            </w:r>
          </w:p>
          <w:p>
            <w:pPr>
              <w:ind w:firstLine="420" w:firstLineChars="200"/>
              <w:jc w:val="left"/>
              <w:rPr>
                <w:rFonts w:hint="eastAsia" w:ascii="宋体" w:hAnsi="宋体" w:cs="宋体"/>
                <w:color w:val="auto"/>
                <w:kern w:val="1"/>
                <w:sz w:val="21"/>
                <w:szCs w:val="21"/>
                <w:highlight w:val="none"/>
                <w:lang w:bidi="ar"/>
              </w:rPr>
            </w:pPr>
            <w:r>
              <w:rPr>
                <w:rFonts w:hint="eastAsia" w:ascii="宋体" w:hAnsi="宋体" w:cs="宋体"/>
                <w:color w:val="auto"/>
                <w:kern w:val="1"/>
                <w:sz w:val="21"/>
                <w:szCs w:val="21"/>
                <w:highlight w:val="none"/>
                <w:lang w:bidi="ar"/>
              </w:rPr>
              <w:t>从</w:t>
            </w:r>
            <w:r>
              <w:rPr>
                <w:rFonts w:hint="eastAsia" w:ascii="宋体" w:hAnsi="宋体" w:cs="宋体"/>
                <w:color w:val="auto"/>
                <w:kern w:val="1"/>
                <w:sz w:val="21"/>
                <w:szCs w:val="21"/>
                <w:highlight w:val="none"/>
                <w:lang w:val="en-US" w:eastAsia="zh-CN" w:bidi="ar"/>
              </w:rPr>
              <w:t>投标人《企业信用声明》中填报的“评标使用的等级”</w:t>
            </w:r>
            <w:r>
              <w:rPr>
                <w:rFonts w:hint="eastAsia" w:ascii="宋体" w:hAnsi="宋体" w:cs="宋体"/>
                <w:color w:val="auto"/>
                <w:kern w:val="1"/>
                <w:sz w:val="21"/>
                <w:szCs w:val="21"/>
                <w:highlight w:val="none"/>
                <w:lang w:bidi="ar"/>
              </w:rPr>
              <w:t>为AA的投标人加上厦门市建筑施工企业信用综合评价结果的评价等级为A的投标人中按投标人的投标报价由低往高进行报价排序，依序增补相应数量入围投标人。以上等级的投标人数量不足的，再从</w:t>
            </w:r>
            <w:r>
              <w:rPr>
                <w:rFonts w:hint="eastAsia" w:ascii="宋体" w:hAnsi="宋体" w:cs="宋体"/>
                <w:color w:val="auto"/>
                <w:kern w:val="1"/>
                <w:sz w:val="21"/>
                <w:szCs w:val="21"/>
                <w:highlight w:val="none"/>
                <w:lang w:val="en-US" w:eastAsia="zh-CN" w:bidi="ar"/>
              </w:rPr>
              <w:t>投标人《企业信用声明》中填报的“评标使用的等级”</w:t>
            </w:r>
            <w:r>
              <w:rPr>
                <w:rFonts w:hint="eastAsia" w:ascii="宋体" w:hAnsi="宋体" w:cs="宋体"/>
                <w:color w:val="auto"/>
                <w:kern w:val="1"/>
                <w:sz w:val="21"/>
                <w:szCs w:val="21"/>
                <w:highlight w:val="none"/>
                <w:lang w:bidi="ar"/>
              </w:rPr>
              <w:t>为A的投标人加上厦门市建筑施工企业信用综合评价等级为BB+的投标人中按投标人的投标报价由低往高排序并依序增补相应数量入围投标人。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投标报价与本项增补为入围投标人中最高投标报价相同的投标人，一并增补为入围投标人。</w:t>
            </w:r>
          </w:p>
          <w:p>
            <w:pPr>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（2）B类工程（同2.2项）</w:t>
            </w:r>
          </w:p>
          <w:p>
            <w:pPr>
              <w:pStyle w:val="2"/>
              <w:spacing w:line="240" w:lineRule="auto"/>
              <w:ind w:left="0" w:leftChars="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从</w:t>
            </w:r>
            <w:r>
              <w:rPr>
                <w:rFonts w:hint="eastAsia" w:ascii="宋体" w:hAnsi="宋体" w:cs="宋体"/>
                <w:color w:val="auto"/>
                <w:sz w:val="21"/>
                <w:szCs w:val="21"/>
                <w:highlight w:val="none"/>
                <w:lang w:val="en-US" w:eastAsia="zh-CN" w:bidi="ar"/>
              </w:rPr>
              <w:t>投标人《企业信用声明》中填报的“评标使用的等级”</w:t>
            </w:r>
            <w:r>
              <w:rPr>
                <w:rFonts w:hint="eastAsia" w:ascii="宋体" w:hAnsi="宋体" w:cs="宋体"/>
                <w:color w:val="auto"/>
                <w:sz w:val="21"/>
                <w:szCs w:val="21"/>
                <w:highlight w:val="none"/>
                <w:lang w:bidi="ar"/>
              </w:rPr>
              <w:t>为A及以上的投标人加上厦门市建筑施工企业信用综合评价结果的评价等级为BB+及以上的投标人中按投标人的投标报价由低往高排序，依序增补相应数量入围投标人。</w:t>
            </w:r>
          </w:p>
          <w:p>
            <w:pPr>
              <w:pStyle w:val="2"/>
              <w:spacing w:line="240" w:lineRule="auto"/>
              <w:ind w:left="0" w:leftChars="0" w:firstLineChars="200"/>
              <w:jc w:val="left"/>
              <w:rPr>
                <w:rFonts w:hint="eastAsia" w:ascii="宋体" w:hAnsi="宋体" w:cs="宋体"/>
                <w:color w:val="auto"/>
                <w:kern w:val="1"/>
                <w:sz w:val="21"/>
                <w:szCs w:val="21"/>
                <w:highlight w:val="none"/>
                <w:lang w:bidi="ar"/>
              </w:rPr>
            </w:pPr>
            <w:r>
              <w:rPr>
                <w:rFonts w:hint="eastAsia" w:ascii="宋体" w:hAnsi="宋体" w:cs="宋体"/>
                <w:color w:val="auto"/>
                <w:sz w:val="21"/>
                <w:szCs w:val="21"/>
                <w:highlight w:val="none"/>
                <w:lang w:bidi="ar"/>
              </w:rPr>
              <w:t>（3）</w:t>
            </w:r>
            <w:r>
              <w:rPr>
                <w:rFonts w:hint="eastAsia" w:ascii="宋体" w:hAnsi="宋体" w:cs="宋体"/>
                <w:color w:val="auto"/>
                <w:kern w:val="1"/>
                <w:sz w:val="21"/>
                <w:szCs w:val="21"/>
                <w:highlight w:val="none"/>
                <w:lang w:bidi="ar"/>
              </w:rPr>
              <w:t>按照第1项、第2项以及第4.1项规定未被确定为入围投标人的剩余投标人数量不足的，剩余投标人全部增补为入围投标人。</w:t>
            </w:r>
          </w:p>
          <w:p>
            <w:pPr>
              <w:widowControl/>
              <w:wordWrap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5、招标人将资格审查程序先于确定入围投标人程序的，“投标人”指资格审查合格的投标人。</w:t>
            </w:r>
          </w:p>
          <w:p>
            <w:pPr>
              <w:widowControl/>
              <w:wordWrap w:val="0"/>
              <w:ind w:firstLine="210" w:firstLineChars="100"/>
              <w:jc w:val="left"/>
              <w:rPr>
                <w:rFonts w:hint="eastAsia"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2.1</w:t>
            </w:r>
          </w:p>
        </w:tc>
        <w:tc>
          <w:tcPr>
            <w:tcW w:w="844"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p>
            <w:pPr>
              <w:jc w:val="cente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财务状况</w:t>
            </w:r>
          </w:p>
        </w:tc>
        <w:tc>
          <w:tcPr>
            <w:tcW w:w="4962"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项目业绩</w:t>
            </w:r>
          </w:p>
        </w:tc>
        <w:tc>
          <w:tcPr>
            <w:tcW w:w="4962" w:type="dxa"/>
            <w:noWrap w:val="0"/>
            <w:vAlign w:val="center"/>
          </w:tcPr>
          <w:p>
            <w:pPr>
              <w:spacing w:line="300" w:lineRule="auto"/>
              <w:ind w:firstLine="0" w:firstLineChars="0"/>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信誉</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主要人员</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4962" w:type="dxa"/>
            <w:noWrap w:val="0"/>
            <w:vAlign w:val="center"/>
          </w:tcPr>
          <w:p>
            <w:pPr>
              <w:spacing w:line="300" w:lineRule="auto"/>
              <w:rPr>
                <w:rFonts w:hint="eastAsia" w:ascii="宋体" w:hAnsi="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color w:val="auto"/>
                <w:szCs w:val="21"/>
                <w:highlight w:val="none"/>
              </w:rPr>
              <w:t>（如有）</w:t>
            </w:r>
          </w:p>
        </w:tc>
        <w:tc>
          <w:tcPr>
            <w:tcW w:w="4962" w:type="dxa"/>
            <w:noWrap w:val="0"/>
            <w:vAlign w:val="center"/>
          </w:tcPr>
          <w:p>
            <w:pPr>
              <w:spacing w:line="300" w:lineRule="auto"/>
              <w:rPr>
                <w:rFonts w:hint="eastAsia"/>
                <w:color w:val="auto"/>
                <w:highlight w:val="none"/>
              </w:rPr>
            </w:pPr>
            <w:r>
              <w:rPr>
                <w:rFonts w:hint="eastAsia"/>
                <w:color w:val="auto"/>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投标文件软硬件信息不得出现的情形</w:t>
            </w:r>
          </w:p>
        </w:tc>
        <w:tc>
          <w:tcPr>
            <w:tcW w:w="4962" w:type="dxa"/>
            <w:noWrap w:val="0"/>
            <w:vAlign w:val="center"/>
          </w:tcPr>
          <w:p>
            <w:pPr>
              <w:spacing w:line="300" w:lineRule="auto"/>
              <w:rPr>
                <w:rFonts w:hint="eastAsia" w:ascii="宋体" w:hAnsi="宋体"/>
                <w:color w:val="auto"/>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2.2</w:t>
            </w:r>
          </w:p>
        </w:tc>
        <w:tc>
          <w:tcPr>
            <w:tcW w:w="84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投标函签字盖章</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投标文件格式</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eastAsia="zh-CN"/>
              </w:rPr>
              <w:t>九</w:t>
            </w:r>
            <w:r>
              <w:rPr>
                <w:rFonts w:hint="eastAsia" w:ascii="宋体" w:hAnsi="宋体"/>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ascii="宋体" w:hAnsi="宋体"/>
                <w:color w:val="auto"/>
                <w:kern w:val="0"/>
                <w:szCs w:val="21"/>
                <w:highlight w:val="none"/>
              </w:rPr>
              <w:t>（若有）</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kern w:val="0"/>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rPr>
              <w:t>分包协议</w:t>
            </w:r>
          </w:p>
        </w:tc>
        <w:tc>
          <w:tcPr>
            <w:tcW w:w="4962"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s="宋体"/>
                <w:color w:val="auto"/>
                <w:szCs w:val="21"/>
                <w:highlight w:val="none"/>
              </w:rPr>
              <w:t>分包人资质、分包内容等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lang w:val="en"/>
              </w:rPr>
              <w:t>...</w:t>
            </w:r>
          </w:p>
        </w:tc>
        <w:tc>
          <w:tcPr>
            <w:tcW w:w="4962"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s="宋体"/>
                <w:color w:val="auto"/>
                <w:szCs w:val="21"/>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2.3</w:t>
            </w:r>
          </w:p>
        </w:tc>
        <w:tc>
          <w:tcPr>
            <w:tcW w:w="844" w:type="dxa"/>
            <w:vMerge w:val="restart"/>
            <w:noWrap w:val="0"/>
            <w:vAlign w:val="center"/>
          </w:tcPr>
          <w:p>
            <w:pPr>
              <w:jc w:val="center"/>
              <w:rPr>
                <w:rFonts w:hint="eastAsia"/>
                <w:color w:val="auto"/>
                <w:highlight w:val="none"/>
              </w:rPr>
            </w:pPr>
            <w:r>
              <w:rPr>
                <w:rFonts w:hint="eastAsia" w:ascii="宋体" w:hAnsi="宋体"/>
                <w:color w:val="auto"/>
                <w:szCs w:val="21"/>
                <w:highlight w:val="none"/>
              </w:rPr>
              <w:t>响应性评审标准</w:t>
            </w: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投标内容</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工期</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权利义务</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第五章“合同条款及格式”规定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已标价的工程量清单</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第六章“工程量清单”给出的范围及数量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技术标准和要求</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符合招标文件第八章“技术标准和要求”规定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43"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126" w:type="dxa"/>
            <w:noWrap w:val="0"/>
            <w:vAlign w:val="center"/>
          </w:tcPr>
          <w:p>
            <w:pPr>
              <w:widowControl/>
              <w:wordWrap w:val="0"/>
              <w:jc w:val="center"/>
              <w:rPr>
                <w:rFonts w:hint="eastAsia" w:ascii="宋体" w:hAnsi="宋体"/>
                <w:color w:val="auto"/>
                <w:szCs w:val="21"/>
                <w:highlight w:val="none"/>
              </w:rPr>
            </w:pPr>
            <w:r>
              <w:rPr>
                <w:rFonts w:hint="eastAsia" w:ascii="宋体" w:hAnsi="宋体" w:cs="宋体"/>
                <w:color w:val="auto"/>
                <w:szCs w:val="21"/>
                <w:highlight w:val="none"/>
                <w:lang w:val="zh-CN" w:bidi="zh-CN"/>
              </w:rPr>
              <w:t>投标人回复澄清、说明、补正的时限</w:t>
            </w:r>
          </w:p>
        </w:tc>
        <w:tc>
          <w:tcPr>
            <w:tcW w:w="4962" w:type="dxa"/>
            <w:noWrap w:val="0"/>
            <w:vAlign w:val="center"/>
          </w:tcPr>
          <w:p>
            <w:pPr>
              <w:widowControl/>
              <w:wordWrap w:val="0"/>
              <w:rPr>
                <w:rFonts w:hint="eastAsia"/>
                <w:color w:val="auto"/>
                <w:highlight w:val="none"/>
              </w:rPr>
            </w:pPr>
            <w:r>
              <w:rPr>
                <w:rFonts w:hint="eastAsia" w:ascii="宋体" w:hAnsi="宋体" w:cs="宋体"/>
                <w:color w:val="auto"/>
                <w:kern w:val="1"/>
                <w:szCs w:val="21"/>
                <w:highlight w:val="none"/>
              </w:rPr>
              <w:t xml:space="preserve"> 评标委员会通过电子交易平台发出通知后</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分钟内。</w:t>
            </w:r>
          </w:p>
        </w:tc>
      </w:tr>
    </w:tbl>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tabs>
          <w:tab w:val="left" w:pos="4200"/>
        </w:tabs>
        <w:spacing w:line="320" w:lineRule="exact"/>
        <w:ind w:firstLine="602" w:firstLineChars="200"/>
        <w:jc w:val="center"/>
        <w:rPr>
          <w:rFonts w:hint="eastAsia" w:ascii="宋体" w:hAnsi="宋体" w:cs="宋体"/>
          <w:b/>
          <w:bCs/>
          <w:color w:val="auto"/>
          <w:kern w:val="0"/>
          <w:sz w:val="30"/>
          <w:szCs w:val="30"/>
          <w:highlight w:val="none"/>
        </w:rPr>
      </w:pPr>
    </w:p>
    <w:p>
      <w:pPr>
        <w:widowControl/>
        <w:spacing w:line="240" w:lineRule="auto"/>
        <w:ind w:firstLine="0" w:firstLineChars="0"/>
        <w:jc w:val="left"/>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pPr>
        <w:pStyle w:val="2"/>
        <w:rPr>
          <w:rFonts w:hint="eastAsia"/>
          <w:color w:val="auto"/>
          <w:highlight w:val="none"/>
        </w:rPr>
      </w:pPr>
    </w:p>
    <w:p>
      <w:pPr>
        <w:pStyle w:val="78"/>
        <w:jc w:val="center"/>
        <w:rPr>
          <w:rFonts w:hint="eastAsia"/>
          <w:color w:val="auto"/>
          <w:highlight w:val="none"/>
        </w:rPr>
      </w:pPr>
      <w:r>
        <w:rPr>
          <w:rFonts w:hint="eastAsia"/>
          <w:color w:val="auto"/>
          <w:sz w:val="32"/>
          <w:szCs w:val="32"/>
          <w:highlight w:val="none"/>
        </w:rPr>
        <w:t>评标办法正文</w:t>
      </w:r>
      <w:r>
        <w:rPr>
          <w:rFonts w:hint="eastAsia" w:eastAsia="黑体"/>
          <w:color w:val="auto"/>
          <w:sz w:val="21"/>
          <w:highlight w:val="none"/>
        </w:rPr>
        <w:t>（适用于其他项目）</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本评标办法正文若有与本范本评标办法前附表不一致之处，以评标办法前附表为准。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评标方法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本次评标采用定性评审法。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招标人分别组建资格审查委员会与评标委员会，资格审查委员会与评标委员会分工实施评标工作。资格审查委员会在开标后实施资格审查，确定入围投标人。评标委员会对入围投标人的投标文件进行定性评审，将未被否决投标的入围投标人确定为定标候选人，并为后续招标人定标、签订合同提供意见。</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评标程序和标准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评标按以下程序进行。</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资格审查及确定入围投标人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（6）结果确认</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投标人须知前附表对上述第（3）目“确定入围投标人”与第（4）目“资格审查”的程序顺序作出规定的，从其规定。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（3）初步评审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（5）投标文件的修正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（6）详细评审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（7）确定定标候选人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资格审查与确定入围投标人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组建资格审查委员会</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资格审查委员会由招标人代表（包括招标人委托的招标代理机构代表）组成，成员人数为 3 人及以上单数。资格审查与确定入围投标人工作由资格审查委员会负责并组织实施。</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资格审查前的准备</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资格审查委员会在资格审查前应当认真研究招标文件，了解和熟悉资格审查程序、标准和审查过程中考虑的相关因素。</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确定入围投标人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资格审查委员会在投标人中，依据评标办法附表第 1 项规定的标准确定入围投标人。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资格审查</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资格审查委员会依据评标办法附表第 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项规定的标准对入围投标人进行资格审查，有一项不符合评审标准的，资格审查不合格，且不再递补入围投标人。</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澄清</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资格审查委员会认为需要对投标人的资格文件进行澄清的，应当通过电子交易平台要求投标人对所提交的资格文件中不明确的内容进行书面澄清。投标人不按资格审查委员会要求澄清的，资格审查不合格。</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澄清不得改变投标文件的实质性内容，投标人的书面澄清属于资格文件的组成部分。资格审查委员会不接受投标人主动提出的澄清。</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结果确认</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资格审查委员会根据规定的程序和标准完成评审后，编制资格审查报告，向评标委员会告知评审结果。</w:t>
      </w:r>
    </w:p>
    <w:p>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资格审查委员会未按照招标文件规定的程序或标准进行评审且影响入围投标人确定结果的，应当按照招标文件规定的程序或标准进行纠正</w:t>
      </w:r>
      <w:r>
        <w:rPr>
          <w:rFonts w:hint="eastAsia" w:ascii="宋体" w:hAnsi="宋体" w:eastAsia="宋体" w:cs="宋体"/>
          <w:color w:val="auto"/>
          <w:sz w:val="24"/>
          <w:szCs w:val="24"/>
          <w:highlight w:val="none"/>
          <w:lang w:eastAsia="zh-CN"/>
        </w:rPr>
        <w:t>。</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4.1定性评审工作规则</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4.1.1评标委员会应当按照本章规定的方法、评审因素、标准和程序，客观、公正地对投标文件提出评审意见。本章没有规定的方法、评审因素和标准，不得作为评标的依据。</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4.1.2招标人应当根据项目规模和技术复杂程度等因素合理确定评标时间。超过三分之一的评标委员会成员认为评标时间不够的，招标人应当适当延长。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4.1.4招标文件条款存在含义不清或者相互矛盾的，评标委员会应当针对相应条款作出有利于相应投标人的结论。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4.1.6对否决的投标或不采信投标人说明的情况，评标委员会应当在评标报告中作详细说明。</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4.1.8评标结束后，由招标人向评标委员会成员支付劳务费。除此之外，评标委员会成员不得接受该项目招投标相关单位和个人的任何其他礼物、现金或者有价证券等财物。</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（1）评标委员会由有关技术、经济等方面的专家组成，成员人数见第二章“投标人须知”。技术、经济等方面专家全部从福建省综合性评标专家库中抽取。</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（2）评标委员会成员有下列情形之一的，应当回避：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①招标人或投标人的主要负责人的近亲属；</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②项目主管部门或者行政监督部门的人员；</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③与投标人有利害关系的；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④与投标人有经济利益关系，可能影响对投标公正评审的；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⑤曾因在招标、评标以及其他与招标投标有关活动中从事违法行为而受过行政处罚或刑事处罚的。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wordWrap w:val="0"/>
        <w:spacing w:line="3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4.4 </w:t>
      </w:r>
      <w:r>
        <w:rPr>
          <w:rFonts w:hint="eastAsia" w:ascii="宋体" w:hAnsi="宋体" w:cs="宋体"/>
          <w:color w:val="auto"/>
          <w:sz w:val="24"/>
          <w:szCs w:val="24"/>
          <w:highlight w:val="none"/>
          <w:lang w:eastAsia="zh-CN"/>
        </w:rPr>
        <w:t>形式评审及响应性评审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评标委员会依据评标办法前附表第2.2及2.3项规定的标准对入围投标人</w:t>
      </w:r>
      <w:r>
        <w:rPr>
          <w:rFonts w:hint="eastAsia" w:ascii="宋体" w:hAnsi="宋体" w:eastAsia="宋体" w:cs="宋体"/>
          <w:color w:val="auto"/>
          <w:sz w:val="24"/>
          <w:szCs w:val="24"/>
          <w:highlight w:val="none"/>
        </w:rPr>
        <w:t>（先确定入围投标人再进行资格审查的，指资格审查合格的入围投标人）</w:t>
      </w:r>
      <w:r>
        <w:rPr>
          <w:rFonts w:hint="eastAsia" w:ascii="宋体" w:hAnsi="宋体" w:eastAsia="宋体" w:cs="宋体"/>
          <w:color w:val="auto"/>
          <w:sz w:val="24"/>
          <w:highlight w:val="none"/>
        </w:rPr>
        <w:t>的投标文件进行初步评</w:t>
      </w:r>
      <w:r>
        <w:rPr>
          <w:rFonts w:hint="eastAsia" w:ascii="宋体" w:hAnsi="宋体" w:cs="宋体"/>
          <w:color w:val="auto"/>
          <w:sz w:val="24"/>
          <w:highlight w:val="none"/>
        </w:rPr>
        <w:t>审，有一项不符合评审标准的，评标委员会应当否决其投标。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评标过程中，评标委员会可以通过电子交易平台要求投标人对所提交的投标文件中不明确的内容进行书面澄清或说明，或者对细微偏差进行补正。投标人通过电子交易平台回复澄清、说明、补正，时限要求详见评标办法前附表第 4 项，评标委员会不接受投标人主动提出的澄清、说明或补正。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（2）澄清、说明和补正不得改变投标文件的实质性内容。投标人的书面澄清、说明和补正属于投标文件的组成部分。</w:t>
      </w:r>
    </w:p>
    <w:p>
      <w:pPr>
        <w:wordWrap w:val="0"/>
        <w:spacing w:before="0" w:after="0" w:line="3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（3）评标委员会对投标人提交的澄清、说明或补正有疑问的，可以要求投标人进一步澄清、说明或补正，直至满足评标委员会的要求。不按评标委员会要求澄清、说明或补正的，评标委员会应当否决其投标。</w:t>
      </w:r>
      <w:bookmarkStart w:id="945" w:name="_Toc463799054"/>
      <w:bookmarkStart w:id="946" w:name="_Toc487653226"/>
      <w:bookmarkStart w:id="947" w:name="_Toc23362"/>
      <w:bookmarkStart w:id="948" w:name="_Toc486685947"/>
      <w:bookmarkStart w:id="949" w:name="_Toc490832333"/>
    </w:p>
    <w:p>
      <w:pPr>
        <w:wordWrap w:val="0"/>
        <w:spacing w:line="360" w:lineRule="exact"/>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6投标文件的修正</w:t>
      </w:r>
    </w:p>
    <w:p>
      <w:pPr>
        <w:wordWrap w:val="0"/>
        <w:spacing w:line="360" w:lineRule="exact"/>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有算术错误的，资格审查委员会按以下原则对投标报价进行修正，修正的价格经投标人通过电子交易平台确认后具有约束力，投标人通过电子交易平台确认的时限要求详见评标办法前附表第4项。投标人不接受修正的，资格审查委员会应当否决其投标。</w:t>
      </w:r>
    </w:p>
    <w:p>
      <w:pPr>
        <w:wordWrap w:val="0"/>
        <w:spacing w:line="360" w:lineRule="exact"/>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（1）投标文件中的大写金额与小写金额不一致的，以大写金额为准；</w:t>
      </w:r>
    </w:p>
    <w:p>
      <w:pPr>
        <w:wordWrap w:val="0"/>
        <w:spacing w:line="360" w:lineRule="exact"/>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（2）总价金额与依据单价计算出的结果不一致的，以单价金额为准修正总价，但单价金额小数点有明显错误的除外；</w:t>
      </w:r>
    </w:p>
    <w:p>
      <w:pPr>
        <w:wordWrap w:val="0"/>
        <w:spacing w:line="360" w:lineRule="exact"/>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（3）当单价与数量相乘不等于合价时，以单价计算为准，如果单价有明显的小数点位置差错，应以标出的合价为准，同时对单价予以修正；</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（4）当各子目的合价累计不等于总价时，应以各子目合价累计数为准，修正总价。</w:t>
      </w:r>
      <w:r>
        <w:rPr>
          <w:rFonts w:hint="eastAsia" w:ascii="宋体" w:hAnsi="宋体" w:eastAsia="宋体" w:cs="宋体"/>
          <w:color w:val="auto"/>
          <w:sz w:val="24"/>
          <w:highlight w:val="none"/>
        </w:rPr>
        <w:t>4.7投标文件相关信息的核查</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4.7.1在评标过程中，评标委员会应查询交通运输主管部门“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”，对投标人的资质、业绩、主要人员资历和目前在岗情况、信用等级等信息进行核实。若投标文件载明的信息与交通运输主管部门“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”发布的信息不符，使得投标人的资格条件不符合招标文件规定的，评标委员会应否决其投标。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4.7.2评标委员会应对在评标过程中发现的投标人与投标人之间、投标人与招标人之间存在的串通投标的情形进行评审和认定。投标人存在串通投标、弄虚作假、行贿等违法行为的，评标委员会应否决其投标。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（1）有下列情形之一的，属于投标人相互串通投标：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a.投标人之间协商投标报价等投标文件的实质性内容；</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b.投标人之间约定中标人；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c.投标人之间约定部分投标人放弃投标或中标；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d.属于同一集团、协会、商会等组织成员的投标人按照该组织要求协同投标；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e.投标人之间为谋取中标或排斥特定投标人而釆取的其他联合行动。</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（2）有下列情形之一的，视为投标人相互串通投标：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a.不同投标人的投标文件由同一单位或个人编制；</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b.不同投标人委托同一单位或个人办理投标事宜；</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c.不同投标人的投标文件载明的项目管理成员为同一人；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d.不同投标人的投标文件异常一致或投标报价呈规律性差异；</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e.不同投标人的投标文件相互混装；</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f.不同投标人的投标保证金从同一单位或个人的账户转出。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（3）有下列情形之一的，属于招标人与投标人串通投标：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a.招标人在开标前开启投标文件并将有关信息泄露给其他投标人；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b.招标人直接或间接向投标人泄露标底、评标委员会成员等信息；</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c.招标人明示或暗示投标人压低或抬高投标报价；</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d.招标人授意投标人撤换、修改投标文件；</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e.招标人明示或暗示投标人为特定投标人中标提供方便；</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f.招标人与投标人为谋求特定投标人中标而采取的其他串通行为。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（4）投标人有下列情形之一的，属于弄虚作假的行为：</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a.使用通过受让或租借等方式获取的资格、资质证书投标；</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b.使用伪造、变造的许可证件；</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c.提供虚假的财务状况或业绩；</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d.提供虚假的项目负责人或主要技术人员简历、劳动关系证明；</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e.提供虚假的信用状况；</w:t>
      </w:r>
    </w:p>
    <w:p>
      <w:pPr>
        <w:wordWrap w:val="0"/>
        <w:spacing w:line="360" w:lineRule="exact"/>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f.其他弄虚作假的行为。</w:t>
      </w:r>
    </w:p>
    <w:bookmarkEnd w:id="945"/>
    <w:bookmarkEnd w:id="946"/>
    <w:bookmarkEnd w:id="947"/>
    <w:bookmarkEnd w:id="948"/>
    <w:bookmarkEnd w:id="949"/>
    <w:p>
      <w:pPr>
        <w:widowControl/>
        <w:wordWrap w:val="0"/>
        <w:spacing w:line="360" w:lineRule="exact"/>
        <w:ind w:firstLine="480" w:firstLineChars="200"/>
        <w:rPr>
          <w:rFonts w:hint="eastAsia" w:ascii="宋体" w:hAnsi="宋体" w:cs="宋体"/>
          <w:color w:val="auto"/>
          <w:sz w:val="24"/>
          <w:highlight w:val="none"/>
        </w:rPr>
      </w:pPr>
      <w:bookmarkStart w:id="950" w:name="_Toc18240"/>
      <w:bookmarkStart w:id="951" w:name="_Toc486685948"/>
      <w:bookmarkStart w:id="952" w:name="_Toc490832334"/>
      <w:bookmarkStart w:id="953" w:name="_Toc487653227"/>
      <w:bookmarkStart w:id="954" w:name="_Toc463799055"/>
      <w:r>
        <w:rPr>
          <w:rFonts w:hint="eastAsia" w:ascii="宋体" w:hAnsi="宋体" w:cs="宋体"/>
          <w:color w:val="auto"/>
          <w:sz w:val="24"/>
          <w:highlight w:val="none"/>
        </w:rPr>
        <w:t>5. 确定定标候选人</w:t>
      </w:r>
    </w:p>
    <w:p>
      <w:pPr>
        <w:widowControl/>
        <w:spacing w:line="3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评标委员会根据评标程序和标准完成评标后，将所有投标未被否决的入围投标人确定为定标候选人。投标未被否决的入围投标人少于 3 家，评标委员会认为投标明显缺乏竞争的，可以否决全部投标。</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提交资格审查报告和评标报告</w:t>
      </w:r>
    </w:p>
    <w:p>
      <w:pPr>
        <w:widowControl/>
        <w:spacing w:line="3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6.1 资格审查委员会和评标委员会按照本章规定的程序和评审标准完成全部评审工作后，应当向招标人提交资格审查报告和评标报告。</w:t>
      </w:r>
    </w:p>
    <w:p>
      <w:pPr>
        <w:widowControl/>
        <w:spacing w:line="3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6.2 评标委员会决定否决所有投标的，应当在评标报告中说明具体理由。</w:t>
      </w:r>
    </w:p>
    <w:p>
      <w:pPr>
        <w:widowControl/>
        <w:tabs>
          <w:tab w:val="left" w:pos="4200"/>
        </w:tabs>
        <w:spacing w:before="158" w:beforeLines="50" w:line="36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6.3 评标报告中应当列明投标文件雷同情况。</w:t>
      </w: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color w:val="auto"/>
          <w:sz w:val="24"/>
          <w:highlight w:val="none"/>
        </w:rPr>
      </w:pPr>
    </w:p>
    <w:p>
      <w:pPr>
        <w:widowControl/>
        <w:tabs>
          <w:tab w:val="left" w:pos="4200"/>
        </w:tabs>
        <w:spacing w:before="158" w:beforeLines="50" w:line="400" w:lineRule="exact"/>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评标办法</w:t>
      </w:r>
    </w:p>
    <w:p>
      <w:pPr>
        <w:widowControl/>
        <w:tabs>
          <w:tab w:val="left" w:pos="4200"/>
        </w:tabs>
        <w:spacing w:before="317" w:beforeLines="100" w:after="317" w:afterLines="100" w:line="400" w:lineRule="exac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评标办法前附表</w:t>
      </w:r>
      <w:r>
        <w:rPr>
          <w:rFonts w:hint="eastAsia" w:ascii="黑体" w:hAnsi="黑体" w:eastAsia="黑体" w:cs="黑体"/>
          <w:color w:val="auto"/>
          <w:sz w:val="24"/>
          <w:highlight w:val="none"/>
        </w:rPr>
        <w:t>（适用于简易程序招标项目）</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44"/>
        <w:gridCol w:w="2126"/>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43" w:type="dxa"/>
            <w:gridSpan w:val="2"/>
            <w:noWrap w:val="0"/>
            <w:vAlign w:val="center"/>
          </w:tcPr>
          <w:p>
            <w:pPr>
              <w:jc w:val="center"/>
              <w:rPr>
                <w:rFonts w:hint="eastAsia"/>
                <w:b/>
                <w:color w:val="auto"/>
                <w:highlight w:val="none"/>
              </w:rPr>
            </w:pPr>
            <w:r>
              <w:rPr>
                <w:rFonts w:hint="eastAsia" w:ascii="宋体" w:hAnsi="宋体"/>
                <w:b/>
                <w:color w:val="auto"/>
                <w:szCs w:val="21"/>
                <w:highlight w:val="none"/>
              </w:rPr>
              <w:t>条款号</w:t>
            </w:r>
          </w:p>
        </w:tc>
        <w:tc>
          <w:tcPr>
            <w:tcW w:w="2126" w:type="dxa"/>
            <w:noWrap w:val="0"/>
            <w:vAlign w:val="center"/>
          </w:tcPr>
          <w:p>
            <w:pPr>
              <w:jc w:val="center"/>
              <w:rPr>
                <w:rFonts w:hint="eastAsia"/>
                <w:b/>
                <w:color w:val="auto"/>
                <w:highlight w:val="none"/>
              </w:rPr>
            </w:pPr>
            <w:r>
              <w:rPr>
                <w:rFonts w:hint="eastAsia" w:ascii="宋体" w:hAnsi="宋体"/>
                <w:b/>
                <w:color w:val="auto"/>
                <w:szCs w:val="21"/>
                <w:highlight w:val="none"/>
              </w:rPr>
              <w:t>评审因素</w:t>
            </w:r>
          </w:p>
        </w:tc>
        <w:tc>
          <w:tcPr>
            <w:tcW w:w="4962" w:type="dxa"/>
            <w:noWrap w:val="0"/>
            <w:vAlign w:val="center"/>
          </w:tcPr>
          <w:p>
            <w:pPr>
              <w:jc w:val="center"/>
              <w:rPr>
                <w:rFonts w:hint="eastAsia"/>
                <w:b/>
                <w:color w:val="auto"/>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2" w:hRule="atLeast"/>
        </w:trPr>
        <w:tc>
          <w:tcPr>
            <w:tcW w:w="1843" w:type="dxa"/>
            <w:gridSpan w:val="2"/>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1</w:t>
            </w:r>
          </w:p>
        </w:tc>
        <w:tc>
          <w:tcPr>
            <w:tcW w:w="2126" w:type="dxa"/>
            <w:noWrap w:val="0"/>
            <w:vAlign w:val="center"/>
          </w:tcPr>
          <w:p>
            <w:pPr>
              <w:widowControl/>
              <w:wordWrap w:val="0"/>
              <w:jc w:val="center"/>
              <w:rPr>
                <w:rFonts w:hint="eastAsia" w:ascii="宋体" w:hAnsi="宋体"/>
                <w:b/>
                <w:color w:val="auto"/>
                <w:szCs w:val="21"/>
                <w:highlight w:val="none"/>
              </w:rPr>
            </w:pPr>
            <w:r>
              <w:rPr>
                <w:rFonts w:hint="eastAsia" w:ascii="宋体" w:hAnsi="宋体" w:cs="宋体"/>
                <w:color w:val="auto"/>
                <w:kern w:val="0"/>
                <w:szCs w:val="21"/>
                <w:highlight w:val="none"/>
              </w:rPr>
              <w:t>确定入围投标人</w:t>
            </w:r>
          </w:p>
        </w:tc>
        <w:tc>
          <w:tcPr>
            <w:tcW w:w="4962" w:type="dxa"/>
            <w:noWrap w:val="0"/>
            <w:vAlign w:val="center"/>
          </w:tcPr>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（一）投标人数量小于或等于20家</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所有投标人均确定为入围投标人。</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（二）投标人数量大于20家</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1、报价排序淘汰投标人：</w:t>
            </w:r>
          </w:p>
          <w:p>
            <w:pPr>
              <w:widowControl/>
              <w:wordWrap w:val="0"/>
              <w:spacing w:line="240" w:lineRule="auto"/>
              <w:ind w:firstLine="420" w:firstLineChars="200"/>
              <w:jc w:val="left"/>
              <w:rPr>
                <w:rFonts w:hint="eastAsia"/>
                <w:color w:val="auto"/>
                <w:kern w:val="1"/>
                <w:szCs w:val="21"/>
                <w:highlight w:val="none"/>
                <w:lang w:val="zh-CN"/>
              </w:rPr>
            </w:pPr>
            <w:r>
              <w:rPr>
                <w:rFonts w:cs="宋体"/>
                <w:color w:val="auto"/>
                <w:szCs w:val="21"/>
                <w:highlight w:val="none"/>
                <w:lang w:val="zh-CN" w:bidi="zh-CN"/>
              </w:rPr>
              <w:t>按投标人的投标报价由低往高</w:t>
            </w:r>
            <w:r>
              <w:rPr>
                <w:rFonts w:hint="eastAsia"/>
                <w:color w:val="auto"/>
                <w:kern w:val="1"/>
                <w:szCs w:val="21"/>
                <w:highlight w:val="none"/>
                <w:lang w:val="zh-CN"/>
              </w:rPr>
              <w:t>进行报价排序</w:t>
            </w:r>
            <w:r>
              <w:rPr>
                <w:rFonts w:cs="宋体"/>
                <w:color w:val="auto"/>
                <w:szCs w:val="21"/>
                <w:highlight w:val="none"/>
                <w:lang w:val="zh-CN" w:bidi="zh-CN"/>
              </w:rPr>
              <w:t>，淘汰排序靠前5%数量且不少于3家投标人</w:t>
            </w:r>
            <w:r>
              <w:rPr>
                <w:rFonts w:hint="eastAsia" w:cs="宋体"/>
                <w:color w:val="auto"/>
                <w:szCs w:val="21"/>
                <w:highlight w:val="none"/>
                <w:lang w:val="zh-CN" w:bidi="zh-CN"/>
              </w:rPr>
              <w:t>（淘汰数量取整数，小数点第一位“四舍五入”，</w:t>
            </w:r>
            <w:r>
              <w:rPr>
                <w:rFonts w:hint="eastAsia"/>
                <w:color w:val="auto"/>
                <w:kern w:val="1"/>
                <w:szCs w:val="21"/>
                <w:highlight w:val="none"/>
                <w:lang w:val="zh-CN"/>
              </w:rPr>
              <w:t>第二位及以后不计；与淘汰投标人中最高投标报价相同的投标人，一并淘汰）</w:t>
            </w:r>
            <w:r>
              <w:rPr>
                <w:rFonts w:hint="eastAsia" w:cs="宋体"/>
                <w:color w:val="auto"/>
                <w:szCs w:val="21"/>
                <w:highlight w:val="none"/>
                <w:lang w:val="zh-CN" w:bidi="zh-CN"/>
              </w:rPr>
              <w:t>，</w:t>
            </w:r>
            <w:r>
              <w:rPr>
                <w:rFonts w:cs="宋体"/>
                <w:color w:val="auto"/>
                <w:szCs w:val="21"/>
                <w:highlight w:val="none"/>
                <w:lang w:val="zh-CN" w:bidi="zh-CN"/>
              </w:rPr>
              <w:t>同时在余下的投标人中淘汰排序靠后1/3数量的投标人（</w:t>
            </w:r>
            <w:r>
              <w:rPr>
                <w:rFonts w:hint="eastAsia" w:cs="宋体"/>
                <w:color w:val="auto"/>
                <w:szCs w:val="21"/>
                <w:highlight w:val="none"/>
                <w:lang w:val="zh-CN" w:bidi="zh-CN"/>
              </w:rPr>
              <w:t>淘汰数量取整数，小数点第一位“四舍五入”，</w:t>
            </w:r>
            <w:r>
              <w:rPr>
                <w:rFonts w:hint="eastAsia"/>
                <w:color w:val="auto"/>
                <w:kern w:val="1"/>
                <w:szCs w:val="21"/>
                <w:highlight w:val="none"/>
                <w:lang w:val="zh-CN"/>
              </w:rPr>
              <w:t>第二位及以后不计；与淘汰投标人中最低投标报价一致的投标人，一并淘汰）。</w:t>
            </w:r>
          </w:p>
          <w:p>
            <w:pPr>
              <w:widowControl/>
              <w:wordWrap w:val="0"/>
              <w:spacing w:line="240" w:lineRule="auto"/>
              <w:ind w:firstLine="420" w:firstLineChars="200"/>
              <w:jc w:val="left"/>
              <w:rPr>
                <w:rFonts w:hint="eastAsia" w:cs="宋体"/>
                <w:color w:val="auto"/>
                <w:szCs w:val="21"/>
                <w:highlight w:val="none"/>
                <w:lang w:val="zh-CN" w:bidi="zh-CN"/>
              </w:rPr>
            </w:pPr>
            <w:r>
              <w:rPr>
                <w:rFonts w:cs="宋体"/>
                <w:color w:val="auto"/>
                <w:szCs w:val="21"/>
                <w:highlight w:val="none"/>
                <w:lang w:val="zh-CN" w:bidi="zh-CN"/>
              </w:rPr>
              <w:t>经报价排序淘汰后投标人数量小于或等于20家的全部</w:t>
            </w:r>
            <w:r>
              <w:rPr>
                <w:rFonts w:hint="eastAsia" w:cs="宋体"/>
                <w:color w:val="auto"/>
                <w:szCs w:val="21"/>
                <w:highlight w:val="none"/>
                <w:lang w:val="zh-CN" w:bidi="zh-CN"/>
              </w:rPr>
              <w:t>确定</w:t>
            </w:r>
            <w:r>
              <w:rPr>
                <w:rFonts w:cs="宋体"/>
                <w:color w:val="auto"/>
                <w:szCs w:val="21"/>
                <w:highlight w:val="none"/>
                <w:lang w:val="zh-CN" w:bidi="zh-CN"/>
              </w:rPr>
              <w:t>为入围投标人</w:t>
            </w:r>
            <w:r>
              <w:rPr>
                <w:rFonts w:hint="eastAsia" w:cs="宋体"/>
                <w:color w:val="auto"/>
                <w:szCs w:val="21"/>
                <w:highlight w:val="none"/>
                <w:lang w:val="zh-CN" w:bidi="zh-CN"/>
              </w:rPr>
              <w:t>，</w:t>
            </w:r>
            <w:r>
              <w:rPr>
                <w:rFonts w:cs="宋体"/>
                <w:color w:val="auto"/>
                <w:szCs w:val="21"/>
                <w:highlight w:val="none"/>
                <w:lang w:val="zh-CN" w:bidi="zh-CN"/>
              </w:rPr>
              <w:t>投标人数量仍大于20家的进入信用排序</w:t>
            </w:r>
            <w:r>
              <w:rPr>
                <w:rFonts w:hint="eastAsia" w:cs="宋体"/>
                <w:color w:val="auto"/>
                <w:szCs w:val="21"/>
                <w:highlight w:val="none"/>
                <w:lang w:val="zh-CN" w:bidi="zh-CN"/>
              </w:rPr>
              <w:t>选取</w:t>
            </w:r>
            <w:r>
              <w:rPr>
                <w:rFonts w:cs="宋体"/>
                <w:color w:val="auto"/>
                <w:szCs w:val="21"/>
                <w:highlight w:val="none"/>
                <w:lang w:val="zh-CN" w:bidi="zh-CN"/>
              </w:rPr>
              <w:t>投标人环节。</w:t>
            </w:r>
          </w:p>
          <w:p>
            <w:pPr>
              <w:widowControl/>
              <w:wordWrap w:val="0"/>
              <w:spacing w:line="240" w:lineRule="auto"/>
              <w:ind w:firstLine="420" w:firstLineChars="200"/>
              <w:jc w:val="left"/>
              <w:rPr>
                <w:rFonts w:cs="宋体"/>
                <w:color w:val="auto"/>
                <w:szCs w:val="21"/>
                <w:highlight w:val="none"/>
                <w:lang w:val="zh-CN" w:bidi="zh-CN"/>
              </w:rPr>
            </w:pPr>
            <w:r>
              <w:rPr>
                <w:rFonts w:hint="eastAsia" w:cs="宋体"/>
                <w:color w:val="auto"/>
                <w:szCs w:val="21"/>
                <w:highlight w:val="none"/>
                <w:lang w:val="zh-CN" w:bidi="zh-CN"/>
              </w:rPr>
              <w:t xml:space="preserve">被本项程序淘汰的投标人不参与第4项规定的入围投标人的确定和增补。  </w:t>
            </w:r>
          </w:p>
          <w:p>
            <w:pPr>
              <w:widowControl/>
              <w:wordWrap w:val="0"/>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2、信用排序选取投标人</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w:t>
            </w:r>
            <w:r>
              <w:rPr>
                <w:rFonts w:hint="eastAsia" w:ascii="宋体" w:hAnsi="宋体" w:cs="宋体"/>
                <w:color w:val="auto"/>
                <w:kern w:val="0"/>
                <w:szCs w:val="21"/>
                <w:highlight w:val="none"/>
                <w:lang w:val="en-US" w:eastAsia="zh-CN"/>
              </w:rPr>
              <w:t>投标人《企业信用声明》中填报的“评标使用的等级”</w:t>
            </w:r>
            <w:r>
              <w:rPr>
                <w:rFonts w:hint="eastAsia" w:ascii="宋体" w:hAnsi="宋体" w:cs="宋体"/>
                <w:color w:val="auto"/>
                <w:kern w:val="0"/>
                <w:szCs w:val="21"/>
                <w:highlight w:val="none"/>
              </w:rPr>
              <w:t>为A及以上的投标人加上厦门市建筑施工企业信用综合评价</w:t>
            </w:r>
            <w:r>
              <w:rPr>
                <w:rFonts w:cs="宋体"/>
                <w:color w:val="auto"/>
                <w:szCs w:val="21"/>
                <w:highlight w:val="none"/>
                <w:lang w:val="zh-CN" w:bidi="zh-CN"/>
              </w:rPr>
              <w:t>结果的评价</w:t>
            </w:r>
            <w:r>
              <w:rPr>
                <w:rFonts w:hint="eastAsia" w:ascii="宋体" w:hAnsi="宋体" w:cs="宋体"/>
                <w:color w:val="auto"/>
                <w:kern w:val="0"/>
                <w:szCs w:val="21"/>
                <w:highlight w:val="none"/>
              </w:rPr>
              <w:t>等级为BB+及以上的投标人中按投标人的投标报价由低往高排序，依序确定为入围投标人，直至入围投标人数量为20 家（与前述 20 家投标人中最高投标报价一致的投标人，一并入围）。</w:t>
            </w:r>
          </w:p>
          <w:p>
            <w:pPr>
              <w:widowControl/>
              <w:wordWrap w:val="0"/>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bidi="ar"/>
              </w:rPr>
              <w:t>①最近期厦门市建筑施工企业信用综合评价结果指</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年度的评价结果，本表下同。</w:t>
            </w:r>
            <w:r>
              <w:rPr>
                <w:rFonts w:hint="eastAsia" w:ascii="宋体" w:hAnsi="宋体" w:cs="宋体"/>
                <w:color w:val="auto"/>
                <w:kern w:val="0"/>
                <w:szCs w:val="21"/>
                <w:highlight w:val="none"/>
                <w:lang w:val="en-US" w:eastAsia="zh-CN" w:bidi="ar"/>
              </w:rPr>
              <w:t>厦门市建筑施工企业信用综合评价结果应当按照联合体中信用综合评价等级最低的企业确定联合体的信用综合评价等级（对于联合体为母公司与在厦控股子公司或关联公司情形另有规定的，从其规定）。</w:t>
            </w:r>
          </w:p>
          <w:p>
            <w:pPr>
              <w:widowControl/>
              <w:wordWrap w:val="0"/>
              <w:ind w:firstLine="420" w:firstLineChars="200"/>
              <w:jc w:val="left"/>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②本招标项目信用分使用</w:t>
            </w:r>
            <w:r>
              <w:rPr>
                <w:rFonts w:hint="eastAsia" w:ascii="宋体" w:hAnsi="宋体" w:cs="宋体"/>
                <w:color w:val="auto"/>
                <w:kern w:val="0"/>
                <w:szCs w:val="21"/>
                <w:highlight w:val="none"/>
                <w:lang w:val="en-US" w:eastAsia="zh-CN" w:bidi="ar"/>
              </w:rPr>
              <w:t>投标人《企业信用声明》中填报的“评标使用的等级”中</w:t>
            </w:r>
            <w:r>
              <w:rPr>
                <w:rFonts w:hint="eastAsia" w:ascii="宋体" w:hAnsi="宋体" w:cs="宋体"/>
                <w:color w:val="auto"/>
                <w:kern w:val="0"/>
                <w:szCs w:val="21"/>
                <w:highlight w:val="none"/>
                <w:lang w:bidi="ar"/>
              </w:rPr>
              <w:t>施工从业单位及主要从业人员信用考核结果，本表下同。</w:t>
            </w:r>
            <w:r>
              <w:rPr>
                <w:rFonts w:hint="eastAsia" w:ascii="宋体" w:hAnsi="宋体" w:cs="宋体"/>
                <w:color w:val="auto"/>
                <w:kern w:val="0"/>
                <w:szCs w:val="21"/>
                <w:highlight w:val="none"/>
                <w:lang w:val="en-US" w:eastAsia="zh-CN" w:bidi="ar"/>
              </w:rPr>
              <w:t>福建省交通建设市场信用考核评价等级按联合体牵头人的信用等级确定。</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3、经报价排序淘汰和信用排序选取后投标人数量不足 20 家的，按实际数量全部确定为入围投标人。</w:t>
            </w:r>
          </w:p>
          <w:p>
            <w:pPr>
              <w:widowControl/>
              <w:wordWrap w:val="0"/>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当报价排序淘汰和信用排序选取后投标人数量不足3 家时，不足家数从报价排序淘汰后的投标人中按投标人的投标报价由低往高进行报价排序，依序补充确定入围投标人数量直至 5 家（与前述 5 家投标人中最高投标报价一致的投标人，一并入围）。</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4、出现下列情形应当</w:t>
            </w:r>
            <w:r>
              <w:rPr>
                <w:rFonts w:hint="eastAsia" w:ascii="宋体" w:hAnsi="宋体" w:cs="宋体"/>
                <w:color w:val="auto"/>
                <w:szCs w:val="21"/>
                <w:highlight w:val="none"/>
                <w:lang w:bidi="ar"/>
              </w:rPr>
              <w:t>增补入围投标人：</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4.1按照第1项与第2项规定确定的入围投标人中最高投标报价与最低投标报价的差值÷招标项目最高投标报价限价×100%的计算结果（保留至小数点后一位，第二位及以后不计）小于1.0%时，视为入围投标人只占用一个入围名额，再按照第1项、第2项规定未被确定为入围投标人的剩余投标人中按以下规定增补入围投标人：</w:t>
            </w:r>
          </w:p>
          <w:p>
            <w:pPr>
              <w:widowControl/>
              <w:wordWrap w:val="0"/>
              <w:spacing w:line="240" w:lineRule="auto"/>
              <w:ind w:left="0" w:leftChars="0" w:firstLine="42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从投标人《企业信用声明》中填报的“评标使用的等级”为A及以上的投标人加上厦门市建筑施工企业信用综合评价结果的评价等级为BB+及以上的投标人中按投标人的投标报价由低往高排序，依序选取19家投标人增补为入围投标人。</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(2)投标报价与本项增补入围投标人中最高投标报价相同的投标人，一并增补为入围投标人。</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w:t>
            </w:r>
            <w:r>
              <w:rPr>
                <w:rFonts w:hint="eastAsia" w:ascii="宋体" w:hAnsi="宋体" w:cs="宋体"/>
                <w:color w:val="auto"/>
                <w:kern w:val="1"/>
                <w:szCs w:val="21"/>
                <w:highlight w:val="none"/>
                <w:lang w:val="en-US" w:eastAsia="zh-CN" w:bidi="ar"/>
              </w:rPr>
              <w:t>3</w:t>
            </w:r>
            <w:r>
              <w:rPr>
                <w:rFonts w:hint="eastAsia" w:ascii="宋体" w:hAnsi="宋体" w:cs="宋体"/>
                <w:color w:val="auto"/>
                <w:kern w:val="1"/>
                <w:szCs w:val="21"/>
                <w:highlight w:val="none"/>
                <w:lang w:bidi="ar"/>
              </w:rPr>
              <w:t>)按照第1项、第2项与第4项规定未被确定为入围投标人的剩余投标人不足19家的，按实际数量全部增补为入围投标人。</w:t>
            </w:r>
          </w:p>
          <w:p>
            <w:pPr>
              <w:widowControl/>
              <w:wordWrap w:val="0"/>
              <w:ind w:firstLine="420" w:firstLineChars="200"/>
              <w:jc w:val="left"/>
              <w:rPr>
                <w:rFonts w:hint="eastAsia" w:ascii="宋体" w:hAnsi="宋体" w:cs="宋体"/>
                <w:color w:val="auto"/>
                <w:kern w:val="1"/>
                <w:szCs w:val="21"/>
                <w:highlight w:val="none"/>
                <w:lang w:bidi="ar"/>
              </w:rPr>
            </w:pPr>
            <w:r>
              <w:rPr>
                <w:rFonts w:hint="eastAsia" w:ascii="宋体" w:hAnsi="宋体" w:cs="宋体"/>
                <w:color w:val="auto"/>
                <w:kern w:val="1"/>
                <w:szCs w:val="21"/>
                <w:highlight w:val="none"/>
                <w:lang w:bidi="ar"/>
              </w:rPr>
              <w:t>4.2按照第1项与第2项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再按照第1项、第2项以及第4.1项规定未被确定为入围投标人的剩余投标人中，按以下规定增补相应数量入围投标人：</w:t>
            </w:r>
          </w:p>
          <w:p>
            <w:pPr>
              <w:widowControl/>
              <w:wordWrap w:val="0"/>
              <w:spacing w:line="240" w:lineRule="auto"/>
              <w:ind w:left="0" w:leftChars="0" w:firstLine="420" w:firstLineChars="2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从投标人《企业信用声明》中填报的“评标使用的等级”为A及以上的投标人加上厦门市建筑施工企业信用综合评价结果的评价等级为BB+及以上的投标人中按投标人的投标报价由低往高排序，依序增补相应数量入围投标人。</w:t>
            </w:r>
          </w:p>
          <w:p>
            <w:pPr>
              <w:widowControl/>
              <w:wordWrap w:val="0"/>
              <w:ind w:firstLine="420" w:firstLineChars="200"/>
              <w:jc w:val="left"/>
              <w:rPr>
                <w:rFonts w:hint="eastAsia"/>
                <w:color w:val="auto"/>
                <w:highlight w:val="none"/>
              </w:rPr>
            </w:pPr>
            <w:r>
              <w:rPr>
                <w:rFonts w:hint="eastAsia" w:ascii="宋体" w:hAnsi="宋体" w:cs="宋体"/>
                <w:color w:val="auto"/>
                <w:kern w:val="1"/>
                <w:sz w:val="21"/>
                <w:szCs w:val="21"/>
                <w:highlight w:val="none"/>
                <w:lang w:bidi="ar"/>
              </w:rPr>
              <w:t>(</w:t>
            </w:r>
            <w:r>
              <w:rPr>
                <w:rFonts w:hint="eastAsia" w:ascii="宋体" w:hAnsi="宋体" w:cs="宋体"/>
                <w:color w:val="auto"/>
                <w:kern w:val="1"/>
                <w:sz w:val="21"/>
                <w:szCs w:val="21"/>
                <w:highlight w:val="none"/>
                <w:lang w:val="en-US" w:eastAsia="zh-CN" w:bidi="ar"/>
              </w:rPr>
              <w:t>2</w:t>
            </w:r>
            <w:r>
              <w:rPr>
                <w:rFonts w:hint="eastAsia" w:ascii="宋体" w:hAnsi="宋体" w:cs="宋体"/>
                <w:color w:val="auto"/>
                <w:kern w:val="1"/>
                <w:sz w:val="21"/>
                <w:szCs w:val="21"/>
                <w:highlight w:val="none"/>
                <w:lang w:bidi="ar"/>
              </w:rPr>
              <w:t>)按照第1项、第2项以及第4.1项规定未被确定为入围投标人的剩余投标人数量不足的，剩余投标人全部增补为入围投标人。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2.1</w:t>
            </w:r>
          </w:p>
        </w:tc>
        <w:tc>
          <w:tcPr>
            <w:tcW w:w="844"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p>
            <w:pPr>
              <w:jc w:val="cente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财务状况</w:t>
            </w:r>
          </w:p>
        </w:tc>
        <w:tc>
          <w:tcPr>
            <w:tcW w:w="4962"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项目业绩</w:t>
            </w:r>
          </w:p>
        </w:tc>
        <w:tc>
          <w:tcPr>
            <w:tcW w:w="4962" w:type="dxa"/>
            <w:noWrap w:val="0"/>
            <w:vAlign w:val="center"/>
          </w:tcPr>
          <w:p>
            <w:pPr>
              <w:spacing w:line="30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信誉</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主要人员</w:t>
            </w:r>
          </w:p>
        </w:tc>
        <w:tc>
          <w:tcPr>
            <w:tcW w:w="4962" w:type="dxa"/>
            <w:noWrap w:val="0"/>
            <w:vAlign w:val="center"/>
          </w:tcPr>
          <w:p>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4962"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color w:val="auto"/>
                <w:szCs w:val="21"/>
                <w:highlight w:val="none"/>
              </w:rPr>
              <w:t>（如有）</w:t>
            </w:r>
          </w:p>
        </w:tc>
        <w:tc>
          <w:tcPr>
            <w:tcW w:w="4962"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center"/>
          </w:tcPr>
          <w:p>
            <w:pPr>
              <w:jc w:val="center"/>
              <w:rPr>
                <w:rFonts w:hint="eastAsia"/>
                <w:color w:val="auto"/>
                <w:highlight w:val="none"/>
              </w:rPr>
            </w:pPr>
          </w:p>
        </w:tc>
        <w:tc>
          <w:tcPr>
            <w:tcW w:w="844" w:type="dxa"/>
            <w:vMerge w:val="continue"/>
            <w:noWrap w:val="0"/>
            <w:vAlign w:val="center"/>
          </w:tcPr>
          <w:p>
            <w:pPr>
              <w:spacing w:line="360" w:lineRule="auto"/>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投标文件软硬件信息不得出现的情形</w:t>
            </w:r>
          </w:p>
        </w:tc>
        <w:tc>
          <w:tcPr>
            <w:tcW w:w="4962" w:type="dxa"/>
            <w:noWrap w:val="0"/>
            <w:vAlign w:val="center"/>
          </w:tcPr>
          <w:p>
            <w:pPr>
              <w:spacing w:line="300" w:lineRule="auto"/>
              <w:rPr>
                <w:rFonts w:hint="eastAsia" w:ascii="宋体" w:hAnsi="宋体"/>
                <w:color w:val="auto"/>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2.2</w:t>
            </w:r>
          </w:p>
        </w:tc>
        <w:tc>
          <w:tcPr>
            <w:tcW w:w="844" w:type="dxa"/>
            <w:vMerge w:val="restart"/>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投标函签字盖章</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投标文件格式</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eastAsia="zh-CN"/>
              </w:rPr>
              <w:t>九</w:t>
            </w:r>
            <w:r>
              <w:rPr>
                <w:rFonts w:hint="eastAsia" w:ascii="宋体" w:hAnsi="宋体"/>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ascii="宋体" w:hAnsi="宋体"/>
                <w:color w:val="auto"/>
                <w:kern w:val="0"/>
                <w:szCs w:val="21"/>
                <w:highlight w:val="none"/>
              </w:rPr>
              <w:t>（若有）</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kern w:val="0"/>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4962" w:type="dxa"/>
            <w:noWrap w:val="0"/>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rPr>
              <w:t>分包协议</w:t>
            </w:r>
          </w:p>
        </w:tc>
        <w:tc>
          <w:tcPr>
            <w:tcW w:w="4962"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s="宋体"/>
                <w:color w:val="auto"/>
                <w:szCs w:val="21"/>
                <w:highlight w:val="none"/>
              </w:rPr>
              <w:t>分包人资质、分包内容等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ascii="宋体" w:hAnsi="宋体"/>
                <w:color w:val="auto"/>
                <w:szCs w:val="21"/>
                <w:highlight w:val="none"/>
              </w:rPr>
            </w:pPr>
          </w:p>
        </w:tc>
        <w:tc>
          <w:tcPr>
            <w:tcW w:w="2126" w:type="dxa"/>
            <w:noWrap w:val="0"/>
            <w:vAlign w:val="center"/>
          </w:tcPr>
          <w:p>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lang w:val="en"/>
              </w:rPr>
              <w:t>...</w:t>
            </w:r>
          </w:p>
        </w:tc>
        <w:tc>
          <w:tcPr>
            <w:tcW w:w="4962"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s="宋体"/>
                <w:color w:val="auto"/>
                <w:szCs w:val="21"/>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restart"/>
            <w:noWrap w:val="0"/>
            <w:vAlign w:val="center"/>
          </w:tcPr>
          <w:p>
            <w:pPr>
              <w:jc w:val="center"/>
              <w:rPr>
                <w:rFonts w:hint="eastAsia"/>
                <w:color w:val="auto"/>
                <w:highlight w:val="none"/>
              </w:rPr>
            </w:pPr>
            <w:r>
              <w:rPr>
                <w:rFonts w:hint="eastAsia"/>
                <w:color w:val="auto"/>
                <w:highlight w:val="none"/>
              </w:rPr>
              <w:t>2.3</w:t>
            </w:r>
          </w:p>
        </w:tc>
        <w:tc>
          <w:tcPr>
            <w:tcW w:w="844" w:type="dxa"/>
            <w:vMerge w:val="restart"/>
            <w:noWrap w:val="0"/>
            <w:vAlign w:val="center"/>
          </w:tcPr>
          <w:p>
            <w:pPr>
              <w:jc w:val="center"/>
              <w:rPr>
                <w:rFonts w:hint="eastAsia"/>
                <w:color w:val="auto"/>
                <w:highlight w:val="none"/>
              </w:rPr>
            </w:pPr>
            <w:r>
              <w:rPr>
                <w:rFonts w:hint="eastAsia" w:ascii="宋体" w:hAnsi="宋体"/>
                <w:color w:val="auto"/>
                <w:szCs w:val="21"/>
                <w:highlight w:val="none"/>
              </w:rPr>
              <w:t>响应性评审标准</w:t>
            </w: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投标内容</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工期</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权利义务</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第五章“合同条款及格式”规定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已标价的工程量清单</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第六章“工程量清单”给出的范围及数量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dxa"/>
            <w:vMerge w:val="continue"/>
            <w:noWrap w:val="0"/>
            <w:vAlign w:val="top"/>
          </w:tcPr>
          <w:p>
            <w:pPr>
              <w:rPr>
                <w:rFonts w:hint="eastAsia"/>
                <w:color w:val="auto"/>
                <w:highlight w:val="none"/>
              </w:rPr>
            </w:pPr>
          </w:p>
        </w:tc>
        <w:tc>
          <w:tcPr>
            <w:tcW w:w="844" w:type="dxa"/>
            <w:vMerge w:val="continue"/>
            <w:noWrap w:val="0"/>
            <w:vAlign w:val="top"/>
          </w:tcPr>
          <w:p>
            <w:pPr>
              <w:rPr>
                <w:rFonts w:hint="eastAsia"/>
                <w:color w:val="auto"/>
                <w:highlight w:val="none"/>
              </w:rPr>
            </w:pPr>
          </w:p>
        </w:tc>
        <w:tc>
          <w:tcPr>
            <w:tcW w:w="212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技术标准和要求</w:t>
            </w:r>
          </w:p>
        </w:tc>
        <w:tc>
          <w:tcPr>
            <w:tcW w:w="4962" w:type="dxa"/>
            <w:noWrap w:val="0"/>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符合招标文件第八章“技术标准和要求”规定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43"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126" w:type="dxa"/>
            <w:noWrap w:val="0"/>
            <w:vAlign w:val="center"/>
          </w:tcPr>
          <w:p>
            <w:pPr>
              <w:widowControl/>
              <w:wordWrap w:val="0"/>
              <w:jc w:val="center"/>
              <w:rPr>
                <w:rFonts w:hint="eastAsia" w:ascii="宋体" w:hAnsi="宋体"/>
                <w:color w:val="auto"/>
                <w:szCs w:val="21"/>
                <w:highlight w:val="none"/>
              </w:rPr>
            </w:pPr>
            <w:r>
              <w:rPr>
                <w:rFonts w:hint="eastAsia" w:ascii="宋体" w:hAnsi="宋体" w:cs="宋体"/>
                <w:color w:val="auto"/>
                <w:szCs w:val="21"/>
                <w:highlight w:val="none"/>
                <w:lang w:val="zh-CN" w:bidi="zh-CN"/>
              </w:rPr>
              <w:t>投标人回复澄清、说明、补正的时限</w:t>
            </w:r>
          </w:p>
        </w:tc>
        <w:tc>
          <w:tcPr>
            <w:tcW w:w="4962" w:type="dxa"/>
            <w:noWrap w:val="0"/>
            <w:vAlign w:val="center"/>
          </w:tcPr>
          <w:p>
            <w:pPr>
              <w:widowControl/>
              <w:wordWrap w:val="0"/>
              <w:rPr>
                <w:rFonts w:hint="eastAsia"/>
                <w:color w:val="auto"/>
                <w:highlight w:val="none"/>
              </w:rPr>
            </w:pPr>
            <w:r>
              <w:rPr>
                <w:rFonts w:hint="eastAsia" w:ascii="宋体" w:hAnsi="宋体" w:cs="宋体"/>
                <w:color w:val="auto"/>
                <w:kern w:val="1"/>
                <w:szCs w:val="21"/>
                <w:highlight w:val="none"/>
              </w:rPr>
              <w:t xml:space="preserve"> 评标委员会通过电子交易平台发出通知后</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分钟内。</w:t>
            </w:r>
          </w:p>
        </w:tc>
      </w:tr>
    </w:tbl>
    <w:p>
      <w:pPr>
        <w:widowControl/>
        <w:spacing w:line="440" w:lineRule="exact"/>
        <w:ind w:firstLine="420" w:firstLineChars="175"/>
        <w:rPr>
          <w:rFonts w:hint="eastAsia" w:ascii="宋体" w:hAnsi="宋体" w:cs="宋体"/>
          <w:color w:val="auto"/>
          <w:sz w:val="24"/>
          <w:highlight w:val="none"/>
        </w:rPr>
      </w:pPr>
    </w:p>
    <w:p>
      <w:pPr>
        <w:spacing w:before="82" w:line="300" w:lineRule="auto"/>
        <w:ind w:left="472"/>
        <w:jc w:val="center"/>
        <w:rPr>
          <w:rFonts w:hint="eastAsia" w:ascii="黑体" w:eastAsia="黑体"/>
          <w:color w:val="auto"/>
          <w:highlight w:val="none"/>
        </w:rPr>
      </w:pPr>
    </w:p>
    <w:p>
      <w:pPr>
        <w:spacing w:before="82" w:line="300" w:lineRule="auto"/>
        <w:ind w:left="472"/>
        <w:jc w:val="center"/>
        <w:rPr>
          <w:rFonts w:hint="eastAsia" w:ascii="黑体" w:eastAsia="黑体"/>
          <w:color w:val="auto"/>
          <w:highlight w:val="none"/>
        </w:rPr>
      </w:pPr>
    </w:p>
    <w:p>
      <w:pPr>
        <w:pStyle w:val="2"/>
        <w:ind w:firstLine="458"/>
        <w:rPr>
          <w:rFonts w:hint="eastAsia" w:ascii="黑体" w:eastAsia="黑体"/>
          <w:color w:val="auto"/>
          <w:sz w:val="21"/>
          <w:highlight w:val="none"/>
        </w:rPr>
      </w:pPr>
    </w:p>
    <w:p>
      <w:pPr>
        <w:pStyle w:val="2"/>
        <w:ind w:firstLine="458"/>
        <w:rPr>
          <w:rFonts w:hint="eastAsia" w:ascii="黑体" w:eastAsia="黑体"/>
          <w:color w:val="auto"/>
          <w:sz w:val="21"/>
          <w:highlight w:val="none"/>
        </w:rPr>
      </w:pPr>
    </w:p>
    <w:p>
      <w:pPr>
        <w:spacing w:before="0" w:line="240" w:lineRule="auto"/>
        <w:ind w:left="0"/>
        <w:jc w:val="left"/>
        <w:rPr>
          <w:rFonts w:hint="eastAsia" w:ascii="黑体" w:eastAsia="黑体"/>
          <w:color w:val="auto"/>
          <w:highlight w:val="none"/>
        </w:rPr>
      </w:pPr>
      <w:r>
        <w:rPr>
          <w:rFonts w:hint="eastAsia" w:ascii="黑体" w:eastAsia="黑体"/>
          <w:color w:val="auto"/>
          <w:highlight w:val="none"/>
        </w:rPr>
        <w:br w:type="page"/>
      </w:r>
    </w:p>
    <w:p>
      <w:pPr>
        <w:pStyle w:val="78"/>
        <w:jc w:val="center"/>
        <w:rPr>
          <w:rFonts w:hint="eastAsia"/>
          <w:color w:val="auto"/>
          <w:highlight w:val="none"/>
        </w:rPr>
      </w:pPr>
      <w:r>
        <w:rPr>
          <w:rFonts w:hint="eastAsia"/>
          <w:color w:val="auto"/>
          <w:sz w:val="32"/>
          <w:szCs w:val="32"/>
          <w:highlight w:val="none"/>
        </w:rPr>
        <w:t>评标办法正文</w:t>
      </w:r>
      <w:r>
        <w:rPr>
          <w:rFonts w:hint="eastAsia" w:eastAsia="黑体"/>
          <w:color w:val="auto"/>
          <w:sz w:val="21"/>
          <w:highlight w:val="none"/>
        </w:rPr>
        <w:t>（</w:t>
      </w:r>
      <w:r>
        <w:rPr>
          <w:rFonts w:hint="eastAsia" w:eastAsia="黑体"/>
          <w:color w:val="auto"/>
          <w:kern w:val="2"/>
          <w:sz w:val="24"/>
          <w:szCs w:val="24"/>
          <w:highlight w:val="none"/>
        </w:rPr>
        <w:t>适用于简易程序招标项目</w:t>
      </w:r>
      <w:r>
        <w:rPr>
          <w:rFonts w:hint="eastAsia" w:eastAsia="黑体"/>
          <w:color w:val="auto"/>
          <w:sz w:val="21"/>
          <w:highlight w:val="none"/>
        </w:rPr>
        <w:t>）</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本评标办法正文若有与本范本评标办法前附表不一致之处，以评标办法前附表为准。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评标方法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本次评标采用定性评审法。</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招标人组建资格审查委员会。资格审查委员会在开标后确定入围投标人，对入围投标人的资格条件、形式条款、响应性条款等进行审查，将评审合格的入围投标人确定为定标候选人。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评标程序和标准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评标按以下程序进行。</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（5）形式评审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（8）确定定标候选人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资格审查、形式评审、响应性评审与确定入围投标人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资格审查委员会由招标人代表（包括招标人委托的招标代理机构代表）组成，成员人数为 3 人及以上单数。资格审查与确定入围投标人工作由资格审查委员会负责并组织实施。</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依据评标办法附表第 1项规定的标准确定入围投标人。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资格审查委员会在资格审查前应当认真研究招标文件，了解和熟悉资格审查程序、标准和审查过程中考虑的相关因素。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 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资格审查委员会依据评标办法前附表第2.1项规定的标准对投标人进行资格审查，有一项不符合评审标准的，资格审查不合格，不得进入确定入围投标人程序。</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资格审查合格的投标人数量少于 3 家的，招标人应当重新招标。</w:t>
      </w:r>
    </w:p>
    <w:p>
      <w:pPr>
        <w:wordWrap w:val="0"/>
        <w:spacing w:line="3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3.5 形式评审</w:t>
      </w:r>
      <w:r>
        <w:rPr>
          <w:rFonts w:hint="eastAsia" w:ascii="宋体" w:hAnsi="宋体" w:cs="宋体"/>
          <w:color w:val="auto"/>
          <w:sz w:val="24"/>
          <w:highlight w:val="none"/>
          <w:lang w:eastAsia="zh-CN"/>
        </w:rPr>
        <w:t>及</w:t>
      </w:r>
      <w:r>
        <w:rPr>
          <w:rFonts w:hint="eastAsia" w:ascii="宋体" w:hAnsi="宋体" w:cs="宋体"/>
          <w:color w:val="auto"/>
          <w:sz w:val="24"/>
          <w:highlight w:val="none"/>
        </w:rPr>
        <w:t>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资格审查委员会依据评标办法附表第 2.2 项</w:t>
      </w:r>
      <w:r>
        <w:rPr>
          <w:rFonts w:hint="eastAsia" w:ascii="宋体" w:hAnsi="宋体" w:cs="宋体"/>
          <w:color w:val="auto"/>
          <w:sz w:val="24"/>
          <w:highlight w:val="none"/>
          <w:lang w:eastAsia="zh-CN"/>
        </w:rPr>
        <w:t>及</w:t>
      </w:r>
      <w:r>
        <w:rPr>
          <w:rFonts w:hint="eastAsia" w:ascii="宋体" w:hAnsi="宋体" w:cs="宋体"/>
          <w:color w:val="auto"/>
          <w:sz w:val="24"/>
          <w:highlight w:val="none"/>
          <w:lang w:val="en-US" w:eastAsia="zh-CN"/>
        </w:rPr>
        <w:t>2.3项</w:t>
      </w:r>
      <w:r>
        <w:rPr>
          <w:rFonts w:hint="eastAsia" w:ascii="宋体" w:hAnsi="宋体" w:cs="宋体"/>
          <w:color w:val="auto"/>
          <w:sz w:val="24"/>
          <w:highlight w:val="none"/>
        </w:rPr>
        <w:t>规定的标准对入围投标人的投标文件进行形式评审，有一项不符合评审标准的，资格审查委员会应否决其投标，不得确定为定标候选人，且不再补充入围投标人。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投标文件相关信息的核查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3.6.1在评标过程中，资格审查委员会应查询交通运输主管部门“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cs="宋体"/>
          <w:color w:val="auto"/>
          <w:sz w:val="24"/>
          <w:highlight w:val="none"/>
        </w:rPr>
        <w:t>”，对投标人的资质、业绩、主要人员资历和目前在岗情况、信用等级等信息进行核实。若投标文件载明的信息与交通运输主管部门“</w:t>
      </w:r>
      <w:r>
        <w:rPr>
          <w:rFonts w:hint="eastAsia" w:ascii="宋体" w:hAnsi="宋体" w:cs="宋体"/>
          <w:color w:val="auto"/>
          <w:sz w:val="24"/>
          <w:highlight w:val="none"/>
          <w:lang w:eastAsia="zh-CN"/>
        </w:rPr>
        <w:t>全国水运工程</w:t>
      </w:r>
      <w:r>
        <w:rPr>
          <w:rFonts w:hint="eastAsia" w:ascii="宋体" w:hAnsi="宋体" w:cs="宋体"/>
          <w:color w:val="auto"/>
          <w:sz w:val="24"/>
          <w:highlight w:val="none"/>
        </w:rPr>
        <w:t>建设市场信用信息管理系统”发布的信息不符，使得投标人的资格条件不符合招标文件规定的，资格审查委员会应否决其投标。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资格审查委员会应对在评标过程中发现的投标人与投标人之间、投标人与招标人之间存在的串通投标的情形进行评审和认定。投标人存在串通投标、弄虚作假、行贿等违法行为的，资格审查委员会应否决其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（1）有下列情形之一的，属于投标人相互串通投标：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a.投标人之间协商投标报价等投标文件的实质性内容；</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b.投标人之间约定中标人；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c.投标人之间约定部分投标人放弃投标或中标；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d.属于同一集团、协会、商会等组织成员的投标人按照该组织要求协同投标；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e.投标人之间为谋取中标或排斥特定投标人而釆取的其他联合行动。</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（2）有下列情形之一的，视为投标人相互串通投标：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a.不同投标人的投标文件由同一单位或个人编制；</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b.不同投标人委托同一单位或个人办理投标事宜；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c.不同投标人的投标文件载明的项目管理成员为同一人；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d.不同投标人的投标文件异常一致或投标报价呈规律性差异；</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e.不同投标人的投标文件相互混装；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f.不同投标人的投标保证金从同一单位或个人的账户转出。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（3）有下列情形之一的，属于招标人与投标人串通投标：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a.招标人在开标前开启投标文件并将有关信息泄露给其他投标人；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b.招标人直接或间接向投标人泄露标底、评标委员会成员等信息；</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c.招标人明示或暗示投标人压低或抬高投标报价；</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d.招标人授意投标人撤换、修改投标文件；</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e.招标人明示或暗示投标人为特定投标人中标提供方便；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f.招标人与投标人为谋求特定投标人中标而采取的其他串通行为。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（4）投标人有下列情形之一的，属于弄虚作假的行为：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a.使用通过受让或租借等方式获取的资格、资质证书投标；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b.使用伪造、变造的许可证件；</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c.提供虚假的财务状况或业绩；</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d.提供虚假的项目负责人或主要技术人员简历、劳动关系证明；</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e.提供虚假的信用状况；</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f.其他弄虚作假的行为。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评标过程中，资格审查委员会可以通过电子交易平台要求投标人对所提交的投标文件中不明确的内容进行书面澄清或说明，或者对细微偏差进行补正。投标人通过电子交易平台回复澄清、说明、补正，时限要求详见评标办法前附表第4项，资格审查委员会不接受投标人主动提出的澄清、说明或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资格审查委员会应当要求存在细微偏差的投标人在评标结束前予以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（2）澄清、说明和补正不得改变投标文件的实质性内容。投标人的书面澄清、说明和补正属于投标文件的组成部分。</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资格审查委员会对投标人提交的澄清、说明或补正有疑问的，可以要求投标人进一步澄清、说明或补正，直至满足资格审查委员会的要求。不按资格审查委员会要求澄清、说明或补正的，资格审查委员会应当否决其投标。</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3.7投标文件的修正</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有算术错误的，资格审查委员会按以下原则对投标报价进行修正，修正的价格经投标人通过电子交易平台确认后具有约束力，投标人通过电子交易平台确认的时限要求详见评标办法前附表第4项。投标人不接受修正的，资格审查委员会应当否决其投标。</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（1）投标文件中的大写金额与小写金额不一致的，以大写金额为准；</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（2）投标报价表中小计金额与依据单价金额计算出的结果不一致的，以单价金额为准修正小计金额，但单价金额小数点有明显错误的除外。</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确定定标候选人</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根据评标程序和标准完成审查后，将所有资格审查合格且通过响应性评审的入围投标人确定为定标候选人。资格审查合格且通过响应性评审的入围投标人少于3家，资格审查委员认为投标明显缺乏竞争的，可以否决全部投标。</w:t>
      </w:r>
    </w:p>
    <w:p>
      <w:pPr>
        <w:widowControl/>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提交资格审查报告</w:t>
      </w:r>
    </w:p>
    <w:p>
      <w:pPr>
        <w:widowControl/>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4.1 资格审查委员会和评标委员会按照本章规定的程序和评审标准完成全部评审工作后，应当向招标人提交资格审查报告。</w:t>
      </w:r>
    </w:p>
    <w:p>
      <w:pPr>
        <w:widowControl/>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4.2 评标委员会决定否决所有投标的，应当在评标报告中说明具体理由。</w:t>
      </w:r>
    </w:p>
    <w:p>
      <w:pPr>
        <w:widowControl/>
        <w:tabs>
          <w:tab w:val="left" w:pos="4200"/>
        </w:tabs>
        <w:spacing w:before="158" w:beforeLines="50"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4.3 评标报告中应当列明投标文件雷同情况。</w:t>
      </w:r>
    </w:p>
    <w:p>
      <w:pPr>
        <w:spacing w:before="82" w:line="300" w:lineRule="auto"/>
        <w:ind w:left="472"/>
        <w:jc w:val="center"/>
        <w:rPr>
          <w:rFonts w:hint="eastAsia" w:ascii="黑体" w:eastAsia="黑体"/>
          <w:color w:val="auto"/>
          <w:highlight w:val="none"/>
        </w:rPr>
      </w:pPr>
    </w:p>
    <w:p>
      <w:pPr>
        <w:spacing w:before="82" w:line="300" w:lineRule="auto"/>
        <w:ind w:left="472"/>
        <w:jc w:val="center"/>
        <w:rPr>
          <w:rFonts w:hint="eastAsia" w:ascii="黑体" w:eastAsia="黑体"/>
          <w:color w:val="auto"/>
          <w:highlight w:val="none"/>
        </w:rPr>
      </w:pPr>
    </w:p>
    <w:p>
      <w:pPr>
        <w:spacing w:before="82" w:line="300" w:lineRule="auto"/>
        <w:ind w:left="472"/>
        <w:jc w:val="center"/>
        <w:rPr>
          <w:rFonts w:hint="eastAsia" w:ascii="黑体" w:eastAsia="黑体"/>
          <w:color w:val="auto"/>
          <w:highlight w:val="none"/>
        </w:rPr>
      </w:pPr>
    </w:p>
    <w:p>
      <w:pPr>
        <w:spacing w:before="82" w:line="300" w:lineRule="auto"/>
        <w:ind w:left="472"/>
        <w:jc w:val="center"/>
        <w:rPr>
          <w:rFonts w:hint="eastAsia" w:ascii="黑体" w:eastAsia="黑体"/>
          <w:color w:val="auto"/>
          <w:highlight w:val="none"/>
        </w:rPr>
      </w:pPr>
    </w:p>
    <w:p>
      <w:pPr>
        <w:spacing w:before="82" w:line="300" w:lineRule="auto"/>
        <w:rPr>
          <w:rFonts w:hint="eastAsia" w:ascii="黑体" w:eastAsia="黑体"/>
          <w:color w:val="auto"/>
          <w:highlight w:val="none"/>
        </w:rPr>
      </w:pPr>
    </w:p>
    <w:bookmarkEnd w:id="950"/>
    <w:bookmarkEnd w:id="951"/>
    <w:bookmarkEnd w:id="952"/>
    <w:bookmarkEnd w:id="953"/>
    <w:bookmarkEnd w:id="954"/>
    <w:p>
      <w:pPr>
        <w:spacing w:line="360" w:lineRule="auto"/>
        <w:rPr>
          <w:rFonts w:hint="eastAsia" w:ascii="宋体" w:hAnsi="宋体"/>
          <w:b/>
          <w:color w:val="auto"/>
          <w:szCs w:val="21"/>
          <w:highlight w:val="none"/>
        </w:rPr>
      </w:pPr>
      <w:r>
        <w:rPr>
          <w:rFonts w:ascii="宋体" w:hAnsi="宋体"/>
          <w:color w:val="auto"/>
          <w:highlight w:val="none"/>
        </w:rPr>
        <w:br w:type="page"/>
      </w: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pStyle w:val="5"/>
        <w:numPr>
          <w:ilvl w:val="0"/>
          <w:numId w:val="10"/>
        </w:numPr>
        <w:wordWrap w:val="0"/>
        <w:spacing w:before="400" w:after="400" w:line="240" w:lineRule="auto"/>
        <w:rPr>
          <w:rFonts w:hint="eastAsia" w:ascii="黑体" w:hAnsi="黑体" w:eastAsia="黑体" w:cs="宋体"/>
          <w:color w:val="auto"/>
          <w:kern w:val="1"/>
          <w:sz w:val="44"/>
          <w:szCs w:val="44"/>
          <w:highlight w:val="none"/>
        </w:rPr>
      </w:pPr>
      <w:r>
        <w:rPr>
          <w:rFonts w:hint="eastAsia" w:ascii="黑体" w:hAnsi="黑体" w:eastAsia="黑体" w:cs="宋体"/>
          <w:color w:val="auto"/>
          <w:kern w:val="1"/>
          <w:sz w:val="44"/>
          <w:szCs w:val="44"/>
          <w:highlight w:val="none"/>
        </w:rPr>
        <w:t>定标办法</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tabs>
          <w:tab w:val="left" w:pos="1920"/>
        </w:tabs>
        <w:spacing w:before="108"/>
        <w:jc w:val="center"/>
        <w:rPr>
          <w:rFonts w:hint="eastAsia" w:ascii="黑体" w:hAnsi="黑体" w:eastAsia="黑体" w:cs="宋体"/>
          <w:color w:val="auto"/>
          <w:sz w:val="32"/>
          <w:szCs w:val="32"/>
          <w:highlight w:val="none"/>
          <w:lang w:val="zh-CN" w:bidi="zh-CN"/>
        </w:rPr>
      </w:pPr>
      <w:r>
        <w:rPr>
          <w:rFonts w:hint="eastAsia" w:ascii="黑体" w:hAnsi="黑体" w:eastAsia="黑体" w:cs="宋体"/>
          <w:color w:val="auto"/>
          <w:sz w:val="32"/>
          <w:szCs w:val="32"/>
          <w:highlight w:val="none"/>
          <w:lang w:val="zh-CN" w:bidi="zh-CN"/>
        </w:rPr>
        <w:t>定标办法</w:t>
      </w:r>
    </w:p>
    <w:p>
      <w:pPr>
        <w:autoSpaceDE w:val="0"/>
        <w:autoSpaceDN w:val="0"/>
        <w:jc w:val="left"/>
        <w:rPr>
          <w:rFonts w:hint="eastAsia" w:ascii="黑体" w:hAnsi="黑体" w:eastAsia="黑体" w:cs="宋体"/>
          <w:b/>
          <w:color w:val="auto"/>
          <w:kern w:val="1"/>
          <w:szCs w:val="21"/>
          <w:highlight w:val="none"/>
          <w:lang w:val="zh-CN"/>
        </w:rPr>
      </w:pPr>
      <w:r>
        <w:rPr>
          <w:rFonts w:hint="eastAsia" w:ascii="黑体" w:hAnsi="黑体" w:eastAsia="黑体" w:cs="宋体"/>
          <w:b/>
          <w:color w:val="auto"/>
          <w:kern w:val="1"/>
          <w:szCs w:val="21"/>
          <w:highlight w:val="none"/>
          <w:lang w:val="zh-CN"/>
        </w:rPr>
        <w:t>定标办法前附表</w:t>
      </w:r>
    </w:p>
    <w:tbl>
      <w:tblPr>
        <w:tblStyle w:val="38"/>
        <w:tblW w:w="8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336"/>
        <w:gridCol w:w="6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8" w:type="dxa"/>
            <w:tcBorders>
              <w:bottom w:val="single" w:color="000000" w:sz="6" w:space="0"/>
              <w:right w:val="single" w:color="000000" w:sz="6" w:space="0"/>
            </w:tcBorders>
            <w:noWrap w:val="0"/>
            <w:vAlign w:val="top"/>
          </w:tcPr>
          <w:p>
            <w:pPr>
              <w:pStyle w:val="96"/>
              <w:spacing w:line="268" w:lineRule="exact"/>
              <w:ind w:left="121" w:right="112"/>
              <w:jc w:val="center"/>
              <w:rPr>
                <w:b/>
                <w:color w:val="auto"/>
                <w:highlight w:val="none"/>
              </w:rPr>
            </w:pPr>
            <w:r>
              <w:rPr>
                <w:b/>
                <w:color w:val="auto"/>
                <w:highlight w:val="none"/>
              </w:rPr>
              <w:t>项号</w:t>
            </w:r>
          </w:p>
        </w:tc>
        <w:tc>
          <w:tcPr>
            <w:tcW w:w="852" w:type="dxa"/>
            <w:tcBorders>
              <w:left w:val="single" w:color="000000" w:sz="6" w:space="0"/>
              <w:bottom w:val="single" w:color="000000" w:sz="6" w:space="0"/>
              <w:right w:val="single" w:color="000000" w:sz="6" w:space="0"/>
            </w:tcBorders>
            <w:noWrap w:val="0"/>
            <w:vAlign w:val="top"/>
          </w:tcPr>
          <w:p>
            <w:pPr>
              <w:pStyle w:val="96"/>
              <w:spacing w:line="268" w:lineRule="exact"/>
              <w:ind w:right="96"/>
              <w:jc w:val="right"/>
              <w:rPr>
                <w:b/>
                <w:color w:val="auto"/>
                <w:highlight w:val="none"/>
              </w:rPr>
            </w:pPr>
            <w:r>
              <w:rPr>
                <w:b/>
                <w:color w:val="auto"/>
                <w:w w:val="95"/>
                <w:highlight w:val="none"/>
              </w:rPr>
              <w:t>条款号</w:t>
            </w:r>
          </w:p>
        </w:tc>
        <w:tc>
          <w:tcPr>
            <w:tcW w:w="1336" w:type="dxa"/>
            <w:tcBorders>
              <w:left w:val="single" w:color="000000" w:sz="6" w:space="0"/>
              <w:bottom w:val="single" w:color="000000" w:sz="6" w:space="0"/>
              <w:right w:val="single" w:color="000000" w:sz="6" w:space="0"/>
            </w:tcBorders>
            <w:noWrap w:val="0"/>
            <w:vAlign w:val="top"/>
          </w:tcPr>
          <w:p>
            <w:pPr>
              <w:pStyle w:val="96"/>
              <w:spacing w:line="268" w:lineRule="exact"/>
              <w:ind w:left="85" w:right="78"/>
              <w:jc w:val="center"/>
              <w:rPr>
                <w:b/>
                <w:color w:val="auto"/>
                <w:highlight w:val="none"/>
              </w:rPr>
            </w:pPr>
            <w:r>
              <w:rPr>
                <w:b/>
                <w:color w:val="auto"/>
                <w:highlight w:val="none"/>
              </w:rPr>
              <w:t>定标规则</w:t>
            </w:r>
          </w:p>
        </w:tc>
        <w:tc>
          <w:tcPr>
            <w:tcW w:w="6000" w:type="dxa"/>
            <w:tcBorders>
              <w:left w:val="single" w:color="000000" w:sz="6" w:space="0"/>
              <w:bottom w:val="single" w:color="000000" w:sz="6" w:space="0"/>
            </w:tcBorders>
            <w:noWrap w:val="0"/>
            <w:vAlign w:val="top"/>
          </w:tcPr>
          <w:p>
            <w:pPr>
              <w:pStyle w:val="96"/>
              <w:spacing w:line="268" w:lineRule="exact"/>
              <w:ind w:left="2987" w:right="1988"/>
              <w:jc w:val="center"/>
              <w:rPr>
                <w:b/>
                <w:color w:val="auto"/>
                <w:highlight w:val="none"/>
              </w:rPr>
            </w:pPr>
            <w:r>
              <w:rPr>
                <w:b/>
                <w:color w:val="auto"/>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1" w:hRule="atLeast"/>
        </w:trPr>
        <w:tc>
          <w:tcPr>
            <w:tcW w:w="708" w:type="dxa"/>
            <w:tcBorders>
              <w:top w:val="single" w:color="000000" w:sz="6" w:space="0"/>
              <w:bottom w:val="single" w:color="000000" w:sz="6" w:space="0"/>
              <w:right w:val="single" w:color="000000" w:sz="6" w:space="0"/>
            </w:tcBorders>
            <w:noWrap w:val="0"/>
            <w:vAlign w:val="top"/>
          </w:tcPr>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spacing w:before="7"/>
              <w:rPr>
                <w:rFonts w:ascii="黑体"/>
                <w:color w:val="auto"/>
                <w:sz w:val="15"/>
                <w:highlight w:val="none"/>
              </w:rPr>
            </w:pPr>
          </w:p>
          <w:p>
            <w:pPr>
              <w:pStyle w:val="96"/>
              <w:ind w:left="11"/>
              <w:jc w:val="center"/>
              <w:rPr>
                <w:color w:val="auto"/>
                <w:highlight w:val="none"/>
              </w:rPr>
            </w:pPr>
            <w:r>
              <w:rPr>
                <w:color w:val="auto"/>
                <w:highlight w:val="none"/>
              </w:rPr>
              <w:t>1</w:t>
            </w:r>
          </w:p>
        </w:tc>
        <w:tc>
          <w:tcPr>
            <w:tcW w:w="852" w:type="dxa"/>
            <w:tcBorders>
              <w:top w:val="single" w:color="000000" w:sz="6" w:space="0"/>
              <w:left w:val="single" w:color="000000" w:sz="6" w:space="0"/>
              <w:bottom w:val="single" w:color="000000" w:sz="6" w:space="0"/>
              <w:right w:val="single" w:color="000000" w:sz="6" w:space="0"/>
            </w:tcBorders>
            <w:noWrap w:val="0"/>
            <w:vAlign w:val="top"/>
          </w:tcPr>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spacing w:before="7"/>
              <w:rPr>
                <w:rFonts w:ascii="黑体"/>
                <w:color w:val="auto"/>
                <w:sz w:val="15"/>
                <w:highlight w:val="none"/>
              </w:rPr>
            </w:pPr>
          </w:p>
          <w:p>
            <w:pPr>
              <w:pStyle w:val="96"/>
              <w:ind w:right="149"/>
              <w:jc w:val="right"/>
              <w:rPr>
                <w:color w:val="auto"/>
                <w:highlight w:val="none"/>
              </w:rPr>
            </w:pPr>
            <w:r>
              <w:rPr>
                <w:color w:val="auto"/>
                <w:highlight w:val="none"/>
              </w:rPr>
              <w:t>3.2.1</w:t>
            </w:r>
          </w:p>
        </w:tc>
        <w:tc>
          <w:tcPr>
            <w:tcW w:w="1336" w:type="dxa"/>
            <w:tcBorders>
              <w:top w:val="single" w:color="000000" w:sz="6" w:space="0"/>
              <w:left w:val="single" w:color="000000" w:sz="6" w:space="0"/>
              <w:bottom w:val="single" w:color="000000" w:sz="6" w:space="0"/>
              <w:right w:val="single" w:color="000000" w:sz="6" w:space="0"/>
            </w:tcBorders>
            <w:noWrap w:val="0"/>
            <w:vAlign w:val="top"/>
          </w:tcPr>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rPr>
                <w:rFonts w:ascii="黑体"/>
                <w:color w:val="auto"/>
                <w:sz w:val="20"/>
                <w:highlight w:val="none"/>
              </w:rPr>
            </w:pPr>
          </w:p>
          <w:p>
            <w:pPr>
              <w:pStyle w:val="96"/>
              <w:spacing w:before="7"/>
              <w:rPr>
                <w:rFonts w:ascii="黑体"/>
                <w:color w:val="auto"/>
                <w:sz w:val="15"/>
                <w:highlight w:val="none"/>
              </w:rPr>
            </w:pPr>
          </w:p>
          <w:p>
            <w:pPr>
              <w:pStyle w:val="96"/>
              <w:ind w:left="85" w:right="79"/>
              <w:jc w:val="center"/>
              <w:rPr>
                <w:color w:val="auto"/>
                <w:highlight w:val="none"/>
              </w:rPr>
            </w:pPr>
            <w:r>
              <w:rPr>
                <w:color w:val="auto"/>
                <w:highlight w:val="none"/>
              </w:rPr>
              <w:t>定标要素</w:t>
            </w:r>
          </w:p>
        </w:tc>
        <w:tc>
          <w:tcPr>
            <w:tcW w:w="6000" w:type="dxa"/>
            <w:tcBorders>
              <w:top w:val="single" w:color="000000" w:sz="6" w:space="0"/>
              <w:left w:val="single" w:color="000000" w:sz="6" w:space="0"/>
              <w:bottom w:val="single" w:color="000000" w:sz="6" w:space="0"/>
            </w:tcBorders>
            <w:noWrap w:val="0"/>
            <w:vAlign w:val="top"/>
          </w:tcPr>
          <w:p>
            <w:pPr>
              <w:pStyle w:val="96"/>
              <w:spacing w:line="269" w:lineRule="exact"/>
              <w:ind w:left="105"/>
              <w:rPr>
                <w:color w:val="auto"/>
                <w:highlight w:val="none"/>
              </w:rPr>
            </w:pPr>
            <w:r>
              <w:rPr>
                <w:color w:val="auto"/>
                <w:spacing w:val="-1"/>
                <w:highlight w:val="none"/>
              </w:rPr>
              <w:t>1、信用，包括以下子要素</w:t>
            </w:r>
            <w:r>
              <w:rPr>
                <w:color w:val="auto"/>
                <w:spacing w:val="1"/>
                <w:w w:val="103"/>
                <w:position w:val="11"/>
                <w:sz w:val="10"/>
                <w:highlight w:val="none"/>
              </w:rPr>
              <w:t>①</w:t>
            </w:r>
            <w:r>
              <w:rPr>
                <w:color w:val="auto"/>
                <w:highlight w:val="none"/>
              </w:rPr>
              <w:t>：</w:t>
            </w:r>
          </w:p>
          <w:p>
            <w:pPr>
              <w:pStyle w:val="96"/>
              <w:numPr>
                <w:ilvl w:val="0"/>
                <w:numId w:val="11"/>
              </w:numPr>
              <w:tabs>
                <w:tab w:val="left" w:pos="632"/>
                <w:tab w:val="left" w:pos="5460"/>
              </w:tabs>
              <w:spacing w:before="139" w:line="364" w:lineRule="auto"/>
              <w:ind w:right="1411"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w:t>
            </w:r>
          </w:p>
          <w:p>
            <w:pPr>
              <w:pStyle w:val="96"/>
              <w:tabs>
                <w:tab w:val="left" w:pos="632"/>
                <w:tab w:val="left" w:pos="5460"/>
              </w:tabs>
              <w:spacing w:before="139" w:line="364" w:lineRule="auto"/>
              <w:ind w:right="1411" w:firstLine="630" w:firstLineChars="300"/>
              <w:jc w:val="left"/>
              <w:rPr>
                <w:rFonts w:ascii="Times New Roman" w:eastAsia="Times New Roman"/>
                <w:color w:val="auto"/>
                <w:highlight w:val="none"/>
              </w:rPr>
            </w:pPr>
            <w:r>
              <w:rPr>
                <w:color w:val="auto"/>
                <w:highlight w:val="none"/>
              </w:rPr>
              <w:t>子要素证明材料要求：</w:t>
            </w:r>
            <w:r>
              <w:rPr>
                <w:color w:val="auto"/>
                <w:spacing w:val="-1"/>
                <w:highlight w:val="none"/>
              </w:rPr>
              <w:t xml:space="preserve"> </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numPr>
                <w:ilvl w:val="0"/>
                <w:numId w:val="11"/>
              </w:numPr>
              <w:tabs>
                <w:tab w:val="left" w:pos="632"/>
                <w:tab w:val="left" w:pos="5460"/>
              </w:tabs>
              <w:spacing w:line="214" w:lineRule="exact"/>
              <w:ind w:left="631"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tabs>
                <w:tab w:val="left" w:pos="5460"/>
              </w:tabs>
              <w:spacing w:before="139"/>
              <w:ind w:left="525"/>
              <w:rPr>
                <w:rFonts w:ascii="Times New Roman" w:eastAsia="Times New Roman"/>
                <w:color w:val="auto"/>
                <w:highlight w:val="none"/>
              </w:rPr>
            </w:pPr>
            <w:r>
              <w:rPr>
                <w:color w:val="auto"/>
                <w:highlight w:val="none"/>
              </w:rPr>
              <w:t>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numPr>
                <w:ilvl w:val="0"/>
                <w:numId w:val="11"/>
              </w:numPr>
              <w:spacing w:before="140" w:line="364" w:lineRule="auto"/>
              <w:ind w:left="631" w:right="1191" w:hanging="527"/>
              <w:rPr>
                <w:color w:val="auto"/>
                <w:highlight w:val="none"/>
              </w:rPr>
            </w:pPr>
            <w:r>
              <w:rPr>
                <w:color w:val="auto"/>
                <w:highlight w:val="none"/>
              </w:rPr>
              <w:t xml:space="preserve">…… </w:t>
            </w:r>
          </w:p>
          <w:p>
            <w:pPr>
              <w:pStyle w:val="96"/>
              <w:spacing w:before="140" w:line="364" w:lineRule="auto"/>
              <w:ind w:left="104" w:right="1191"/>
              <w:rPr>
                <w:color w:val="auto"/>
                <w:highlight w:val="none"/>
              </w:rPr>
            </w:pPr>
            <w:r>
              <w:rPr>
                <w:color w:val="auto"/>
                <w:highlight w:val="none"/>
              </w:rPr>
              <w:t>2、实力，包括以下子要素</w:t>
            </w:r>
            <w:r>
              <w:rPr>
                <w:color w:val="auto"/>
                <w:w w:val="103"/>
                <w:position w:val="11"/>
                <w:sz w:val="10"/>
                <w:highlight w:val="none"/>
              </w:rPr>
              <w:t>②</w:t>
            </w:r>
            <w:r>
              <w:rPr>
                <w:color w:val="auto"/>
                <w:highlight w:val="none"/>
              </w:rPr>
              <w:t>：</w:t>
            </w:r>
          </w:p>
          <w:p>
            <w:pPr>
              <w:pStyle w:val="96"/>
              <w:numPr>
                <w:ilvl w:val="0"/>
                <w:numId w:val="12"/>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w:t>
            </w:r>
          </w:p>
          <w:p>
            <w:pPr>
              <w:pStyle w:val="96"/>
              <w:tabs>
                <w:tab w:val="left" w:pos="632"/>
                <w:tab w:val="left" w:pos="5460"/>
              </w:tabs>
              <w:spacing w:line="364" w:lineRule="auto"/>
              <w:ind w:left="105" w:right="1044" w:firstLine="420" w:firstLineChars="200"/>
              <w:jc w:val="left"/>
              <w:rPr>
                <w:rFonts w:ascii="Times New Roman" w:eastAsia="Times New Roman"/>
                <w:color w:val="auto"/>
                <w:highlight w:val="none"/>
              </w:rPr>
            </w:pPr>
            <w:r>
              <w:rPr>
                <w:color w:val="auto"/>
                <w:highlight w:val="none"/>
              </w:rPr>
              <w:t>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numPr>
                <w:ilvl w:val="0"/>
                <w:numId w:val="12"/>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w:t>
            </w:r>
          </w:p>
          <w:p>
            <w:pPr>
              <w:pStyle w:val="96"/>
              <w:tabs>
                <w:tab w:val="left" w:pos="632"/>
                <w:tab w:val="left" w:pos="5460"/>
              </w:tabs>
              <w:spacing w:line="364" w:lineRule="auto"/>
              <w:ind w:left="105" w:right="1044" w:firstLine="420" w:firstLineChars="200"/>
              <w:jc w:val="left"/>
              <w:rPr>
                <w:rFonts w:ascii="Times New Roman" w:eastAsia="Times New Roman"/>
                <w:color w:val="auto"/>
                <w:highlight w:val="none"/>
              </w:rPr>
            </w:pPr>
            <w:r>
              <w:rPr>
                <w:color w:val="auto"/>
                <w:highlight w:val="none"/>
              </w:rPr>
              <w:t>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numPr>
                <w:ilvl w:val="0"/>
                <w:numId w:val="12"/>
              </w:numPr>
              <w:spacing w:line="364" w:lineRule="auto"/>
              <w:ind w:right="5454" w:hanging="420"/>
              <w:rPr>
                <w:color w:val="auto"/>
                <w:highlight w:val="none"/>
              </w:rPr>
            </w:pPr>
            <w:r>
              <w:rPr>
                <w:color w:val="auto"/>
                <w:highlight w:val="none"/>
              </w:rPr>
              <w:t>…</w:t>
            </w:r>
          </w:p>
          <w:p>
            <w:pPr>
              <w:pStyle w:val="96"/>
              <w:spacing w:line="364" w:lineRule="auto"/>
              <w:ind w:left="105" w:right="728"/>
              <w:rPr>
                <w:color w:val="auto"/>
                <w:highlight w:val="none"/>
              </w:rPr>
            </w:pPr>
            <w:r>
              <w:rPr>
                <w:color w:val="auto"/>
                <w:highlight w:val="none"/>
              </w:rPr>
              <w:t>3、报价</w:t>
            </w:r>
          </w:p>
          <w:p>
            <w:pPr>
              <w:pStyle w:val="96"/>
              <w:numPr>
                <w:ilvl w:val="1"/>
                <w:numId w:val="12"/>
              </w:numPr>
              <w:tabs>
                <w:tab w:val="left" w:pos="1052"/>
                <w:tab w:val="left" w:pos="5460"/>
              </w:tabs>
              <w:spacing w:line="268" w:lineRule="exact"/>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numPr>
                <w:ilvl w:val="1"/>
                <w:numId w:val="12"/>
              </w:numPr>
              <w:tabs>
                <w:tab w:val="left" w:pos="1052"/>
                <w:tab w:val="left" w:pos="5460"/>
              </w:tabs>
              <w:spacing w:before="135"/>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96"/>
              <w:tabs>
                <w:tab w:val="left" w:pos="1680"/>
              </w:tabs>
              <w:spacing w:line="410" w:lineRule="atLeast"/>
              <w:ind w:left="105" w:right="308" w:firstLine="420"/>
              <w:rPr>
                <w:color w:val="auto"/>
                <w:highlight w:val="none"/>
              </w:rPr>
            </w:pPr>
            <w:r>
              <w:rPr>
                <w:color w:val="auto"/>
                <w:highlight w:val="none"/>
              </w:rPr>
              <w:t>（</w:t>
            </w:r>
            <w:r>
              <w:rPr>
                <w:rFonts w:ascii="Times New Roman" w:hAnsi="Times New Roman" w:eastAsia="Times New Roman"/>
                <w:color w:val="auto"/>
                <w:highlight w:val="none"/>
              </w:rPr>
              <w:t>3</w:t>
            </w:r>
            <w:r>
              <w:rPr>
                <w:color w:val="auto"/>
                <w:highlight w:val="none"/>
              </w:rPr>
              <w:t xml:space="preserve">）……      </w:t>
            </w:r>
          </w:p>
          <w:p>
            <w:pPr>
              <w:pStyle w:val="96"/>
              <w:tabs>
                <w:tab w:val="left" w:pos="1680"/>
              </w:tabs>
              <w:spacing w:line="410" w:lineRule="atLeast"/>
              <w:ind w:right="308"/>
              <w:rPr>
                <w:color w:val="auto"/>
                <w:highlight w:val="none"/>
              </w:rPr>
            </w:pPr>
            <w:r>
              <w:rPr>
                <w:color w:val="auto"/>
                <w:highlight w:val="none"/>
              </w:rPr>
              <w:t xml:space="preserve"> </w:t>
            </w:r>
            <w:r>
              <w:rPr>
                <w:color w:val="auto"/>
                <w:spacing w:val="-1"/>
                <w:highlight w:val="none"/>
              </w:rPr>
              <w:t>4、评标委员会评审意见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8" w:type="dxa"/>
            <w:tcBorders>
              <w:top w:val="single" w:color="000000" w:sz="6" w:space="0"/>
              <w:right w:val="single" w:color="000000" w:sz="6" w:space="0"/>
            </w:tcBorders>
            <w:noWrap w:val="0"/>
            <w:vAlign w:val="top"/>
          </w:tcPr>
          <w:p>
            <w:pPr>
              <w:pStyle w:val="96"/>
              <w:spacing w:line="268" w:lineRule="exact"/>
              <w:ind w:left="11"/>
              <w:jc w:val="center"/>
              <w:rPr>
                <w:color w:val="auto"/>
                <w:highlight w:val="none"/>
              </w:rPr>
            </w:pPr>
            <w:r>
              <w:rPr>
                <w:color w:val="auto"/>
                <w:highlight w:val="none"/>
              </w:rPr>
              <w:t>2</w:t>
            </w:r>
          </w:p>
        </w:tc>
        <w:tc>
          <w:tcPr>
            <w:tcW w:w="852" w:type="dxa"/>
            <w:tcBorders>
              <w:top w:val="single" w:color="000000" w:sz="6" w:space="0"/>
              <w:left w:val="single" w:color="000000" w:sz="6" w:space="0"/>
              <w:right w:val="single" w:color="000000" w:sz="6" w:space="0"/>
            </w:tcBorders>
            <w:noWrap w:val="0"/>
            <w:vAlign w:val="top"/>
          </w:tcPr>
          <w:p>
            <w:pPr>
              <w:pStyle w:val="96"/>
              <w:spacing w:line="268" w:lineRule="exact"/>
              <w:ind w:right="149"/>
              <w:jc w:val="right"/>
              <w:rPr>
                <w:color w:val="auto"/>
                <w:highlight w:val="none"/>
              </w:rPr>
            </w:pPr>
            <w:r>
              <w:rPr>
                <w:color w:val="auto"/>
                <w:highlight w:val="none"/>
              </w:rPr>
              <w:t>3.3.4</w:t>
            </w:r>
          </w:p>
        </w:tc>
        <w:tc>
          <w:tcPr>
            <w:tcW w:w="1336" w:type="dxa"/>
            <w:tcBorders>
              <w:top w:val="single" w:color="000000" w:sz="6" w:space="0"/>
              <w:left w:val="single" w:color="000000" w:sz="6" w:space="0"/>
              <w:right w:val="single" w:color="000000" w:sz="6" w:space="0"/>
            </w:tcBorders>
            <w:noWrap w:val="0"/>
            <w:vAlign w:val="top"/>
          </w:tcPr>
          <w:p>
            <w:pPr>
              <w:pStyle w:val="96"/>
              <w:spacing w:line="268" w:lineRule="exact"/>
              <w:ind w:left="85" w:right="79"/>
              <w:jc w:val="center"/>
              <w:rPr>
                <w:color w:val="auto"/>
                <w:highlight w:val="none"/>
              </w:rPr>
            </w:pPr>
            <w:r>
              <w:rPr>
                <w:color w:val="auto"/>
                <w:highlight w:val="none"/>
              </w:rPr>
              <w:t>定标票决办法</w:t>
            </w:r>
          </w:p>
        </w:tc>
        <w:tc>
          <w:tcPr>
            <w:tcW w:w="6000" w:type="dxa"/>
            <w:tcBorders>
              <w:top w:val="single" w:color="000000" w:sz="6" w:space="0"/>
              <w:left w:val="single" w:color="000000" w:sz="6" w:space="0"/>
            </w:tcBorders>
            <w:noWrap w:val="0"/>
            <w:vAlign w:val="top"/>
          </w:tcPr>
          <w:p>
            <w:pPr>
              <w:pStyle w:val="96"/>
              <w:spacing w:line="268" w:lineRule="exact"/>
              <w:ind w:left="525"/>
              <w:rPr>
                <w:color w:val="auto"/>
                <w:highlight w:val="none"/>
              </w:rPr>
            </w:pPr>
            <w:r>
              <w:rPr>
                <w:color w:val="auto"/>
                <w:highlight w:val="none"/>
              </w:rPr>
              <w:t>见投标人须知前附表</w:t>
            </w:r>
          </w:p>
        </w:tc>
      </w:tr>
    </w:tbl>
    <w:p>
      <w:pPr>
        <w:autoSpaceDE w:val="0"/>
        <w:autoSpaceDN w:val="0"/>
        <w:jc w:val="left"/>
        <w:rPr>
          <w:rFonts w:hint="eastAsia" w:ascii="黑体" w:hAnsi="黑体" w:eastAsia="黑体" w:cs="宋体"/>
          <w:b/>
          <w:color w:val="auto"/>
          <w:kern w:val="1"/>
          <w:szCs w:val="21"/>
          <w:highlight w:val="none"/>
          <w:lang w:val="zh-CN"/>
        </w:rPr>
      </w:pPr>
    </w:p>
    <w:p>
      <w:pPr>
        <w:autoSpaceDE w:val="0"/>
        <w:autoSpaceDN w:val="0"/>
        <w:jc w:val="left"/>
        <w:rPr>
          <w:rFonts w:hint="eastAsia" w:ascii="黑体" w:hAnsi="黑体" w:eastAsia="黑体" w:cs="宋体"/>
          <w:b/>
          <w:color w:val="auto"/>
          <w:kern w:val="1"/>
          <w:szCs w:val="21"/>
          <w:highlight w:val="none"/>
          <w:lang w:val="zh-CN"/>
        </w:rPr>
      </w:pPr>
      <w:r>
        <w:rPr>
          <w:rStyle w:val="47"/>
          <w:rFonts w:hint="eastAsia" w:ascii="黑体" w:hAnsi="黑体" w:eastAsia="黑体" w:cs="宋体"/>
          <w:b/>
          <w:color w:val="auto"/>
          <w:kern w:val="1"/>
          <w:szCs w:val="21"/>
          <w:highlight w:val="none"/>
          <w:lang w:val="zh-CN"/>
        </w:rPr>
        <w:footnoteReference w:id="1"/>
      </w:r>
    </w:p>
    <w:p>
      <w:pPr>
        <w:autoSpaceDE w:val="0"/>
        <w:autoSpaceDN w:val="0"/>
        <w:jc w:val="left"/>
        <w:rPr>
          <w:rFonts w:hint="eastAsia" w:ascii="黑体" w:hAnsi="黑体" w:eastAsia="黑体" w:cs="宋体"/>
          <w:b/>
          <w:color w:val="auto"/>
          <w:kern w:val="1"/>
          <w:szCs w:val="21"/>
          <w:highlight w:val="none"/>
          <w:lang w:val="zh-CN"/>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700"/>
        <w:gridCol w:w="5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4" w:hRule="atLeast"/>
          <w:jc w:val="center"/>
        </w:trPr>
        <w:tc>
          <w:tcPr>
            <w:tcW w:w="708" w:type="dxa"/>
            <w:tcBorders>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63"/>
              <w:ind w:left="11"/>
              <w:jc w:val="center"/>
              <w:rPr>
                <w:color w:val="auto"/>
                <w:highlight w:val="none"/>
              </w:rPr>
            </w:pPr>
            <w:r>
              <w:rPr>
                <w:color w:val="auto"/>
                <w:highlight w:val="none"/>
              </w:rPr>
              <w:t>3</w:t>
            </w:r>
          </w:p>
        </w:tc>
        <w:tc>
          <w:tcPr>
            <w:tcW w:w="852" w:type="dxa"/>
            <w:tcBorders>
              <w:left w:val="single" w:color="000000" w:sz="6" w:space="0"/>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6"/>
              <w:rPr>
                <w:color w:val="auto"/>
                <w:sz w:val="19"/>
                <w:highlight w:val="none"/>
              </w:rPr>
            </w:pPr>
          </w:p>
          <w:p>
            <w:pPr>
              <w:pStyle w:val="96"/>
              <w:ind w:left="160"/>
              <w:rPr>
                <w:color w:val="auto"/>
                <w:highlight w:val="none"/>
              </w:rPr>
            </w:pPr>
            <w:r>
              <w:rPr>
                <w:color w:val="auto"/>
                <w:highlight w:val="none"/>
              </w:rPr>
              <w:t>3.3.5</w:t>
            </w:r>
          </w:p>
          <w:p>
            <w:pPr>
              <w:pStyle w:val="96"/>
              <w:spacing w:before="70"/>
              <w:ind w:left="160"/>
              <w:rPr>
                <w:color w:val="auto"/>
                <w:highlight w:val="none"/>
              </w:rPr>
            </w:pPr>
            <w:r>
              <w:rPr>
                <w:color w:val="auto"/>
                <w:highlight w:val="none"/>
              </w:rPr>
              <w:t>（1）</w:t>
            </w:r>
          </w:p>
        </w:tc>
        <w:tc>
          <w:tcPr>
            <w:tcW w:w="1700" w:type="dxa"/>
            <w:tcBorders>
              <w:left w:val="single" w:color="000000" w:sz="6" w:space="0"/>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63"/>
              <w:ind w:left="85" w:right="78"/>
              <w:jc w:val="center"/>
              <w:rPr>
                <w:color w:val="auto"/>
                <w:highlight w:val="none"/>
              </w:rPr>
            </w:pPr>
            <w:r>
              <w:rPr>
                <w:color w:val="auto"/>
                <w:highlight w:val="none"/>
              </w:rPr>
              <w:t>票决定标法</w:t>
            </w:r>
          </w:p>
        </w:tc>
        <w:tc>
          <w:tcPr>
            <w:tcW w:w="5519" w:type="dxa"/>
            <w:tcBorders>
              <w:left w:val="single" w:color="000000" w:sz="6" w:space="0"/>
              <w:bottom w:val="single" w:color="000000" w:sz="6" w:space="0"/>
            </w:tcBorders>
            <w:noWrap w:val="0"/>
            <w:vAlign w:val="top"/>
          </w:tcPr>
          <w:p>
            <w:pPr>
              <w:pStyle w:val="96"/>
              <w:spacing w:before="4"/>
              <w:ind w:left="525"/>
              <w:rPr>
                <w:b/>
                <w:color w:val="auto"/>
                <w:highlight w:val="none"/>
              </w:rPr>
            </w:pPr>
            <w:r>
              <w:rPr>
                <w:b/>
                <w:color w:val="auto"/>
                <w:highlight w:val="none"/>
              </w:rPr>
              <w:t>1、直接票决法</w:t>
            </w:r>
          </w:p>
          <w:p>
            <w:pPr>
              <w:pStyle w:val="96"/>
              <w:spacing w:before="72" w:line="302" w:lineRule="auto"/>
              <w:ind w:left="105" w:right="98" w:firstLine="420"/>
              <w:rPr>
                <w:color w:val="auto"/>
                <w:highlight w:val="none"/>
              </w:rPr>
            </w:pPr>
            <w:r>
              <w:rPr>
                <w:color w:val="auto"/>
                <w:spacing w:val="-1"/>
                <w:highlight w:val="none"/>
              </w:rPr>
              <w:t>定标委员会在进入票决范围的定标候选人中，以每人投票支持一家候选人的方式，将得票数最多且得票数超过定标委员会总人数半数</w:t>
            </w:r>
            <w:r>
              <w:rPr>
                <w:color w:val="auto"/>
                <w:highlight w:val="none"/>
              </w:rPr>
              <w:t>的候选人确定为中标人。</w:t>
            </w:r>
          </w:p>
          <w:p>
            <w:pPr>
              <w:pStyle w:val="96"/>
              <w:spacing w:before="4" w:line="304" w:lineRule="auto"/>
              <w:ind w:left="105" w:right="98" w:firstLine="420"/>
              <w:rPr>
                <w:color w:val="auto"/>
                <w:highlight w:val="none"/>
              </w:rPr>
            </w:pPr>
            <w:r>
              <w:rPr>
                <w:color w:val="auto"/>
                <w:spacing w:val="-1"/>
                <w:highlight w:val="none"/>
              </w:rPr>
              <w:t>当没有候选人得票数超过定标委员会总人数半数时，选择得票数排序在前的2家候选人</w:t>
            </w:r>
            <w:r>
              <w:rPr>
                <w:color w:val="auto"/>
                <w:highlight w:val="none"/>
              </w:rPr>
              <w:t xml:space="preserve">（按上一轮得票数多少的顺序选择，在选择第2 </w:t>
            </w:r>
            <w:r>
              <w:rPr>
                <w:color w:val="auto"/>
                <w:spacing w:val="-1"/>
                <w:highlight w:val="none"/>
              </w:rPr>
              <w:t>家候选人时出现同票的候选人时，所有同票候选人一并纳入下一轮的</w:t>
            </w:r>
            <w:r>
              <w:rPr>
                <w:color w:val="auto"/>
                <w:highlight w:val="none"/>
              </w:rPr>
              <w:t>投票范围）</w:t>
            </w:r>
            <w:r>
              <w:rPr>
                <w:color w:val="auto"/>
                <w:spacing w:val="-1"/>
                <w:highlight w:val="none"/>
              </w:rPr>
              <w:t>作为再次投票的范围，直至出现得票数超过定标委员会总</w:t>
            </w:r>
            <w:r>
              <w:rPr>
                <w:color w:val="auto"/>
                <w:highlight w:val="none"/>
              </w:rPr>
              <w:t>人数半数的候选人为止。</w:t>
            </w:r>
          </w:p>
          <w:p>
            <w:pPr>
              <w:pStyle w:val="96"/>
              <w:spacing w:line="262" w:lineRule="exact"/>
              <w:ind w:left="525"/>
              <w:rPr>
                <w:b/>
                <w:color w:val="auto"/>
                <w:highlight w:val="none"/>
              </w:rPr>
            </w:pPr>
            <w:r>
              <w:rPr>
                <w:b/>
                <w:color w:val="auto"/>
                <w:highlight w:val="none"/>
              </w:rPr>
              <w:t>2、逐轮票决法</w:t>
            </w:r>
          </w:p>
          <w:p>
            <w:pPr>
              <w:pStyle w:val="96"/>
              <w:spacing w:before="72" w:line="304" w:lineRule="auto"/>
              <w:ind w:left="105" w:right="98" w:firstLine="420"/>
              <w:rPr>
                <w:color w:val="auto"/>
                <w:highlight w:val="none"/>
              </w:rPr>
            </w:pPr>
            <w:r>
              <w:rPr>
                <w:color w:val="auto"/>
                <w:highlight w:val="none"/>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pStyle w:val="96"/>
              <w:spacing w:line="302" w:lineRule="auto"/>
              <w:ind w:left="105" w:right="98" w:firstLine="420"/>
              <w:rPr>
                <w:color w:val="auto"/>
                <w:highlight w:val="none"/>
              </w:rPr>
            </w:pPr>
            <w:r>
              <w:rPr>
                <w:color w:val="auto"/>
                <w:highlight w:val="none"/>
              </w:rPr>
              <w:t>原则上每轮淘汰1家候选人。各轮投票时，每人投1家淘汰单位， 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pStyle w:val="96"/>
              <w:spacing w:before="2"/>
              <w:ind w:left="525"/>
              <w:rPr>
                <w:color w:val="auto"/>
                <w:highlight w:val="none"/>
              </w:rPr>
            </w:pPr>
            <w:r>
              <w:rPr>
                <w:color w:val="auto"/>
                <w:highlight w:val="none"/>
              </w:rPr>
              <w:t>根据前述规则，直至剩余1家候选人为中标人。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jc w:val="center"/>
        </w:trPr>
        <w:tc>
          <w:tcPr>
            <w:tcW w:w="708" w:type="dxa"/>
            <w:tcBorders>
              <w:top w:val="single" w:color="000000" w:sz="6" w:space="0"/>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2"/>
              <w:rPr>
                <w:color w:val="auto"/>
                <w:sz w:val="25"/>
                <w:highlight w:val="none"/>
              </w:rPr>
            </w:pPr>
          </w:p>
          <w:p>
            <w:pPr>
              <w:pStyle w:val="96"/>
              <w:ind w:left="11"/>
              <w:jc w:val="center"/>
              <w:rPr>
                <w:color w:val="auto"/>
                <w:highlight w:val="none"/>
              </w:rPr>
            </w:pPr>
            <w:r>
              <w:rPr>
                <w:color w:val="auto"/>
                <w:highlight w:val="none"/>
              </w:rPr>
              <w:t>4</w:t>
            </w:r>
          </w:p>
        </w:tc>
        <w:tc>
          <w:tcPr>
            <w:tcW w:w="852" w:type="dxa"/>
            <w:tcBorders>
              <w:top w:val="single" w:color="000000" w:sz="6" w:space="0"/>
              <w:left w:val="single" w:color="000000" w:sz="6" w:space="0"/>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64"/>
              <w:ind w:left="160"/>
              <w:rPr>
                <w:color w:val="auto"/>
                <w:highlight w:val="none"/>
              </w:rPr>
            </w:pPr>
            <w:r>
              <w:rPr>
                <w:color w:val="auto"/>
                <w:highlight w:val="none"/>
              </w:rPr>
              <w:t>3.3.5</w:t>
            </w:r>
          </w:p>
          <w:p>
            <w:pPr>
              <w:pStyle w:val="96"/>
              <w:spacing w:before="70"/>
              <w:ind w:left="160"/>
              <w:rPr>
                <w:color w:val="auto"/>
                <w:highlight w:val="none"/>
              </w:rPr>
            </w:pPr>
            <w:r>
              <w:rPr>
                <w:color w:val="auto"/>
                <w:highlight w:val="none"/>
              </w:rPr>
              <w:t>（2）</w:t>
            </w:r>
          </w:p>
        </w:tc>
        <w:tc>
          <w:tcPr>
            <w:tcW w:w="1700" w:type="dxa"/>
            <w:tcBorders>
              <w:top w:val="single" w:color="000000" w:sz="6" w:space="0"/>
              <w:left w:val="single" w:color="000000" w:sz="6" w:space="0"/>
              <w:bottom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2"/>
              <w:rPr>
                <w:color w:val="auto"/>
                <w:sz w:val="25"/>
                <w:highlight w:val="none"/>
              </w:rPr>
            </w:pPr>
          </w:p>
          <w:p>
            <w:pPr>
              <w:pStyle w:val="96"/>
              <w:ind w:left="80" w:right="84"/>
              <w:jc w:val="center"/>
              <w:rPr>
                <w:color w:val="auto"/>
                <w:highlight w:val="none"/>
              </w:rPr>
            </w:pPr>
            <w:r>
              <w:rPr>
                <w:color w:val="auto"/>
                <w:highlight w:val="none"/>
              </w:rPr>
              <w:t>票决抽签定标法</w:t>
            </w:r>
          </w:p>
        </w:tc>
        <w:tc>
          <w:tcPr>
            <w:tcW w:w="5519" w:type="dxa"/>
            <w:tcBorders>
              <w:top w:val="single" w:color="000000" w:sz="6" w:space="0"/>
              <w:left w:val="single" w:color="000000" w:sz="6" w:space="0"/>
              <w:bottom w:val="single" w:color="000000" w:sz="6" w:space="0"/>
            </w:tcBorders>
            <w:noWrap w:val="0"/>
            <w:vAlign w:val="top"/>
          </w:tcPr>
          <w:p>
            <w:pPr>
              <w:pStyle w:val="96"/>
              <w:spacing w:line="302" w:lineRule="auto"/>
              <w:ind w:left="105" w:right="98" w:firstLine="420"/>
              <w:rPr>
                <w:color w:val="auto"/>
                <w:highlight w:val="none"/>
              </w:rPr>
            </w:pPr>
            <w:r>
              <w:rPr>
                <w:color w:val="auto"/>
                <w:highlight w:val="none"/>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 直至选择出3家候选人为止。</w:t>
            </w:r>
          </w:p>
          <w:p>
            <w:pPr>
              <w:pStyle w:val="96"/>
              <w:spacing w:before="6" w:line="302" w:lineRule="auto"/>
              <w:ind w:left="105" w:right="308" w:firstLine="420"/>
              <w:rPr>
                <w:color w:val="auto"/>
                <w:highlight w:val="none"/>
              </w:rPr>
            </w:pPr>
            <w:r>
              <w:rPr>
                <w:color w:val="auto"/>
                <w:highlight w:val="none"/>
              </w:rPr>
              <w:t>2、按照上述标准选择的3家候选人采用随机抽取方式确定中标人，随机抽取规则如下：</w:t>
            </w:r>
          </w:p>
          <w:p>
            <w:pPr>
              <w:pStyle w:val="96"/>
              <w:spacing w:before="2" w:line="302" w:lineRule="auto"/>
              <w:ind w:left="105" w:right="98" w:firstLine="420"/>
              <w:rPr>
                <w:color w:val="auto"/>
                <w:highlight w:val="none"/>
              </w:rPr>
            </w:pPr>
            <w:r>
              <w:rPr>
                <w:rFonts w:hint="eastAsia"/>
                <w:color w:val="auto"/>
                <w:highlight w:val="none"/>
                <w:lang w:val="zh-CN" w:eastAsia="zh-CN"/>
              </w:rPr>
              <w:t>候选人的投标人代表号即为候选人代表球号，由建设单位派出代表(除定标委员会成员以外人员)在市公共资源交易中心开标区抽取机中放入所有候选人代表球号，第 1 次抽取出的球号对应的候选人为中标人</w:t>
            </w:r>
            <w:r>
              <w:rPr>
                <w:rFonts w:hint="eastAsia"/>
                <w:color w:val="auto"/>
                <w:highlight w:val="none"/>
                <w:lang w:val="zh-CN"/>
              </w:rPr>
              <w:t>。</w:t>
            </w:r>
          </w:p>
          <w:p>
            <w:pPr>
              <w:pStyle w:val="96"/>
              <w:spacing w:before="3" w:line="304" w:lineRule="auto"/>
              <w:ind w:left="105" w:right="98" w:firstLine="420"/>
              <w:rPr>
                <w:color w:val="auto"/>
                <w:highlight w:val="none"/>
              </w:rPr>
            </w:pPr>
            <w:r>
              <w:rPr>
                <w:color w:val="auto"/>
                <w:highlight w:val="none"/>
              </w:rPr>
              <w:t>在抽取入围投标人过程中，如出现由于定标委员会的工作失误或设备故障影响抽取结果的，抽取中标人无效，应当重新抽取。</w:t>
            </w:r>
          </w:p>
          <w:p>
            <w:pPr>
              <w:pStyle w:val="96"/>
              <w:spacing w:line="266" w:lineRule="exact"/>
              <w:ind w:left="525"/>
              <w:rPr>
                <w:color w:val="auto"/>
                <w:highlight w:val="none"/>
              </w:rPr>
            </w:pPr>
            <w:r>
              <w:rPr>
                <w:color w:val="auto"/>
                <w:highlight w:val="none"/>
              </w:rPr>
              <w:t>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708" w:type="dxa"/>
            <w:tcBorders>
              <w:top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64"/>
              <w:ind w:left="11"/>
              <w:jc w:val="center"/>
              <w:rPr>
                <w:color w:val="auto"/>
                <w:highlight w:val="none"/>
              </w:rPr>
            </w:pPr>
            <w:r>
              <w:rPr>
                <w:color w:val="auto"/>
                <w:highlight w:val="none"/>
              </w:rPr>
              <w:t>5</w:t>
            </w:r>
          </w:p>
        </w:tc>
        <w:tc>
          <w:tcPr>
            <w:tcW w:w="852" w:type="dxa"/>
            <w:tcBorders>
              <w:top w:val="single" w:color="000000" w:sz="6" w:space="0"/>
              <w:left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7"/>
              <w:rPr>
                <w:color w:val="auto"/>
                <w:sz w:val="19"/>
                <w:highlight w:val="none"/>
              </w:rPr>
            </w:pPr>
          </w:p>
          <w:p>
            <w:pPr>
              <w:pStyle w:val="96"/>
              <w:ind w:left="160"/>
              <w:rPr>
                <w:color w:val="auto"/>
                <w:highlight w:val="none"/>
              </w:rPr>
            </w:pPr>
            <w:r>
              <w:rPr>
                <w:color w:val="auto"/>
                <w:highlight w:val="none"/>
              </w:rPr>
              <w:t>3.3.5</w:t>
            </w:r>
          </w:p>
          <w:p>
            <w:pPr>
              <w:pStyle w:val="96"/>
              <w:spacing w:before="71"/>
              <w:ind w:left="160"/>
              <w:rPr>
                <w:color w:val="auto"/>
                <w:highlight w:val="none"/>
              </w:rPr>
            </w:pPr>
            <w:r>
              <w:rPr>
                <w:color w:val="auto"/>
                <w:highlight w:val="none"/>
              </w:rPr>
              <w:t>（3）</w:t>
            </w:r>
          </w:p>
        </w:tc>
        <w:tc>
          <w:tcPr>
            <w:tcW w:w="1700" w:type="dxa"/>
            <w:tcBorders>
              <w:top w:val="single" w:color="000000" w:sz="6" w:space="0"/>
              <w:left w:val="single" w:color="000000" w:sz="6" w:space="0"/>
              <w:right w:val="single" w:color="000000" w:sz="6" w:space="0"/>
            </w:tcBorders>
            <w:noWrap w:val="0"/>
            <w:vAlign w:val="top"/>
          </w:tcPr>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rPr>
                <w:color w:val="auto"/>
                <w:sz w:val="20"/>
                <w:highlight w:val="none"/>
              </w:rPr>
            </w:pPr>
          </w:p>
          <w:p>
            <w:pPr>
              <w:pStyle w:val="96"/>
              <w:spacing w:before="164"/>
              <w:ind w:left="80" w:right="84"/>
              <w:jc w:val="center"/>
              <w:rPr>
                <w:color w:val="auto"/>
                <w:highlight w:val="none"/>
              </w:rPr>
            </w:pPr>
            <w:r>
              <w:rPr>
                <w:color w:val="auto"/>
                <w:highlight w:val="none"/>
              </w:rPr>
              <w:t>票决低价定标法</w:t>
            </w:r>
          </w:p>
        </w:tc>
        <w:tc>
          <w:tcPr>
            <w:tcW w:w="5519" w:type="dxa"/>
            <w:tcBorders>
              <w:top w:val="single" w:color="000000" w:sz="6" w:space="0"/>
              <w:left w:val="single" w:color="000000" w:sz="6" w:space="0"/>
            </w:tcBorders>
            <w:noWrap w:val="0"/>
            <w:vAlign w:val="top"/>
          </w:tcPr>
          <w:p>
            <w:pPr>
              <w:pStyle w:val="96"/>
              <w:spacing w:before="4"/>
              <w:ind w:left="105" w:firstLine="420" w:firstLineChars="200"/>
              <w:rPr>
                <w:rFonts w:hint="eastAsia"/>
                <w:color w:val="auto"/>
                <w:highlight w:val="none"/>
                <w:lang w:val="en-US" w:eastAsia="zh-CN"/>
              </w:rPr>
            </w:pPr>
            <w:r>
              <w:rPr>
                <w:rFonts w:hint="eastAsia"/>
                <w:color w:val="auto"/>
                <w:highlight w:val="none"/>
                <w:lang w:val="en-US" w:eastAsia="zh-CN"/>
              </w:rPr>
              <w:t>定标委员会在综合得分(或综合等级)最高的三家定标候选人[与上述三家中综合得分(或综合等级)最低的定标候选人的综合得分(或综合等级)相同的定标候选人，一并进入低价选择范围]中确定投标报价最低(投标报价如有修正，以修正后投标报价为准)的定标候选人为中标人。</w:t>
            </w:r>
          </w:p>
          <w:p>
            <w:pPr>
              <w:pStyle w:val="96"/>
              <w:spacing w:before="4"/>
              <w:ind w:left="105" w:firstLine="420" w:firstLineChars="200"/>
              <w:rPr>
                <w:rFonts w:hint="eastAsia"/>
                <w:color w:val="auto"/>
                <w:highlight w:val="none"/>
                <w:lang w:val="en-US" w:eastAsia="zh-CN"/>
              </w:rPr>
            </w:pPr>
            <w:r>
              <w:rPr>
                <w:rFonts w:hint="eastAsia"/>
                <w:color w:val="auto"/>
                <w:highlight w:val="none"/>
                <w:lang w:val="en-US" w:eastAsia="zh-CN"/>
              </w:rPr>
              <w:t>如综合得分(或综合等级)最高的三家定标候选人中出现最低投标报价相同情形时，则在最低投标报价相同的候选人中，采用随机抽取方式确定中标人，随机抽取规则如下：</w:t>
            </w:r>
          </w:p>
          <w:p>
            <w:pPr>
              <w:pStyle w:val="96"/>
              <w:spacing w:before="4"/>
              <w:ind w:left="105" w:firstLine="420" w:firstLineChars="200"/>
              <w:rPr>
                <w:rFonts w:hint="eastAsia"/>
                <w:color w:val="auto"/>
                <w:highlight w:val="none"/>
                <w:lang w:val="en-US" w:eastAsia="zh-CN"/>
              </w:rPr>
            </w:pPr>
            <w:r>
              <w:rPr>
                <w:rFonts w:hint="eastAsia"/>
                <w:color w:val="auto"/>
                <w:highlight w:val="none"/>
                <w:lang w:val="en-US" w:eastAsia="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pStyle w:val="96"/>
              <w:spacing w:before="4"/>
              <w:ind w:left="105" w:firstLine="420" w:firstLineChars="200"/>
              <w:rPr>
                <w:color w:val="auto"/>
                <w:highlight w:val="none"/>
              </w:rPr>
            </w:pPr>
            <w:r>
              <w:rPr>
                <w:rFonts w:hint="eastAsia"/>
                <w:color w:val="auto"/>
                <w:highlight w:val="none"/>
                <w:lang w:val="en-US" w:eastAsia="zh-CN"/>
              </w:rPr>
              <w:t>在抽取过程中，如出现由于建设单位的工作失误或设备故障影响抽取结果的，抽取中标人无效，应当重新抽取。所有抽球过程实行全程录音录像监控。</w:t>
            </w:r>
          </w:p>
        </w:tc>
      </w:tr>
    </w:tbl>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560" w:firstLineChars="20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定标办法正文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1.定标方法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1.1定标应当坚持择优与竞价相结合，择优为主。定标过程应严格按照定标规则和定标方案相关规定执行，不得临时改变既定的定标规则和定标方案。</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1.2定标规则包括定标委员会的组建、清标、定标时限、定标票决办法、定标要素（包括子要素）。</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1.3定标方案由建设单位按照《厦门市建设局关于印发建设工程招投标“评定分离”办法（试行）的通知》（厦建筑〔2022〕51号）有关规定，根据定标规则结合项目具体情况编制并作为定标依据。</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定标方案包括定标规则、各定标要素定性评级标准或定量评审标准、定标候选人进入票决范围应达到的综合等级或综合得分以及票决规程。</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投标截止时间前，定标方案经建设单位“三重一大”决策程序研究确定后，应当加密上传电子交易平台。</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1.4定标方案中的定标票决办法和定标要素（包括子要素）应当与定标规则中的定标票决办法和定标要素（包括子要素）一致。</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1.5定标委员会根据定标规则和定标方案在进入票决范围的定标候选人中进行定标，确定中标人。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2.定标程序</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2.1定标按以下程序进行。</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（2）清标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（3）票决定标，确定中标人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3.定标规则</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3.1.1</w:t>
      </w:r>
      <w:r>
        <w:rPr>
          <w:rFonts w:hint="eastAsia" w:cs="宋体"/>
          <w:color w:val="auto"/>
          <w:sz w:val="24"/>
          <w:szCs w:val="24"/>
          <w:highlight w:val="none"/>
        </w:rPr>
        <w:t>定标委员会需由建设单位的法定代表人负责组建。项目实行代建的且代建单位作为招标人的，建设单位可以委托代建单位的法定代表人组建，代建单位应将定标委员会组建方案报建设单位批准同意。</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3.1.2定标委员会成员原则上从建设单位（代建单位）的领导班子成员、经营管理人员、具有工程建设类中级及以上技术职称或注册执业资格的人员中产生，成员总数为五人及以上单数。本单位人员不足的， 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3.1.3各区、各行业主管部门及有条件的建设单位建立定标委员会成员名录库的，建设单位可以在相应的定标委员会成员名录库中采取随机抽签的方式组建定标委员会。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3.2清标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3.2.1定标候选人公示期满后，招标人进行清标工作。清标小组通过电子交易平台下载并解密定标方案（清标版，只包括定标子要素评审标准），并按其中确定的各定标要素定性评级标准或定量评审标准，整理各定标候选人的清标等级或清标得分，定标要素见定标办法前附表第1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3.2.2招标人应编制清标报告，清标报告内容应当客观公正、真实有效。</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3.3票决定标，确定中标人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3.3.1招标人应当自定标候选人公示期满后7日内组织定标委员会进入市公共资源交易中心进行定标。不能按时定标的，应当通过市公共资源交易网公示延期原因和定标时间。</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定标委员会通过电子交易平台下载并解密定标方案（完整版本）。</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3.3.2定标委员会按照清标报告中各定标候选人的清标等级或清标得分，根据定标方案（完整版本）中各定标要素权重计算定标候选人的综合等级或综合得分。</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3.3.3定标委员会根据定标方案规定的进入票决范围应达到的综合等级或综合得分，以及定标方案其他规定，确定进入票决范围的定标候选人。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3.3.4定标委员会在进入票决范围的定标候选人中，按照定标方案中的定标票决规程和定标办法前附表第 2 项选择的定标票决办法确定中标人。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3.3.5定标票决办法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定标票决办法种类包括票决定标法、票决抽签定标法和票决低价定标法：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（1）票决定标法是由定标委员会以直接票决或者逐轮票决等方式确定中标人，具体标准详见定标办法前附表第 3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（2）票决抽签定标法是由定标委员会从进入票决定标的投标人中，先以投票表决方式确定 3 家投标人，再以</w:t>
      </w:r>
      <w:r>
        <w:rPr>
          <w:rFonts w:hint="eastAsia" w:ascii="宋体" w:hAnsi="宋体" w:cs="宋体"/>
          <w:color w:val="auto"/>
          <w:sz w:val="24"/>
          <w:highlight w:val="none"/>
          <w:lang w:eastAsia="zh-CN"/>
        </w:rPr>
        <w:t>建设单位</w:t>
      </w:r>
      <w:r>
        <w:rPr>
          <w:rFonts w:hint="eastAsia" w:ascii="宋体" w:hAnsi="宋体" w:cs="宋体"/>
          <w:color w:val="auto"/>
          <w:sz w:val="24"/>
          <w:highlight w:val="none"/>
        </w:rPr>
        <w:t>随机抽签方式确定中标人，具体标准详见定标办法前附表第 4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（3）票决低价法是由定标委员会在综合得分（或综合等级）最高的三家定标候选人中，确定投标报价最低定标候选人为中标人，具体标准详见定标办法前附表第 5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3.3.6每一次投票，定标委员会成员应当独立进行并说明投票理由。定标完成后，定标委员会应当编制定标报告，定标报告完整载明定标过程。</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4.重新定标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定标后有下列情形之一的，建设单位可从进入定标票决范围的其他定标候选人中采用原定标方案规定的票决方式，由原定标委员会重新确定中标人：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（1）中标人放弃中标或者拒不签订合同的；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（2）中标人不按照招标文件要求提交履约担保的；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（3）被查实存在影响中标结果的违法行为的；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（4）法律法规规定的其他情形。</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5.监督</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建设单位负责组建监督小组，对“评定分离”招投标活动全过程进行监督，重点监督建设单位是否按照确定的定标方案定标。监督小组应当在招投标工作结束后书面向单位党组织报告监督工作情况。</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6.附则</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6.1招标人不承诺将合同授予投标报价最低的投标人。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6.2中标人确定后，招标人无义务向未中标的投标人就其未中标的原因作出解释。未中标的投标人不得向定标委员会组成人员或招标人询问定标过程的情况或索要相关材料。</w:t>
      </w: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rPr>
          <w:rFonts w:hint="eastAsia" w:ascii="宋体" w:hAnsi="宋体"/>
          <w:color w:val="auto"/>
          <w:highlight w:val="none"/>
        </w:rPr>
      </w:pPr>
    </w:p>
    <w:p>
      <w:pPr>
        <w:tabs>
          <w:tab w:val="left" w:pos="4200"/>
        </w:tabs>
        <w:spacing w:line="400" w:lineRule="exact"/>
        <w:ind w:firstLine="482"/>
        <w:rPr>
          <w:rFonts w:hint="eastAsia" w:ascii="宋体" w:hAnsi="宋体"/>
          <w:b/>
          <w:bCs/>
          <w:color w:val="auto"/>
          <w:sz w:val="24"/>
          <w:highlight w:val="none"/>
        </w:rPr>
      </w:pPr>
    </w:p>
    <w:p>
      <w:pPr>
        <w:pStyle w:val="4"/>
        <w:rPr>
          <w:rFonts w:hint="eastAsia" w:ascii="宋体" w:hAnsi="宋体" w:cs="黑体"/>
          <w:color w:val="auto"/>
          <w:highlight w:val="none"/>
        </w:rPr>
      </w:pPr>
      <w:bookmarkStart w:id="955" w:name="_Toc10943"/>
      <w:bookmarkStart w:id="956" w:name="_Toc144974577"/>
      <w:bookmarkStart w:id="957" w:name="_Toc334648761"/>
      <w:bookmarkStart w:id="958" w:name="_Toc152042387"/>
      <w:bookmarkStart w:id="959" w:name="_Toc152045609"/>
      <w:bookmarkStart w:id="960" w:name="_Toc179632627"/>
      <w:bookmarkStart w:id="961" w:name="_Toc3479"/>
      <w:bookmarkStart w:id="962" w:name="_Toc490832335"/>
      <w:r>
        <w:rPr>
          <w:rFonts w:hint="eastAsia" w:ascii="宋体" w:hAnsi="宋体" w:cs="黑体"/>
          <w:color w:val="auto"/>
          <w:highlight w:val="none"/>
        </w:rPr>
        <w:t>第</w:t>
      </w:r>
      <w:r>
        <w:rPr>
          <w:rFonts w:hint="eastAsia" w:ascii="宋体" w:hAnsi="宋体" w:cs="黑体"/>
          <w:color w:val="auto"/>
          <w:highlight w:val="none"/>
          <w:lang w:eastAsia="zh-CN"/>
        </w:rPr>
        <w:t>五</w:t>
      </w:r>
      <w:r>
        <w:rPr>
          <w:rFonts w:hint="eastAsia" w:ascii="宋体" w:hAnsi="宋体" w:cs="黑体"/>
          <w:color w:val="auto"/>
          <w:highlight w:val="none"/>
        </w:rPr>
        <w:t>章 合同条款及格式</w:t>
      </w:r>
      <w:bookmarkEnd w:id="955"/>
      <w:bookmarkEnd w:id="956"/>
      <w:bookmarkEnd w:id="957"/>
      <w:bookmarkEnd w:id="958"/>
      <w:bookmarkEnd w:id="959"/>
      <w:bookmarkEnd w:id="960"/>
      <w:bookmarkEnd w:id="961"/>
      <w:bookmarkEnd w:id="962"/>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宋体" w:hAnsi="宋体"/>
          <w:b/>
          <w:bCs/>
          <w:color w:val="auto"/>
          <w:sz w:val="32"/>
          <w:szCs w:val="32"/>
          <w:highlight w:val="none"/>
        </w:rPr>
      </w:pPr>
      <w:bookmarkStart w:id="963" w:name="_Toc152042388"/>
      <w:bookmarkStart w:id="964" w:name="_Toc179632628"/>
      <w:bookmarkStart w:id="965" w:name="_Toc144974578"/>
      <w:bookmarkStart w:id="966" w:name="_Toc152045610"/>
      <w:bookmarkStart w:id="967" w:name="_Toc334648763"/>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p>
      <w:pPr>
        <w:jc w:val="center"/>
        <w:rPr>
          <w:rFonts w:hint="eastAsia" w:ascii="宋体" w:hAnsi="宋体"/>
          <w:b/>
          <w:bCs/>
          <w:color w:val="auto"/>
          <w:sz w:val="32"/>
          <w:szCs w:val="32"/>
          <w:highlight w:val="none"/>
        </w:rPr>
      </w:pPr>
    </w:p>
    <w:bookmarkEnd w:id="963"/>
    <w:bookmarkEnd w:id="964"/>
    <w:bookmarkEnd w:id="965"/>
    <w:bookmarkEnd w:id="966"/>
    <w:bookmarkEnd w:id="967"/>
    <w:p>
      <w:pPr>
        <w:pStyle w:val="6"/>
        <w:jc w:val="center"/>
        <w:rPr>
          <w:rFonts w:hint="eastAsia" w:ascii="宋体" w:hAnsi="宋体"/>
          <w:color w:val="auto"/>
          <w:highlight w:val="none"/>
        </w:rPr>
      </w:pPr>
      <w:bookmarkStart w:id="968" w:name="_Toc490832336"/>
      <w:r>
        <w:rPr>
          <w:rFonts w:hint="eastAsia" w:ascii="宋体" w:hAnsi="宋体"/>
          <w:color w:val="auto"/>
          <w:highlight w:val="none"/>
        </w:rPr>
        <w:t>第一节 通用合同条款</w:t>
      </w:r>
      <w:bookmarkEnd w:id="968"/>
    </w:p>
    <w:p>
      <w:pPr>
        <w:jc w:val="center"/>
        <w:rPr>
          <w:rFonts w:hint="eastAsia" w:ascii="宋体" w:hAnsi="宋体"/>
          <w:color w:val="auto"/>
          <w:szCs w:val="21"/>
          <w:highlight w:val="none"/>
        </w:rPr>
      </w:pPr>
    </w:p>
    <w:p>
      <w:pPr>
        <w:pStyle w:val="6"/>
        <w:spacing w:before="0" w:after="0" w:line="360" w:lineRule="exact"/>
        <w:ind w:firstLine="421" w:firstLineChars="200"/>
        <w:rPr>
          <w:rFonts w:hint="eastAsia" w:ascii="宋体" w:hAnsi="宋体" w:cs="宋体"/>
          <w:color w:val="auto"/>
          <w:sz w:val="21"/>
          <w:szCs w:val="21"/>
          <w:highlight w:val="none"/>
        </w:rPr>
      </w:pPr>
      <w:bookmarkStart w:id="969" w:name="_Toc419825052"/>
      <w:bookmarkStart w:id="970" w:name="_Toc490832337"/>
      <w:bookmarkStart w:id="971" w:name="_Toc487653230"/>
      <w:bookmarkStart w:id="972" w:name="_Toc488492882"/>
      <w:bookmarkStart w:id="973" w:name="_Toc28776"/>
      <w:bookmarkStart w:id="974" w:name="_Toc463799058"/>
      <w:bookmarkStart w:id="975" w:name="_Toc488483654"/>
      <w:bookmarkStart w:id="976" w:name="_Toc290198748"/>
      <w:bookmarkStart w:id="977" w:name="_Toc486685955"/>
      <w:bookmarkStart w:id="978" w:name="_Toc419825400"/>
      <w:r>
        <w:rPr>
          <w:rFonts w:hint="eastAsia" w:ascii="宋体" w:hAnsi="宋体" w:cs="宋体"/>
          <w:color w:val="auto"/>
          <w:sz w:val="21"/>
          <w:szCs w:val="21"/>
          <w:highlight w:val="none"/>
        </w:rPr>
        <w:t>1、一般约定</w:t>
      </w:r>
      <w:bookmarkEnd w:id="969"/>
      <w:bookmarkEnd w:id="970"/>
      <w:bookmarkEnd w:id="971"/>
      <w:bookmarkEnd w:id="972"/>
      <w:bookmarkEnd w:id="973"/>
      <w:bookmarkEnd w:id="974"/>
      <w:bookmarkEnd w:id="975"/>
      <w:bookmarkEnd w:id="976"/>
      <w:bookmarkEnd w:id="977"/>
      <w:bookmarkEnd w:id="97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通用合同条款、专用合同条款中的下列词语应具有本款所赋予的含义。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合同文件（或称合同）：指合同协议书、中标通知书、投标函及投标函附录、专用合同条款、通用合同条款、技术标准和要求、图纸、已标价工程量清单，以及其他合同文件。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合同协议书：指第1.5 款所指的合同协议书。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1.1.1.3 中标通知书：指发包人通知承包人中标的函件。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1.1.1.4 投标函：指构成合同文件组成部分的由承包人填写并签署的投标函。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1.1.1.5 投标函附录：指附在投标函后构成合同文件的投标函附录。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1.1.1.6 技术标准和要求：指构成合同文件组成部分的名为技术标准和要求的文件，包括合同双方当事人约定对其所作的修改或补充。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1.1.1.7 图纸：指包含在合同中的工程图纸，以及由发包人按合同约定提供的任何补充和修改的图纸，包括配套的说明。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1.1.1.8 已标价工程量清单：指构成合同文件组成部分的由承包人按照规定的格式和要求填写并标明价格的工程量清单。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1.1.1.9 其他合同文件：指经合同双方当事人确认构成合同文件的其他文件。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合同当事人和人员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合同当事人：指发包人和（或）承包人。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发包人：指专用合同条款中指明并与承包人在合同协议书中签字的当事人。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 承包人：指与发包人签订合同协议书的当事人。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承包人项目经理：指承包人派驻施工场地的全权负责人。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分包人：指从承包人处分包合同中某一部分工程，并与其签订分包合同的分包人。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 监理人：指在专用合同条款中指明的，受发包人委托对合同履行实施管理的法人或其他组织。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1.1.2.7 总监理工程师（总监）：指由监理人委派常驻施工场地对合同履行实施管理的全权负责人。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工程：指永久工程和（或）临时工程。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1.1.3.2 永久工程：指按合同约定建造并移交给发包人的工程，包括工程设备。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 临时工程：指为完成合同约定的永久工程所修建的各类临时性工程，不包括施工设备。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 单位工程：指专用合同条款中指明特定范围的永久工程。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1.1.3.5 工程设备：指构成或计划构成永久工程一部分的机电设备、金属结构设备、仪器装置及其他类似的设备和装置。</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1.1.3.6 施工设备：指为完成合同约定的各项工作所需的设备、器具和其他物品，不包括临时工程和材料。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临时设施：指为完成合同约定的各项工作所服务的临时性生产和生活设施。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1.1.3.8 承包人设备：指承包人自带的施工设备。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1.1.3.9 施工场地（或称工地、现场）：指用于合同工程施工的场所，以及在合同中指定作为施工场地组成部分的其他场所，包括永久占地和临时占地。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1.1.3.10 永久占地：指专用合同条款中指明为实施合同工程需永久占用的土地。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1.1.3.11 临时占地：指专用合同条款中指明为实施合同工程需临时占用的土地。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日期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1.1.4.1 开工通知：指监理人按第11.1 款通知承包人开工的函件。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1.1.4.2 开工日期：指监理人按第11.1 款发出的开工通知中写明的开工日期。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1.1.4.3 工期：指承包人在投标函中承诺的完成合同工程所需的期限，包括按第11.3 款、第11.4 款和第11.6 款约定所作的变更。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1.1.4.4 竣工日期：指第1.1.4.3 目约定工期届满时的日期。实际竣工日期以工程接收证书中写明的日期为准。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1.1.4.5 缺陷责任期：指履行第19.2 款约定的缺陷责任的期限，具体期限由专用合同条款约定，包括根据第19.3 款约定所作的延长。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1.1.4.6 基准日期：指投标截止时间前28 天的日期。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1.1.4.7 天：除特别指明外，指日历天。合同中按天计算时间的，开始当天不计入，从次日开始计算。期限最后一天的截止时间为当天24:00。</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合同价格和费用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1.1.5.1 签约合同价：指签订合同时合同协议书中写明的，包括了暂列金额、暂估价的合同总金额。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1.1.5.2 合同价格：指承包人按合同约定完成了包括缺陷责任期内的全部承包工作后，发包人应付给承包人的金额，包括在履行合同过程中按合同约定进行的变更和调整。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1.1.5.3 费用：指为履行合同所发生的或将要发生的所有合理开支，包括管理费和应分摊的其他费用，但不包括利润。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1.1.5.5 暂估价：指发包人在工程量清单中给定的用于支付必然发生但暂时不能确定价格的材料、设备以及专业工程的金额。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1.1.5.6 计日工：指对零星工作采取的一种计价方式，按合同中的计日工子目及其单价计价付款。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1.1.5.7 质量保证金（或称保留金）：指按第17. 4.1项约定用于保证在缺陷责任期内履行缺陷修复义务的金额。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 其他</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1.1.6.1 书面形式：指合同文件、信函、电报、传真等可以有形地表现所载内容的形式。</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语言文字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除专用术语外，合同使用的语言文字为中文。必要时专用术语应附有中文注释。</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法律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适用于合同的法律包括中华人民共和国法律、行政法规、部门规章，以及工程所在地的地方法规、自治条例、单行条例和地方政府规章。</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(l）合同协议书；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(2）中标通知书；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(3）投标函及投标函附录；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(4）专用合同条款；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(5）通用合同条款；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(6）技术标准和要求；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(8）已标价工程量清单；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(9）其他合同文件。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除专用合同条款另有约定外，图纸应在合理的期限内按照合同约定的数量提供给承包人。由于发包人未按时提供图纸造成工期延误的，按第11.3 款的约定办理。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承包人提供的文件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按专用合同条款约定由承包人提供的文件，包括部分工程的大样图、加工图等，承包人应按约定的数量和期限报送监理人。监理人应在专用合同条款约定的期限内批复。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6.3 图纸的修改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图纸的错误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承包人发现发包人提供的图纸存在明显错误或疏忽，应及时通知监理人。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图纸和承包人文件的保管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监理人和承包人均应在施工场地各保存一套完整的包含第1.6.1 项、第1.6.2 项、第1.6.3 项约定内容的图纸和承包人文件。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与合同有关的通知、批准、证明、证书、指示、要求、请求、同意、意见、确定和决定等，均应采用书面形式。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第1.7.1 项中的通知、批准、证明、证书、指示、要求、请求、同意、意见、确定和决定等来往函件，均应在合同约定的期限内送达指定地点和接收人，并办理签收手续。</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转让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除合同另有约定外，未经对方当事人同意，一方当事人不得将合同权利全部或部分转让给第三人，也不得全部或部分转移合同义务。</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合同双方当事人不得以贿赂或变相贿赂的方式，谋取不当利益或损害对方权益。因贿赂造成对方损失的，行为人应赔偿损失，并承担相应的法律责任。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化石、文物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 承包人发现文物后不及时报告或隐瞒不报，致使文物丢失或损坏的，应赔偿损失，并承担相应的法律责任。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专利技术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承包人在投标文件中采用专利技术的，专利技术的使用费包含在投标报价内。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1.11.3 承包人的技术秘密和声明需要保密的资料和信息，发包人和监理人不得为合同以外的目的泄露给他人。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图纸和文件的保密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发包人提供的图纸和文件，未经发包人同意，承包人不得为合同以外的目的泄露给他人或公开发表与引用。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承包人提供的文件，未经承包人同意，发包人和监理人不得为合同以外的目的泄露给他人或公开发表与引用。</w:t>
      </w:r>
    </w:p>
    <w:p>
      <w:pPr>
        <w:pStyle w:val="6"/>
        <w:spacing w:before="0" w:after="0" w:line="360" w:lineRule="exact"/>
        <w:ind w:firstLine="421" w:firstLineChars="200"/>
        <w:rPr>
          <w:rFonts w:hint="eastAsia" w:ascii="宋体" w:hAnsi="宋体" w:cs="宋体"/>
          <w:color w:val="auto"/>
          <w:sz w:val="21"/>
          <w:szCs w:val="21"/>
          <w:highlight w:val="none"/>
        </w:rPr>
      </w:pPr>
      <w:bookmarkStart w:id="979" w:name="_Toc467"/>
      <w:bookmarkStart w:id="980" w:name="_Toc290198749"/>
      <w:bookmarkStart w:id="981" w:name="_Toc487653231"/>
      <w:bookmarkStart w:id="982" w:name="_Toc463799059"/>
      <w:bookmarkStart w:id="983" w:name="_Toc490832338"/>
      <w:bookmarkStart w:id="984" w:name="_Toc488492883"/>
      <w:bookmarkStart w:id="985" w:name="_Toc419825401"/>
      <w:bookmarkStart w:id="986" w:name="_Toc486685956"/>
      <w:bookmarkStart w:id="987" w:name="_Toc488483655"/>
      <w:bookmarkStart w:id="988" w:name="_Toc419825053"/>
      <w:r>
        <w:rPr>
          <w:rFonts w:hint="eastAsia" w:ascii="宋体" w:hAnsi="宋体" w:cs="宋体"/>
          <w:color w:val="auto"/>
          <w:sz w:val="21"/>
          <w:szCs w:val="21"/>
          <w:highlight w:val="none"/>
        </w:rPr>
        <w:t>2．发包人义务</w:t>
      </w:r>
      <w:bookmarkEnd w:id="979"/>
      <w:bookmarkEnd w:id="980"/>
      <w:bookmarkEnd w:id="981"/>
      <w:bookmarkEnd w:id="982"/>
      <w:bookmarkEnd w:id="983"/>
      <w:bookmarkEnd w:id="984"/>
      <w:bookmarkEnd w:id="985"/>
      <w:bookmarkEnd w:id="986"/>
      <w:bookmarkEnd w:id="987"/>
      <w:bookmarkEnd w:id="98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遵守法律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发包人在履行合同过程中应遵守法律，并保证承包人免于承担因发包人违反法律而引起的任何责任。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发出开工通知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发包人应委托监理人按第11.1 款的约定向承包人发出开工通知。</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发包人应按专用合同条款约定向承包人提供施工场地，以及施工场地内地下管线和地下设施等有关资料，并保证资料的真实、准确、完整。</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协助承包人办理证件和批件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发包人应协助承包人办理法律规定的有关施工证件和批件。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组织设计交底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发包人应根据合同进度计划，组织设计单位向承包人进行设计交底。</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发包人应按合同约定向承包人及时支付合同价款。</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2.7 组织竣工验收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发包人应按合同约定及时组织竣工验收。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其他义务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发包人应履行合同约定的其他义务。</w:t>
      </w:r>
    </w:p>
    <w:p>
      <w:pPr>
        <w:pStyle w:val="6"/>
        <w:spacing w:before="0" w:after="0" w:line="360" w:lineRule="exact"/>
        <w:ind w:firstLine="421" w:firstLineChars="200"/>
        <w:rPr>
          <w:rFonts w:hint="eastAsia" w:ascii="宋体" w:hAnsi="宋体" w:cs="宋体"/>
          <w:color w:val="auto"/>
          <w:sz w:val="21"/>
          <w:szCs w:val="21"/>
          <w:highlight w:val="none"/>
        </w:rPr>
      </w:pPr>
      <w:bookmarkStart w:id="989" w:name="_Toc488483656"/>
      <w:bookmarkStart w:id="990" w:name="_Toc290198750"/>
      <w:bookmarkStart w:id="991" w:name="_Toc23794"/>
      <w:bookmarkStart w:id="992" w:name="_Toc486685957"/>
      <w:bookmarkStart w:id="993" w:name="_Toc490832339"/>
      <w:bookmarkStart w:id="994" w:name="_Toc419825054"/>
      <w:bookmarkStart w:id="995" w:name="_Toc463799060"/>
      <w:bookmarkStart w:id="996" w:name="_Toc419825402"/>
      <w:bookmarkStart w:id="997" w:name="_Toc488492884"/>
      <w:bookmarkStart w:id="998" w:name="_Toc487653232"/>
      <w:r>
        <w:rPr>
          <w:rFonts w:hint="eastAsia" w:ascii="宋体" w:hAnsi="宋体" w:cs="宋体"/>
          <w:color w:val="auto"/>
          <w:sz w:val="21"/>
          <w:szCs w:val="21"/>
          <w:highlight w:val="none"/>
        </w:rPr>
        <w:t>3、监理人</w:t>
      </w:r>
      <w:bookmarkEnd w:id="989"/>
      <w:bookmarkEnd w:id="990"/>
      <w:bookmarkEnd w:id="991"/>
      <w:bookmarkEnd w:id="992"/>
      <w:bookmarkEnd w:id="993"/>
      <w:bookmarkEnd w:id="994"/>
      <w:bookmarkEnd w:id="995"/>
      <w:bookmarkEnd w:id="996"/>
      <w:bookmarkEnd w:id="997"/>
      <w:bookmarkEnd w:id="99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监理人受发包人委托，享有合同约定的权力。监理人在行使某项权力前需要经发包人事先批准而通用合同条款没有指明的，应在专用合同条款中指明。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监理人发出的任何指示应视为已得到发包人的批准，但监理人无权免除或变更合同约定的发包人和承包人的权利、义务和责任。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监理人员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承包人对总监理工程师授权的监理人员发出的指示有疑问的，可向总监理工程师提出书面异议，总监理工程师应在48小时内对该指示予以确认、更改或撤销。</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 除专用合同条款另有约定外，总监理工程师不应将第3.5 款约定应由总监理工程师作出确定的权力授权或委托给其他监理人员。</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监理人的指示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监理人应按第3.1 款的约定向承包人发出指示，监理人的指示应盖有监理人授权的施工场地机构章，并由总监理工程师或总监理工程师按第3.3.1 项约定授权的监理人员签字。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承包人收到监理人按第3.4.1 项作出的指示后应遵照执行。指示构成变更的，应按第15条处理。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 除合同另有约定外，承包人只从总监理工程师或按第3.3.1 项被授权的监理人员处取得指示。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3.4.5 由于监理人未能按合同约定发出指示、指示延误或指示错误而导致承包人费用增加和（或）工期延误的，由发包人承担赔偿责任。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合同约定总监理工程师应按照本款对任何事项进行商定或确定时，总监理工程师应与合同当事人协商，尽量达成一致。不能达成一致的，总监理工程师应认真研究后审慎确定。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pStyle w:val="6"/>
        <w:spacing w:before="0" w:after="0" w:line="360" w:lineRule="exact"/>
        <w:ind w:firstLine="421" w:firstLineChars="200"/>
        <w:rPr>
          <w:rFonts w:hint="eastAsia" w:ascii="宋体" w:hAnsi="宋体" w:cs="宋体"/>
          <w:color w:val="auto"/>
          <w:sz w:val="21"/>
          <w:szCs w:val="21"/>
          <w:highlight w:val="none"/>
        </w:rPr>
      </w:pPr>
      <w:bookmarkStart w:id="999" w:name="_Toc463799061"/>
      <w:bookmarkStart w:id="1000" w:name="_Toc290198751"/>
      <w:bookmarkStart w:id="1001" w:name="_Toc5538"/>
      <w:bookmarkStart w:id="1002" w:name="_Toc488492885"/>
      <w:bookmarkStart w:id="1003" w:name="_Toc419825055"/>
      <w:bookmarkStart w:id="1004" w:name="_Toc490832340"/>
      <w:bookmarkStart w:id="1005" w:name="_Toc488483657"/>
      <w:bookmarkStart w:id="1006" w:name="_Toc487653233"/>
      <w:bookmarkStart w:id="1007" w:name="_Toc419825403"/>
      <w:bookmarkStart w:id="1008" w:name="_Toc486685958"/>
      <w:r>
        <w:rPr>
          <w:rFonts w:hint="eastAsia" w:ascii="宋体" w:hAnsi="宋体" w:cs="宋体"/>
          <w:color w:val="auto"/>
          <w:sz w:val="21"/>
          <w:szCs w:val="21"/>
          <w:highlight w:val="none"/>
        </w:rPr>
        <w:t>4、承包人</w:t>
      </w:r>
      <w:bookmarkEnd w:id="999"/>
      <w:bookmarkEnd w:id="1000"/>
      <w:bookmarkEnd w:id="1001"/>
      <w:bookmarkEnd w:id="1002"/>
      <w:bookmarkEnd w:id="1003"/>
      <w:bookmarkEnd w:id="1004"/>
      <w:bookmarkEnd w:id="1005"/>
      <w:bookmarkEnd w:id="1006"/>
      <w:bookmarkEnd w:id="1007"/>
      <w:bookmarkEnd w:id="100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 遵守法律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承包人在履行合同过程中应遵守法律，并保证发包人免于承担因承包人违反法律而引起的任何责任。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依法纳税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承包人应按有关法律规定纳税，应缴纳的税金包括在合同价格内。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 完成各项承包工作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4.1.4 对施工作业和施工方法的完备性负责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承包人应按合同约定的工作内容和施工进度要求，编制施工组织设计和施工措施计划，并对所有施工作业和施工方法的完备性和安全可靠性负责。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 保证工程施工和人员的安全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承包人应按第9.2 款约定采取施工安全措施，确保工程及其人员、材料、设备和设施的安全，防止因工程施工造成的人身伤害和财产损失。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4.1.6 负责施工场地及其周边环境与生态的保护工作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承包人应按照第9.4 款约定负责施工场地及其周边环境与生态的保护工作。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4.1.7 避免施工对公众与他人的利益造成损害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4.1.8 为他人提供方便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4.1.9 工程的维护和照管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 其他义务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承包人应履行合同约定的其他义务。</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承包人应保证其履约担保在发包人颁发工程接收证书前一直有效。发包人应在工程接收证书颁发后28 天内把履约担保退还给承包人。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承包人不得将其承包的全部工程转包给第三人，或将其承包的全部工程肢解后以分包的名义转包给第三人。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承包人不得将工程主体、关键性工作分包给第三人。除专用合同条款另有约定外，未经发包人同意，承包人不得将工程的其他部分或工作分包给第三人。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4.3.3 分包人的资格能力应与其分包工程的标准和规模相适应。</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4.3.4 按投标函附录约定分包工程的，承包人应向发包人和监理人提交分包合同副本。</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4.3.5 承包人应与分包人就分包工程向发包人承担连带责任。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4.4.1 联合体各方应共同与发包人签订合同协议书。联合体各方应为履行合同承担连带责任。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4.4.2 联合体协议经发包人确认后作为合同附件。在履行合同过程中，未经发包人同意，不得修改联合体协议。</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4.4.3 联合体牵头人负责与发包人和监理人联系，并接受指示，负责组织联合体各成员全面履行合同。</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4.5.2 承包人项目经理应按合同约定以及监理人按第3 . 4 款作出的指示，负责组织合同工程的实施。在情况紧急且无法与监理人取得联系时，可采取保证工程和人员生命财产安全的紧急措施，并在采取措施后24小时内向监理人提交书面报告。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4.5.3 承包人为履行合同发出的一切函件均应盖有承包人授权的施工场地管理机构章，并由承包人项目经理或其授权代表签字。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 承包人项目经理可以授权其下属人员履行其某项职责，但事先应将这些人员的姓名和授权范围通知监理人。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 为完成合同约定的各项工作，承包人应向施工场地派遣或雇佣足够数量的下列人员：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(1）具有相应资格的专业技工和合格的普工；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(2）具有相应施工经验的技术人员；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(3）具有相应岗位资格的各级管理人员。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4.6.3 承包人安排在施工场地的主要管理人员和技术骨干应相对稳定。承包人更换主要管理人员和技术骨干时，应取得监理人的同意。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4.6.4 特殊岗位的工作人员均应持有相应的资格证明，监理人有权随时检查。监理人认为有必要时，可进行现场考核。</w:t>
      </w:r>
    </w:p>
    <w:p>
      <w:pPr>
        <w:spacing w:line="360" w:lineRule="exact"/>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4.7 撤换承包人项目经理和其他人员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承包人应对其项目经理和其他人员进行有效管理。监理人要求撤换不能胜任本职工作、行为不端或玩忽职守的承包人项目经理和其他人员的，承包人应予以撤换。</w:t>
      </w:r>
    </w:p>
    <w:p>
      <w:pPr>
        <w:spacing w:line="360" w:lineRule="exact"/>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4.8 保障承包人人员的合法权益</w:t>
      </w:r>
    </w:p>
    <w:p>
      <w:pPr>
        <w:wordWrap w:val="0"/>
        <w:spacing w:before="63" w:beforeLines="20" w:after="63" w:afterLines="20"/>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4.8.1 承包人应与其雇佣的人员签订劳动合同，并按时发放工资。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4.8.3 承包人应为其雇佣人员提供必要的食宿条件，以及符合环境保护和卫生要求的生活环境，在远离城镇的施工场地，还应配备必要的伤病防治和急救的医务人员与医疗设施。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4.8.5 承包人应按有关法律规定和合同约定，为其雇佣人员办理保险。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4.8.6 承包人应负责处理其雇佣人员因工伤亡事故的善后事宜。</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发包人按合同约定支付给承包人的各项价款应专用于合同工程。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 承包人现场查勘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4.10.1 发包人应将其持有的现场地质勘探资料、水文气象资料提供给承包人，并对其准确性负责。但承包人应对其阅读上述有关资料后所作出的解释和推断负责。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4.11.1 不利物质条件，除专用合同条款另有约定外，是指承包人在施工场地遇到的不可预见的自然物质条件、非自然的物质障碍和污染物，包括地下和水文条件，但不包括气候条件。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6"/>
        <w:spacing w:before="0" w:after="0" w:line="360" w:lineRule="exact"/>
        <w:ind w:firstLine="421" w:firstLineChars="200"/>
        <w:rPr>
          <w:rFonts w:hint="eastAsia" w:ascii="宋体" w:hAnsi="宋体" w:cs="宋体"/>
          <w:color w:val="auto"/>
          <w:sz w:val="21"/>
          <w:szCs w:val="21"/>
          <w:highlight w:val="none"/>
        </w:rPr>
      </w:pPr>
      <w:bookmarkStart w:id="1009" w:name="_Toc463799062"/>
      <w:bookmarkStart w:id="1010" w:name="_Toc487653234"/>
      <w:bookmarkStart w:id="1011" w:name="_Toc419825056"/>
      <w:bookmarkStart w:id="1012" w:name="_Toc490832341"/>
      <w:bookmarkStart w:id="1013" w:name="_Toc486685959"/>
      <w:bookmarkStart w:id="1014" w:name="_Toc290198752"/>
      <w:bookmarkStart w:id="1015" w:name="_Toc25812"/>
      <w:bookmarkStart w:id="1016" w:name="_Toc488483658"/>
      <w:bookmarkStart w:id="1017" w:name="_Toc488492886"/>
      <w:bookmarkStart w:id="1018" w:name="_Toc419825404"/>
      <w:r>
        <w:rPr>
          <w:rFonts w:hint="eastAsia" w:ascii="宋体" w:hAnsi="宋体" w:cs="宋体"/>
          <w:color w:val="auto"/>
          <w:sz w:val="21"/>
          <w:szCs w:val="21"/>
          <w:highlight w:val="none"/>
        </w:rPr>
        <w:t>5．材料和工程设备</w:t>
      </w:r>
      <w:bookmarkEnd w:id="1009"/>
      <w:bookmarkEnd w:id="1010"/>
      <w:bookmarkEnd w:id="1011"/>
      <w:bookmarkEnd w:id="1012"/>
      <w:bookmarkEnd w:id="1013"/>
      <w:bookmarkEnd w:id="1014"/>
      <w:bookmarkEnd w:id="1015"/>
      <w:bookmarkEnd w:id="1016"/>
      <w:bookmarkEnd w:id="1017"/>
      <w:bookmarkEnd w:id="1018"/>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承包人提供的材料和工程设备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 除专用合同条款另有约定外，承包人提供的材料和工程设备均由承包人负责采购、运输和保管。承包人应对其采购的材料和工程设备负责。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 发包人提供的材料和工程设备，应在专用合同条款中写明材料和工程设备的名称、规格、数量、价格、交货方式、交货地点和计划交货日期等。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 承包人应根据合同进度计划的安排，向监理人报送要求发包人交货的日期计划。发包人应按照监理人与合同双方当事人商定的交货日期，向承包人提交材料和工程设备。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5.2.4 发包人要求向承包人提前交货的，承包人不得拒绝，但发包人应承担承包人由此增加的费用。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5.2.5 承包人要求更改交货日期或地点的，应事先报请监理人批准。由于承包人要求更改交货时间或地点所增加的费用和（或）工期延误由承包人承担。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材料和工程设备专用于合同工程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5.3.1 运入施工场地的材料、工程设备，包括备品备件、安装专用工器具与随机资料，必须专用于合同工程，未经监理人同意，承包人不得运出施工场地或挪作他用。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禁止使用不合格的材料和工程设备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5.4.1 监理人有权拒绝承包人提供的不合格材料或工程设备，并要求承包人立即进行更换。监理人应在更换后再次进行检查和检验，由此增加的费用和（或）工期延误由承包人承担。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5.4.2 监理人发现承包人使用了不合格的材料和工程设备，应即时发出指示要求承包人立即改正，并禁止在工程中继续使用不合格的材料和工程设备。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5.4.3 发包人提供的材料或工程设备不符合合同要求的，承包人有权拒绝，并可要求发包人更换，由此增加的费用和（或）工期延误由发包人承担。</w:t>
      </w:r>
    </w:p>
    <w:p>
      <w:pPr>
        <w:pStyle w:val="6"/>
        <w:spacing w:before="0" w:after="0" w:line="360" w:lineRule="exact"/>
        <w:ind w:firstLine="421" w:firstLineChars="200"/>
        <w:rPr>
          <w:rFonts w:hint="eastAsia" w:ascii="宋体" w:hAnsi="宋体" w:cs="宋体"/>
          <w:color w:val="auto"/>
          <w:sz w:val="21"/>
          <w:szCs w:val="21"/>
          <w:highlight w:val="none"/>
        </w:rPr>
      </w:pPr>
      <w:bookmarkStart w:id="1019" w:name="_Toc490832342"/>
      <w:bookmarkStart w:id="1020" w:name="_Toc488492887"/>
      <w:bookmarkStart w:id="1021" w:name="_Toc290198753"/>
      <w:bookmarkStart w:id="1022" w:name="_Toc487653235"/>
      <w:bookmarkStart w:id="1023" w:name="_Toc486685960"/>
      <w:bookmarkStart w:id="1024" w:name="_Toc488483659"/>
      <w:bookmarkStart w:id="1025" w:name="_Toc419825057"/>
      <w:bookmarkStart w:id="1026" w:name="_Toc463799063"/>
      <w:bookmarkStart w:id="1027" w:name="_Toc17702"/>
      <w:bookmarkStart w:id="1028" w:name="_Toc419825405"/>
      <w:r>
        <w:rPr>
          <w:rFonts w:hint="eastAsia" w:ascii="宋体" w:hAnsi="宋体" w:cs="宋体"/>
          <w:color w:val="auto"/>
          <w:sz w:val="21"/>
          <w:szCs w:val="21"/>
          <w:highlight w:val="none"/>
        </w:rPr>
        <w:t>6、施工设备和临时设施</w:t>
      </w:r>
      <w:bookmarkEnd w:id="1019"/>
      <w:bookmarkEnd w:id="1020"/>
      <w:bookmarkEnd w:id="1021"/>
      <w:bookmarkEnd w:id="1022"/>
      <w:bookmarkEnd w:id="1023"/>
      <w:bookmarkEnd w:id="1024"/>
      <w:bookmarkEnd w:id="1025"/>
      <w:bookmarkEnd w:id="1026"/>
      <w:bookmarkEnd w:id="1027"/>
      <w:bookmarkEnd w:id="102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除专用合同条款另有约定外，承包人应自行承担修建临时设施的费用，需要临时占地的，应由发包人办理申请手续并承担相应费用。</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发包人提供的施工设备和临时设施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发包人提供的施工设备或临时设施在专用合同条款中约定。</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施工设备和临时设施专用于合同工程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6.4.2 经监理人同意，承包人可根据合同进度计划撤走闲置的施工设备。</w:t>
      </w:r>
    </w:p>
    <w:p>
      <w:pPr>
        <w:pStyle w:val="6"/>
        <w:spacing w:before="0" w:after="0" w:line="360" w:lineRule="exact"/>
        <w:ind w:firstLine="421" w:firstLineChars="200"/>
        <w:rPr>
          <w:rFonts w:hint="eastAsia" w:ascii="宋体" w:hAnsi="宋体" w:cs="宋体"/>
          <w:color w:val="auto"/>
          <w:sz w:val="21"/>
          <w:szCs w:val="21"/>
          <w:highlight w:val="none"/>
        </w:rPr>
      </w:pPr>
      <w:bookmarkStart w:id="1029" w:name="_Toc419825406"/>
      <w:bookmarkStart w:id="1030" w:name="_Toc486685961"/>
      <w:bookmarkStart w:id="1031" w:name="_Toc488483660"/>
      <w:bookmarkStart w:id="1032" w:name="_Toc419825058"/>
      <w:bookmarkStart w:id="1033" w:name="_Toc487653236"/>
      <w:bookmarkStart w:id="1034" w:name="_Toc488492888"/>
      <w:bookmarkStart w:id="1035" w:name="_Toc290198754"/>
      <w:bookmarkStart w:id="1036" w:name="_Toc19817"/>
      <w:bookmarkStart w:id="1037" w:name="_Toc490832343"/>
      <w:bookmarkStart w:id="1038" w:name="_Toc463799064"/>
      <w:r>
        <w:rPr>
          <w:rFonts w:hint="eastAsia" w:ascii="宋体" w:hAnsi="宋体" w:cs="宋体"/>
          <w:color w:val="auto"/>
          <w:sz w:val="21"/>
          <w:szCs w:val="21"/>
          <w:highlight w:val="none"/>
        </w:rPr>
        <w:t>7．交通运输</w:t>
      </w:r>
      <w:bookmarkEnd w:id="1029"/>
      <w:bookmarkEnd w:id="1030"/>
      <w:bookmarkEnd w:id="1031"/>
      <w:bookmarkEnd w:id="1032"/>
      <w:bookmarkEnd w:id="1033"/>
      <w:bookmarkEnd w:id="1034"/>
      <w:bookmarkEnd w:id="1035"/>
      <w:bookmarkEnd w:id="1036"/>
      <w:bookmarkEnd w:id="1037"/>
      <w:bookmarkEnd w:id="103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7.2.1 除专用合同条款另有约定外，承包人应负责修建、维修、养护和管理施工所需的临时道路和交通设施，包括维修、养护和管理发包人提供的道路和交通设施，并承担相应费用。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7.2.2 除专用合同条款另有约定外，承包人修建的临时道路和交通设施应免费提供发包人和监理人使用。</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7.3.1 承包人车辆外出行驶所需的场外公共道路的通行费、养路费和税款等由承包人承担。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 承包人应遵守有关交通法规，严格按照道路和桥梁的限制荷重安全行驶，并服从交通管理部门的检查和监督。</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超大件和超重件的运输</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道路和桥梁的损坏责任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因承包人运输造成施工场地内外公共道路和桥梁损坏的，由承包人承担修复损坏的全部费用和可能引起的赔偿。</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水路和航空运输</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6"/>
        <w:spacing w:before="0" w:after="0" w:line="360" w:lineRule="exact"/>
        <w:ind w:firstLine="421" w:firstLineChars="200"/>
        <w:rPr>
          <w:rFonts w:hint="eastAsia" w:ascii="宋体" w:hAnsi="宋体" w:cs="宋体"/>
          <w:color w:val="auto"/>
          <w:sz w:val="21"/>
          <w:szCs w:val="21"/>
          <w:highlight w:val="none"/>
        </w:rPr>
      </w:pPr>
      <w:bookmarkStart w:id="1039" w:name="_Toc419825407"/>
      <w:bookmarkStart w:id="1040" w:name="_Toc490832344"/>
      <w:bookmarkStart w:id="1041" w:name="_Toc488483661"/>
      <w:bookmarkStart w:id="1042" w:name="_Toc487653237"/>
      <w:bookmarkStart w:id="1043" w:name="_Toc290198755"/>
      <w:bookmarkStart w:id="1044" w:name="_Toc419825059"/>
      <w:bookmarkStart w:id="1045" w:name="_Toc486685962"/>
      <w:bookmarkStart w:id="1046" w:name="_Toc16426"/>
      <w:bookmarkStart w:id="1047" w:name="_Toc488492889"/>
      <w:bookmarkStart w:id="1048" w:name="_Toc463799065"/>
      <w:r>
        <w:rPr>
          <w:rFonts w:hint="eastAsia" w:ascii="宋体" w:hAnsi="宋体" w:cs="宋体"/>
          <w:color w:val="auto"/>
          <w:sz w:val="21"/>
          <w:szCs w:val="21"/>
          <w:highlight w:val="none"/>
        </w:rPr>
        <w:t>8．测量放线</w:t>
      </w:r>
      <w:bookmarkEnd w:id="1039"/>
      <w:bookmarkEnd w:id="1040"/>
      <w:bookmarkEnd w:id="1041"/>
      <w:bookmarkEnd w:id="1042"/>
      <w:bookmarkEnd w:id="1043"/>
      <w:bookmarkEnd w:id="1044"/>
      <w:bookmarkEnd w:id="1045"/>
      <w:bookmarkEnd w:id="1046"/>
      <w:bookmarkEnd w:id="1047"/>
      <w:bookmarkEnd w:id="104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施工控制网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8.1.2 承包人应负责管理施工控制网点。施工控制网点丢失或损坏的，承包人应及时修复。承包人应承担施工控制网点的管理与修复费用，并在工程竣工后将施工控制网点移交发包人。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施工测量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8.2.1 承包人应负责施工过程中的全部施工测量放线工作，并配置合格的人员、仪器、设备和其他物品。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8.2.2 监理人可以指示承包人进行抽样复测，当复测中发现错误或出现超过合同约定的误差时，承包人应按监理人指示进行修正或补测，并承担相应的复测费用。</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基准资料错误的责任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监理人需要使用施工控制网的，承包人应提供必要的协助，发包人不再为此支付费用。</w:t>
      </w:r>
    </w:p>
    <w:p>
      <w:pPr>
        <w:pStyle w:val="6"/>
        <w:spacing w:before="0" w:after="0" w:line="360" w:lineRule="exact"/>
        <w:ind w:firstLine="421" w:firstLineChars="200"/>
        <w:rPr>
          <w:rFonts w:hint="eastAsia" w:ascii="宋体" w:hAnsi="宋体" w:cs="宋体"/>
          <w:color w:val="auto"/>
          <w:sz w:val="21"/>
          <w:szCs w:val="21"/>
          <w:highlight w:val="none"/>
        </w:rPr>
      </w:pPr>
      <w:bookmarkStart w:id="1049" w:name="_Toc290198756"/>
      <w:bookmarkStart w:id="1050" w:name="_Toc488483662"/>
      <w:bookmarkStart w:id="1051" w:name="_Toc488492890"/>
      <w:bookmarkStart w:id="1052" w:name="_Toc419825060"/>
      <w:bookmarkStart w:id="1053" w:name="_Toc490832345"/>
      <w:bookmarkStart w:id="1054" w:name="_Toc419825408"/>
      <w:bookmarkStart w:id="1055" w:name="_Toc487653238"/>
      <w:bookmarkStart w:id="1056" w:name="_Toc463799066"/>
      <w:bookmarkStart w:id="1057" w:name="_Toc486685963"/>
      <w:bookmarkStart w:id="1058" w:name="_Toc28606"/>
      <w:r>
        <w:rPr>
          <w:rFonts w:hint="eastAsia" w:ascii="宋体" w:hAnsi="宋体" w:cs="宋体"/>
          <w:color w:val="auto"/>
          <w:sz w:val="21"/>
          <w:szCs w:val="21"/>
          <w:highlight w:val="none"/>
        </w:rPr>
        <w:t>9．施工安全、治安保卫和环境保护</w:t>
      </w:r>
      <w:bookmarkEnd w:id="1049"/>
      <w:bookmarkEnd w:id="1050"/>
      <w:bookmarkEnd w:id="1051"/>
      <w:bookmarkEnd w:id="1052"/>
      <w:bookmarkEnd w:id="1053"/>
      <w:bookmarkEnd w:id="1054"/>
      <w:bookmarkEnd w:id="1055"/>
      <w:bookmarkEnd w:id="1056"/>
      <w:bookmarkEnd w:id="1057"/>
      <w:bookmarkEnd w:id="105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9.1.1 发包人应按合同约定履行安全职责，授权监理人按合同约定的安全工作内容监督、检查承包人安全工作的实施，组织承包人和有关单位进行安全检查。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9.1.2 发包人应对其现场机构雇佣的全部人员的工伤事故承担责任，但由于承包人原因造成发包人人员工伤的，应由承包人承担责任。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9.1.3 发包人应负责赔偿以下各种情况造成的第三者人身伤亡和财产损失：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(l）工程或工程的任何部分对土地的占用所造成的第三者财产损失；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(2）由于发包人原因在施工场地及其毗邻地带造成的第三者人身伤亡和财产损失。</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 承包人应按合同约定履行安全职责，执行监理人有关安全工作的指示，并在专用合同条款约定的期限内，按合同约定的安全工作内容，编制施工安全措施计划报送监理人审批。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9.2.2 承包人应加强施工作业安全管理，特别应加强易燃、易爆材料、火工器材、有毒与腐蚀性材料和其他危险品的管理，以及对爆破作业和地下工程施工等危险作业的管理。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9.2.3 承包人应严格按照国家安全标准制定施工安全操作规程，配备必要的安全生产和劳动保护设施，加强对承包人人员的安全教育，并发放安全工作手册和劳动保护用具。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9.2.4 承包人应按监理人的指示制定应对灾害的紧急预案，报送监理人审批。承包人还应按预案做好安全检查，配置必要的救助物资和器材，切实保护好有关人员的人身和财产安全。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9.2.5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9.2.6 承包人应对其履行合同所雇佣的全部人员，包括分包人人员的工伤事故承担责任，但由于发包人原因造成承包人人员工伤事故的，应由发包人承担责任。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9.2.7 由于承包人原因在施工场地内及其毗邻地带造成的第三者人员伤亡和财产损失，由承包人负责赔偿。</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治安保卫</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9.3.1 除合同另有约定外，发包人应与当地公安部门协商，在现场建立治安管理机构或联防组织，统一管理施工场地的治安保卫事项，履行合同工程的治安保卫职责。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9.3.2 发包人和承包人除应协助现场治安管理机构或联防组织维护施工场地的社会治安外，还应做好包括生活区在内的各自管辖区的治安保卫工作。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9.4.1 承包人在施工过程中，应遵守有关环境保护的法律，履行合同约定的环境保护义务，并对违反法律和合同约定义务所造成的环境破坏、人身伤害和财产损失负责。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9.4.2 承包人应按合同约定的环保工作内容，编制施工环保措施计划，报送监理人审批。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9.4.4 承包人应按合同约定采取有效措施，对施工开挖的边坡及时进行支护，维护排水设施，并进行水土保护，避免因施工造成的地质灾害。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9.4.5 承包人应按国家饮用水管理标准定期对饮用水源进行监测，防止施工活动污染饮用水源。</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9.4.6 承包人应按合同约定，加强对噪声、粉尘、废气、废水和废油的控制，努力降低噪声，控制粉尘和废气浓度，做好废水和废油的治理和排放。</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6"/>
        <w:spacing w:before="0" w:after="0" w:line="360" w:lineRule="exact"/>
        <w:ind w:firstLine="421" w:firstLineChars="200"/>
        <w:rPr>
          <w:rFonts w:hint="eastAsia" w:ascii="宋体" w:hAnsi="宋体" w:cs="宋体"/>
          <w:color w:val="auto"/>
          <w:sz w:val="21"/>
          <w:szCs w:val="21"/>
          <w:highlight w:val="none"/>
        </w:rPr>
      </w:pPr>
      <w:bookmarkStart w:id="1059" w:name="_Toc488492891"/>
      <w:bookmarkStart w:id="1060" w:name="_Toc486685964"/>
      <w:bookmarkStart w:id="1061" w:name="_Toc419825061"/>
      <w:bookmarkStart w:id="1062" w:name="_Toc488483663"/>
      <w:bookmarkStart w:id="1063" w:name="_Toc419825409"/>
      <w:bookmarkStart w:id="1064" w:name="_Toc290198757"/>
      <w:bookmarkStart w:id="1065" w:name="_Toc2600"/>
      <w:bookmarkStart w:id="1066" w:name="_Toc490832346"/>
      <w:bookmarkStart w:id="1067" w:name="_Toc463799067"/>
      <w:bookmarkStart w:id="1068" w:name="_Toc487653239"/>
      <w:r>
        <w:rPr>
          <w:rFonts w:hint="eastAsia" w:ascii="宋体" w:hAnsi="宋体" w:cs="宋体"/>
          <w:color w:val="auto"/>
          <w:sz w:val="21"/>
          <w:szCs w:val="21"/>
          <w:highlight w:val="none"/>
        </w:rPr>
        <w:t>10．进度计划</w:t>
      </w:r>
      <w:bookmarkEnd w:id="1059"/>
      <w:bookmarkEnd w:id="1060"/>
      <w:bookmarkEnd w:id="1061"/>
      <w:bookmarkEnd w:id="1062"/>
      <w:bookmarkEnd w:id="1063"/>
      <w:bookmarkEnd w:id="1064"/>
      <w:bookmarkEnd w:id="1065"/>
      <w:bookmarkEnd w:id="1066"/>
      <w:bookmarkEnd w:id="1067"/>
      <w:bookmarkEnd w:id="106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6"/>
        <w:spacing w:before="0" w:after="0" w:line="360" w:lineRule="exact"/>
        <w:ind w:firstLine="421" w:firstLineChars="200"/>
        <w:rPr>
          <w:rFonts w:hint="eastAsia" w:ascii="宋体" w:hAnsi="宋体" w:cs="宋体"/>
          <w:color w:val="auto"/>
          <w:sz w:val="21"/>
          <w:szCs w:val="21"/>
          <w:highlight w:val="none"/>
        </w:rPr>
      </w:pPr>
      <w:bookmarkStart w:id="1069" w:name="_Toc486685965"/>
      <w:bookmarkStart w:id="1070" w:name="_Toc488492892"/>
      <w:bookmarkStart w:id="1071" w:name="_Toc487653240"/>
      <w:bookmarkStart w:id="1072" w:name="_Toc490832347"/>
      <w:bookmarkStart w:id="1073" w:name="_Toc463799068"/>
      <w:bookmarkStart w:id="1074" w:name="_Toc419825062"/>
      <w:bookmarkStart w:id="1075" w:name="_Toc15718"/>
      <w:bookmarkStart w:id="1076" w:name="_Toc488483664"/>
      <w:bookmarkStart w:id="1077" w:name="_Toc290198758"/>
      <w:bookmarkStart w:id="1078" w:name="_Toc419825410"/>
      <w:r>
        <w:rPr>
          <w:rFonts w:hint="eastAsia" w:ascii="宋体" w:hAnsi="宋体" w:cs="宋体"/>
          <w:color w:val="auto"/>
          <w:sz w:val="21"/>
          <w:szCs w:val="21"/>
          <w:highlight w:val="none"/>
        </w:rPr>
        <w:t>11、开工和竣工</w:t>
      </w:r>
      <w:bookmarkEnd w:id="1069"/>
      <w:bookmarkEnd w:id="1070"/>
      <w:bookmarkEnd w:id="1071"/>
      <w:bookmarkEnd w:id="1072"/>
      <w:bookmarkEnd w:id="1073"/>
      <w:bookmarkEnd w:id="1074"/>
      <w:bookmarkEnd w:id="1075"/>
      <w:bookmarkEnd w:id="1076"/>
      <w:bookmarkEnd w:id="1077"/>
      <w:bookmarkEnd w:id="107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监理人应在开工日期7 天前向承包人发出开工通知。监理人在发出开工通知前应获得发包人同意。工期自监理人发出的开工通知中载明的开工日期起计算。承包人应在开工日期后尽快施工。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承包人应在第1.1.4.3 目约定的期限内完成合同工程。实际竣工日期在接收证书中写明。</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在履行合同过程中，由于发包人的下列原因造成工期延误的，承包人有权要求发包人延长工期和（或）增加费用，并支付合理利润。需要修订合同进度计划的，按照第10.2 款的约定办理。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(l）增加合同工作内容；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(2）改变合同中任何一项工作的质量要求或其他特性；</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(3）发包人迟延提供材料、工程设备或变更交货地点的；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(4）因发包人原因导致的暂停施工；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(5）提供图纸延误；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(6）未按合同约定及时支付预付款、进度款；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(7）发包人造成工期延误的其他原因。</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由于出现专用合同条款规定的异常恶劣气候的条件导致工期延误的，承包人有权要求发包人延长工期。</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
        <w:spacing w:before="0" w:after="0" w:line="360" w:lineRule="exact"/>
        <w:ind w:firstLine="421" w:firstLineChars="200"/>
        <w:rPr>
          <w:rFonts w:hint="eastAsia" w:ascii="宋体" w:hAnsi="宋体" w:cs="宋体"/>
          <w:color w:val="auto"/>
          <w:sz w:val="21"/>
          <w:szCs w:val="21"/>
          <w:highlight w:val="none"/>
        </w:rPr>
      </w:pPr>
      <w:bookmarkStart w:id="1079" w:name="_Toc488483665"/>
      <w:bookmarkStart w:id="1080" w:name="_Toc488492893"/>
      <w:bookmarkStart w:id="1081" w:name="_Toc290198759"/>
      <w:bookmarkStart w:id="1082" w:name="_Toc487653241"/>
      <w:bookmarkStart w:id="1083" w:name="_Toc419825063"/>
      <w:bookmarkStart w:id="1084" w:name="_Toc419825411"/>
      <w:bookmarkStart w:id="1085" w:name="_Toc463799069"/>
      <w:bookmarkStart w:id="1086" w:name="_Toc490832348"/>
      <w:bookmarkStart w:id="1087" w:name="_Toc486685966"/>
      <w:bookmarkStart w:id="1088" w:name="_Toc25193"/>
      <w:r>
        <w:rPr>
          <w:rFonts w:hint="eastAsia" w:ascii="宋体" w:hAnsi="宋体" w:cs="宋体"/>
          <w:color w:val="auto"/>
          <w:sz w:val="21"/>
          <w:szCs w:val="21"/>
          <w:highlight w:val="none"/>
        </w:rPr>
        <w:t>12．暂停施工</w:t>
      </w:r>
      <w:bookmarkEnd w:id="1079"/>
      <w:bookmarkEnd w:id="1080"/>
      <w:bookmarkEnd w:id="1081"/>
      <w:bookmarkEnd w:id="1082"/>
      <w:bookmarkEnd w:id="1083"/>
      <w:bookmarkEnd w:id="1084"/>
      <w:bookmarkEnd w:id="1085"/>
      <w:bookmarkEnd w:id="1086"/>
      <w:bookmarkEnd w:id="1087"/>
      <w:bookmarkEnd w:id="108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因下列暂停施工增加的费用和（或）工期延误由承包人承担：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(1）承包人违约引起的暂停施工；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(2）由于承包人原因为工程合理施工和安全保障所必需的暂停施工；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(3）承包人擅自暂停施工；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(4）承包人其他原因引起的暂停施工；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(5）专用合同条款约定由承包人承担的其他暂停施工。</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由于发包人原因引起的暂停施工造成工期延误的，承包人有权要求发包人延长工期和（或）增加费用，并支付合理利润。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监理人暂停施工指示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暂停施工后的复工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12.4.2 承包人无故拖延和拒绝复工的，由此增加的费用和工期延误由承包人承担；因发包人原因无法按时复工的，承包人有权要求发包人延长工期和（或）增加费用，并支付合理利润。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 暂停施工持续56 天以上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12.5.2 由于承包人责任引起的暂停施工，如承包人在收到监理人暂停施工指示后56 天内不认真采取有效的复工措施，造成工期延误，可视为承包人违约，应按第22.1 款的规定办理。</w:t>
      </w:r>
    </w:p>
    <w:p>
      <w:pPr>
        <w:pStyle w:val="6"/>
        <w:spacing w:before="0" w:after="0" w:line="360" w:lineRule="exact"/>
        <w:ind w:firstLine="421" w:firstLineChars="200"/>
        <w:rPr>
          <w:rFonts w:hint="eastAsia" w:ascii="宋体" w:hAnsi="宋体" w:cs="宋体"/>
          <w:color w:val="auto"/>
          <w:sz w:val="21"/>
          <w:szCs w:val="21"/>
          <w:highlight w:val="none"/>
        </w:rPr>
      </w:pPr>
      <w:bookmarkStart w:id="1089" w:name="_Toc488483666"/>
      <w:bookmarkStart w:id="1090" w:name="_Toc486685967"/>
      <w:bookmarkStart w:id="1091" w:name="_Toc419825064"/>
      <w:bookmarkStart w:id="1092" w:name="_Toc487653242"/>
      <w:bookmarkStart w:id="1093" w:name="_Toc490832349"/>
      <w:bookmarkStart w:id="1094" w:name="_Toc488492894"/>
      <w:bookmarkStart w:id="1095" w:name="_Toc290198760"/>
      <w:bookmarkStart w:id="1096" w:name="_Toc419825412"/>
      <w:bookmarkStart w:id="1097" w:name="_Toc463799070"/>
      <w:bookmarkStart w:id="1098" w:name="_Toc9371"/>
      <w:r>
        <w:rPr>
          <w:rFonts w:hint="eastAsia" w:ascii="宋体" w:hAnsi="宋体" w:cs="宋体"/>
          <w:color w:val="auto"/>
          <w:sz w:val="21"/>
          <w:szCs w:val="21"/>
          <w:highlight w:val="none"/>
        </w:rPr>
        <w:t>13．工程质量</w:t>
      </w:r>
      <w:bookmarkEnd w:id="1089"/>
      <w:bookmarkEnd w:id="1090"/>
      <w:bookmarkEnd w:id="1091"/>
      <w:bookmarkEnd w:id="1092"/>
      <w:bookmarkEnd w:id="1093"/>
      <w:bookmarkEnd w:id="1094"/>
      <w:bookmarkEnd w:id="1095"/>
      <w:bookmarkEnd w:id="1096"/>
      <w:bookmarkEnd w:id="1097"/>
      <w:bookmarkEnd w:id="109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13.1.1 工程质量验收按合同约定验收标准执行。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13.1.2 因承包人原因造成工程质量达不到合同约定验收标准的，监理人有权要求承包人返工直至符合合同要求为止，由此造成的费用增加和（或）工期延误由承包人承担。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13.1.3 因发包人原因造成工程质量达不到合同约定验收标准的，发包人应承担由于承包人返工造成的费用增加和（或）工期延误，并支付承包人合理利润。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13.2.2 承包人应加强对施工人员的质量教育和技术培训，定期考核施工人员的劳动技能，严格执行规范和操作规程。</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承包人的质量检查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承包人应按合同约定对材料、工程设备以及工程的所有部位及其施工工艺进行全过程的质量检查和检验，并作详细记录，编制工程质量报表，报送监理人审查。</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13.5.1 通知监理人检查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13.5.2 监理人未到场检查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监理人未按第13.5.l 项约定的时间进行检查的，除监理人另有指示外，承包人可自行完成覆盖工作，并作相应记录报送监理人，监理人应签字确认。监理人事后对检查记录有疑问的，可按第13.5.3 项的约定重新检查。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13.5.3 监理人重新检查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13.5.4 承包人私自覆盖</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承包人未通知监理人到场检查，私自将工程隐蔽部位覆盖的，监理人有权指示承包人钻孔探测或揭开检查，由此增加的费用和（或）工期延误由承包人承担。</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13.6.2 由于发包人提供的材料或工程设备不合格造成的工程不合格，需要承包人采取措施补救的，发包人应承担由此增加的费用和（或）工期延误，并支付承包人合理利润。</w:t>
      </w:r>
    </w:p>
    <w:p>
      <w:pPr>
        <w:pStyle w:val="6"/>
        <w:spacing w:before="0" w:after="0" w:line="360" w:lineRule="exact"/>
        <w:ind w:firstLine="421" w:firstLineChars="200"/>
        <w:rPr>
          <w:rFonts w:hint="eastAsia" w:ascii="宋体" w:hAnsi="宋体" w:cs="宋体"/>
          <w:color w:val="auto"/>
          <w:sz w:val="21"/>
          <w:szCs w:val="21"/>
          <w:highlight w:val="none"/>
        </w:rPr>
      </w:pPr>
      <w:bookmarkStart w:id="1099" w:name="_Toc16903"/>
      <w:bookmarkStart w:id="1100" w:name="_Toc486685968"/>
      <w:bookmarkStart w:id="1101" w:name="_Toc487653243"/>
      <w:bookmarkStart w:id="1102" w:name="_Toc290198761"/>
      <w:bookmarkStart w:id="1103" w:name="_Toc488483667"/>
      <w:bookmarkStart w:id="1104" w:name="_Toc419825413"/>
      <w:bookmarkStart w:id="1105" w:name="_Toc419825065"/>
      <w:bookmarkStart w:id="1106" w:name="_Toc490832350"/>
      <w:bookmarkStart w:id="1107" w:name="_Toc463799071"/>
      <w:bookmarkStart w:id="1108" w:name="_Toc488492895"/>
      <w:r>
        <w:rPr>
          <w:rFonts w:hint="eastAsia" w:ascii="宋体" w:hAnsi="宋体" w:cs="宋体"/>
          <w:color w:val="auto"/>
          <w:sz w:val="21"/>
          <w:szCs w:val="21"/>
          <w:highlight w:val="none"/>
        </w:rPr>
        <w:t>14．试验和检验</w:t>
      </w:r>
      <w:bookmarkEnd w:id="1099"/>
      <w:bookmarkEnd w:id="1100"/>
      <w:bookmarkEnd w:id="1101"/>
      <w:bookmarkEnd w:id="1102"/>
      <w:bookmarkEnd w:id="1103"/>
      <w:bookmarkEnd w:id="1104"/>
      <w:bookmarkEnd w:id="1105"/>
      <w:bookmarkEnd w:id="1106"/>
      <w:bookmarkEnd w:id="1107"/>
      <w:bookmarkEnd w:id="110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14.1.2 监理人未按合同约定派员参加试验和检验的，除监理人另有指示外，承包人可自行试验和检验，并应立即将试验和检验结果报送监理人，监理人应签字确认。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现场材料试验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14.2.1 承包人根据合同约定或监理人指示进行的现场材料试验，应由承包人提供试验场所、试验人员、试验设备器材以及其他必要的试验条件。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14.2.2 监理人在必要时可以使用承包人的试验场所、试验设备器材以及其他试验条件，进行以工程质量检查为目的的复核性材料试验，承包人应予以协助。</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6"/>
        <w:spacing w:before="0" w:after="0" w:line="360" w:lineRule="exact"/>
        <w:ind w:firstLine="421" w:firstLineChars="200"/>
        <w:rPr>
          <w:rFonts w:hint="eastAsia" w:ascii="宋体" w:hAnsi="宋体" w:cs="宋体"/>
          <w:color w:val="auto"/>
          <w:sz w:val="21"/>
          <w:szCs w:val="21"/>
          <w:highlight w:val="none"/>
        </w:rPr>
      </w:pPr>
      <w:bookmarkStart w:id="1109" w:name="_Toc419825414"/>
      <w:bookmarkStart w:id="1110" w:name="_Toc488492896"/>
      <w:bookmarkStart w:id="1111" w:name="_Toc487653244"/>
      <w:bookmarkStart w:id="1112" w:name="_Toc463799072"/>
      <w:bookmarkStart w:id="1113" w:name="_Toc5806"/>
      <w:bookmarkStart w:id="1114" w:name="_Toc419825066"/>
      <w:bookmarkStart w:id="1115" w:name="_Toc490832351"/>
      <w:bookmarkStart w:id="1116" w:name="_Toc486685969"/>
      <w:bookmarkStart w:id="1117" w:name="_Toc290198762"/>
      <w:bookmarkStart w:id="1118" w:name="_Toc488483668"/>
      <w:r>
        <w:rPr>
          <w:rFonts w:hint="eastAsia" w:ascii="宋体" w:hAnsi="宋体" w:cs="宋体"/>
          <w:color w:val="auto"/>
          <w:sz w:val="21"/>
          <w:szCs w:val="21"/>
          <w:highlight w:val="none"/>
        </w:rPr>
        <w:t>15．变更</w:t>
      </w:r>
      <w:bookmarkEnd w:id="1109"/>
      <w:bookmarkEnd w:id="1110"/>
      <w:bookmarkEnd w:id="1111"/>
      <w:bookmarkEnd w:id="1112"/>
      <w:bookmarkEnd w:id="1113"/>
      <w:bookmarkEnd w:id="1114"/>
      <w:bookmarkEnd w:id="1115"/>
      <w:bookmarkEnd w:id="1116"/>
      <w:bookmarkEnd w:id="1117"/>
      <w:bookmarkEnd w:id="111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除专用合同条款另有约定外，在履行合同中发生以下情形之一，应按照本条规定进行变更。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(1）取消合同中任何一项工作，但被取消的工作不能转由发包人或其他人实施；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（2）改变合同中任何一项工作的质量或其他特性；</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(3）改变合同工程的基线、标高、位置或尺寸；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(4）改变合同中任何一项工作的施工时间或改变已批准的施工工艺或顺序；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（5）为完成工程需要追加的额外工作。</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变更权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在履行合同过程中，经发包人同意，监理人可按第15.3 款约定的变更程序向承包人作出变更指示，承包人应遵照执行。没有监理人的变更指示，承包人不得擅自变更。</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变更程序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15.3.1变更的提出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(2）在合同履行过程中，发生第15.1 款约定情形的，监理人应按照第15.3.3 项约定向承包人发出变更指示。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 变更估价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(3）除专用合同条款对期限另有约定外，监理人收到承包人变更报价书后的14 天内，根据第15.4 款约定的估价原则，按照第3.5 款商定或确定变更价格。</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 变更指示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(l）变更指示只能由监理人发出。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(2）变更指示应说明变更的目的、范围、变更内容以及变更的工程量及其进度和技术要求，并附有关图纸和文件。承包人收到变更指示后，应按变更指示进行变更工作。</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除专用合同条款另有约定外，因变更引起的价格调整按照本款约定处理。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15.4.1 已标价工程量清单中有适用于变更工作的子目的，采用该子目的单价。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15.4.2 已标价工程量清单中无适用于变更工作的子目，但有类似子目的，可在合理范围内参照类似子目的单价，由监理人按第3.5 款商定或确定变更工作的单价。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15.4.3 已标价工程量清单中无适用或类似子目的单价，可按照成本加利润的原则，由监理人按第3.5 款商定或确定变更工作的单价。</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15.5.2 承包人提出的合理化建议降低了合同价格、缩短了工期或者提高了工程经济效益的，发包人可按国家有关规定在专用合同条款中约定给予奖励。</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暂列金额只能按照监理人的指示使用，并对合同价格进行相应调整。</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 计日工</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15.7.1 发包人认为有必要时，由监理人通知承包人以计日工方式实施变更的零星工作。其价款按列入已标价工程量清单中的计日工计价子目及其单价进行计算</w:t>
      </w:r>
      <w:r>
        <w:rPr>
          <w:rFonts w:hint="eastAsia" w:ascii="宋体" w:hAnsi="宋体" w:cs="宋体"/>
          <w:color w:val="auto"/>
          <w:szCs w:val="21"/>
          <w:highlight w:val="none"/>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15.7.2 采用计日工计价的任何一项变更工作，应从暂列金额中支付，承包人应在该项变更的实施过程中，每天提交以下报表和有关凭证报送监理人审批：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(l）工作名称、内容和数量；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(2）投入该工作所有人员的姓名、工种、级别和耗用工时；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(3）投入该工作的材料类别和数量；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(4）投入该工作的施工设备型号、台数和耗用台时；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(5）监理人要求提交的其他资料和凭证。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15.7.3 计日工由承包人汇总后，按第17.3 .2 项的约定列入进度付款申请单，由监理人复核并经发包人同意后列入进度付款。</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pPr>
        <w:pStyle w:val="6"/>
        <w:spacing w:before="0" w:after="0" w:line="360" w:lineRule="exact"/>
        <w:ind w:firstLine="421" w:firstLineChars="200"/>
        <w:rPr>
          <w:rFonts w:hint="eastAsia" w:ascii="宋体" w:hAnsi="宋体" w:cs="宋体"/>
          <w:color w:val="auto"/>
          <w:sz w:val="21"/>
          <w:szCs w:val="21"/>
          <w:highlight w:val="none"/>
        </w:rPr>
      </w:pPr>
      <w:bookmarkStart w:id="1119" w:name="_Toc488492897"/>
      <w:bookmarkStart w:id="1120" w:name="_Toc488483669"/>
      <w:bookmarkStart w:id="1121" w:name="_Toc490832352"/>
      <w:bookmarkStart w:id="1122" w:name="_Toc18215"/>
      <w:bookmarkStart w:id="1123" w:name="_Toc463799073"/>
      <w:bookmarkStart w:id="1124" w:name="_Toc487653245"/>
      <w:bookmarkStart w:id="1125" w:name="_Toc290198763"/>
      <w:bookmarkStart w:id="1126" w:name="_Toc419825067"/>
      <w:bookmarkStart w:id="1127" w:name="_Toc419825415"/>
      <w:bookmarkStart w:id="1128" w:name="_Toc486685970"/>
      <w:r>
        <w:rPr>
          <w:rFonts w:hint="eastAsia" w:ascii="宋体" w:hAnsi="宋体" w:cs="宋体"/>
          <w:color w:val="auto"/>
          <w:sz w:val="21"/>
          <w:szCs w:val="21"/>
          <w:highlight w:val="none"/>
        </w:rPr>
        <w:t>16．价格调整</w:t>
      </w:r>
      <w:bookmarkEnd w:id="1119"/>
      <w:bookmarkEnd w:id="1120"/>
      <w:bookmarkEnd w:id="1121"/>
      <w:bookmarkEnd w:id="1122"/>
      <w:bookmarkEnd w:id="1123"/>
      <w:bookmarkEnd w:id="1124"/>
      <w:bookmarkEnd w:id="1125"/>
      <w:bookmarkEnd w:id="1126"/>
      <w:bookmarkEnd w:id="1127"/>
      <w:bookmarkEnd w:id="112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除专用合同条款另有约定外，因物价波动引起的价格调整按照本款约定处理。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采用价格指数调整价格差额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16.1.1.1 价格调整公式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因人工、材料和设备等价格波动影响合同价格时，根据投标函附录中的价格指数和权重表约定的数据，按以下公式计算差额并调整合同价格。</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t1        </w:t>
      </w:r>
      <w:r>
        <w:rPr>
          <w:rFonts w:hint="eastAsia" w:ascii="宋体" w:hAnsi="宋体" w:cs="宋体"/>
          <w:color w:val="auto"/>
          <w:szCs w:val="21"/>
          <w:highlight w:val="none"/>
        </w:rPr>
        <w:t xml:space="preserve"> F</w:t>
      </w:r>
      <w:r>
        <w:rPr>
          <w:rFonts w:hint="eastAsia" w:ascii="宋体" w:hAnsi="宋体" w:cs="宋体"/>
          <w:color w:val="auto"/>
          <w:szCs w:val="21"/>
          <w:highlight w:val="none"/>
          <w:vertAlign w:val="subscript"/>
        </w:rPr>
        <w:t xml:space="preserve">t2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p>
    <w:p>
      <w:pPr>
        <w:numPr>
          <w:ilvl w:val="0"/>
          <w:numId w:val="13"/>
        </w:numPr>
        <w:spacing w:line="36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P=P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［A+｛B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 xml:space="preserve">×—｝－1］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01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04</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式中：△ P 一需调整的价格差额；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一第17.3.3 项、第17.5 .2 项和第17.6.2 项约定的付款证书中承包人应得到的已完成工程量的金额。此项金额应不包括价格调整、不计质量保证金的扣留和支付、预付款的支付和扣回。第15条约定的变更及其他金额已按现行价格计价的，也不计在内；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A ---定值权重（即不调部分的权重）；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---各可调因子的变值权重（即可调部分的权重）为各可调因子在投标函投标总报价中所占的比例；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t1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r>
        <w:rPr>
          <w:rFonts w:hint="eastAsia" w:ascii="宋体" w:hAnsi="宋体" w:cs="宋体"/>
          <w:color w:val="auto"/>
          <w:szCs w:val="21"/>
          <w:highlight w:val="none"/>
        </w:rPr>
        <w:t>---各可调因子的现行价格指数，指第17.3.3 项、第17.5.2 项和第17.6.2 项约定的付款证书相关周期最后一天的前42天的各可调因子的价格指数；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01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0n</w:t>
      </w:r>
      <w:r>
        <w:rPr>
          <w:rFonts w:hint="eastAsia" w:ascii="宋体" w:hAnsi="宋体" w:cs="宋体"/>
          <w:color w:val="auto"/>
          <w:szCs w:val="21"/>
          <w:highlight w:val="none"/>
        </w:rPr>
        <w:t>---各可调因子的基本价格指数，指基准日期的各可调因子的价格指数。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16.1.1.2 暂时确定调整差额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在计算调整差额时得不到现行价格指数的，可暂用上一次价格指数计算，并在以后的付款中再按实际价格指数进行调整。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16.1.1.3 权重的调整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按第15.1 款约定的变更导致原定合同中的权重不合理时，由监理人与承包人和发包人协商后进行调整。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16.1.1.4 承包人工期延误后的价格调整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采用造价信息调整价格差额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在基准日后，因法律变化导致承包人在合同履行中所需要的工程费用发生除第16.1 款约定以外的增减时，监理人应根据法律、国家或省、自治区、直辖市有关部门的规定，按第3.5 款商定或确定需调整的合同价款。</w:t>
      </w:r>
    </w:p>
    <w:p>
      <w:pPr>
        <w:pStyle w:val="6"/>
        <w:spacing w:before="0" w:after="0" w:line="360" w:lineRule="exact"/>
        <w:ind w:firstLine="421" w:firstLineChars="200"/>
        <w:rPr>
          <w:rFonts w:hint="eastAsia" w:ascii="宋体" w:hAnsi="宋体" w:cs="宋体"/>
          <w:color w:val="auto"/>
          <w:sz w:val="21"/>
          <w:szCs w:val="21"/>
          <w:highlight w:val="none"/>
        </w:rPr>
      </w:pPr>
      <w:bookmarkStart w:id="1129" w:name="_Toc290198764"/>
      <w:bookmarkStart w:id="1130" w:name="_Toc463799074"/>
      <w:bookmarkStart w:id="1131" w:name="_Toc419825068"/>
      <w:bookmarkStart w:id="1132" w:name="_Toc419825416"/>
      <w:bookmarkStart w:id="1133" w:name="_Toc488492898"/>
      <w:bookmarkStart w:id="1134" w:name="_Toc19171"/>
      <w:bookmarkStart w:id="1135" w:name="_Toc488483670"/>
      <w:bookmarkStart w:id="1136" w:name="_Toc487653246"/>
      <w:bookmarkStart w:id="1137" w:name="_Toc490832353"/>
      <w:bookmarkStart w:id="1138" w:name="_Toc486685971"/>
      <w:r>
        <w:rPr>
          <w:rFonts w:hint="eastAsia" w:ascii="宋体" w:hAnsi="宋体" w:cs="宋体"/>
          <w:color w:val="auto"/>
          <w:sz w:val="21"/>
          <w:szCs w:val="21"/>
          <w:highlight w:val="none"/>
        </w:rPr>
        <w:t>17．计量与支付</w:t>
      </w:r>
      <w:bookmarkEnd w:id="1129"/>
      <w:bookmarkEnd w:id="1130"/>
      <w:bookmarkEnd w:id="1131"/>
      <w:bookmarkEnd w:id="1132"/>
      <w:bookmarkEnd w:id="1133"/>
      <w:bookmarkEnd w:id="1134"/>
      <w:bookmarkEnd w:id="1135"/>
      <w:bookmarkEnd w:id="1136"/>
      <w:bookmarkEnd w:id="1137"/>
      <w:bookmarkEnd w:id="113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17.1.1 计量单位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计量采用国家法定的计量单位。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17.1.2 计量方法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工程量清单中的工程量计算规则应按有关国家标准、行业标准的规定，并在合同中约定执行。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17.1.3 计量周期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除专用合同条款另有约定外，单价子目已完成工程量按月计量，总价子目的计量周期按批准的支付分解报告确定。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17.1.4 单价子目的计量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(l）已标价工程量清单中的单价子目工程量为估算工程量。结算工程量是承包人实际完成的，并按合同约定的计量方法进行计量的工程量。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(2）承包人对已完成的工程进行计量，向监理人提交进度付款申请单、已完成工程量报表和有关计量资料。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(4）监理人认为有必要时，可通知承包人共同进行联合测量、计量，承包人应遵照执行。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17.1.5 总价子目的计量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除专用合同条款另有约定外，总价子目的分解和计量按照下述约定进行。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(1）总价子目的计量和支付应以总价为基础，不因第16.1 款中的因素而进行调整。承包人实际完成的工程量，是进行工程目标管理和控制进度支付的依据。</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(3）监理人对承包人提交的上述资料进行复核，以确定分阶段实际完成的工程量和工程形象目标。对其有异议的，可要求承包人按第8.2 款约定进行共同复核和抽样复测。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(4）除按照第15条约定的变更外，总价子目的工程量是承包人用于结算的最终工程量。</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 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 预付款保函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17.2.3 预付款的扣回与还清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工程进度付款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17.3.1 付款周期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付款周期同计量周期。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17.3.2 进度付款申请单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(l）截至本次付款周期末已实施工程的价款；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(2）根据第15条应增加和扣减的变更金额；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(3）根据第23 条应增加和扣减的索赔金额；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(4）根据第17.2 款约定应支付的预付款和扣减的返还预付款；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(5）根据第17.4.1 项约定应扣减的质量保证金；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(6）根据合同应增加和扣减的其他金额。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17.3.3 进度付款证书和支付时间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(2）发包人应在监理人收到进度付款申请单后的28 天内，将进度应付款支付给承包人。发包人不按期支付的，按专用合同条款的约定支付逾期付款违约金。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(3）监理人出具进度付款证书，不应视为监理人已同意、批准或接受了承包人完成的该部分工作。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(4）进度付款涉及政府投资资金的，按照国库集中支付等国家相关规定和专用合同条款的约定办理。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17.3.4 工程进度付款的修正</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竣工结算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17.5.1 竣工付款申请单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(2）监理人对竣工付款申请单有异议的，有权要求承包人进行修正和提供补充资料。经监理人和承包人协商后，由承包人向监理人提交修正后的竣工付款申请单。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17.5.2 竣工付款证书及支付时间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(2）发包人应在监理人出具竣工付款证书后的14 天内，将应支付款支付给承包人。发包人不按期支付的，按第17.3.3(2）目的约定，将逾期付款违约金支付给承包人。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(3）承包人对发包人签认的竣工付款证书有异议的，发包人可出具竣工付款申请单中承包人已同意部分的临时付款证书。存在争议的部分，按第24条的约定办理。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(4）竣工付款涉及政府投资资金的，按第17.3.3(4）目的约定办理。</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17.6.1 最终结清申请单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(1）缺陷责任期终止证书签发后，承包人可按专用合同条款约定的份数和期限向监理人提交最终结清申请单，并提供相关证明材料。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(2）发包人对最终结清申请单内容有异议的，有权要求承包人进行修正和提供补充资料，由承包人向监理人提交修正后的最终结清申请单。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17.6.2 最终结清证书和支付时间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(2）发包人应在监理人出具最终结清证书后的14 天内，将应支付款支付给承包人。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发包人不按期支付的，按第17.3.3(2）目的约定，将逾期付款违约金支付给承包人。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(3）承包人对发包人签认的最终结清证书有异议的，按第24条的约定办理。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(4）最终结清付款涉及政府投资资金的，按第17.3.3(4）目的约定办理。</w:t>
      </w:r>
    </w:p>
    <w:p>
      <w:pPr>
        <w:pStyle w:val="6"/>
        <w:spacing w:before="0" w:after="0" w:line="360" w:lineRule="exact"/>
        <w:ind w:firstLine="421" w:firstLineChars="200"/>
        <w:rPr>
          <w:rFonts w:hint="eastAsia" w:ascii="宋体" w:hAnsi="宋体" w:cs="宋体"/>
          <w:color w:val="auto"/>
          <w:sz w:val="21"/>
          <w:szCs w:val="21"/>
          <w:highlight w:val="none"/>
        </w:rPr>
      </w:pPr>
      <w:bookmarkStart w:id="1139" w:name="_Toc490832354"/>
      <w:bookmarkStart w:id="1140" w:name="_Toc488492899"/>
      <w:bookmarkStart w:id="1141" w:name="_Toc488483671"/>
      <w:bookmarkStart w:id="1142" w:name="_Toc487653247"/>
      <w:bookmarkStart w:id="1143" w:name="_Toc486685972"/>
      <w:bookmarkStart w:id="1144" w:name="_Toc290198765"/>
      <w:bookmarkStart w:id="1145" w:name="_Toc419825417"/>
      <w:bookmarkStart w:id="1146" w:name="_Toc419825069"/>
      <w:bookmarkStart w:id="1147" w:name="_Toc24296"/>
      <w:bookmarkStart w:id="1148" w:name="_Toc463799075"/>
      <w:r>
        <w:rPr>
          <w:rFonts w:hint="eastAsia" w:ascii="宋体" w:hAnsi="宋体" w:cs="宋体"/>
          <w:color w:val="auto"/>
          <w:sz w:val="21"/>
          <w:szCs w:val="21"/>
          <w:highlight w:val="none"/>
        </w:rPr>
        <w:t>18．竣工验收</w:t>
      </w:r>
      <w:bookmarkEnd w:id="1139"/>
      <w:bookmarkEnd w:id="1140"/>
      <w:bookmarkEnd w:id="1141"/>
      <w:bookmarkEnd w:id="1142"/>
      <w:bookmarkEnd w:id="1143"/>
      <w:bookmarkEnd w:id="1144"/>
      <w:bookmarkEnd w:id="1145"/>
      <w:bookmarkEnd w:id="1146"/>
      <w:bookmarkEnd w:id="1147"/>
      <w:bookmarkEnd w:id="114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18.1.1 竣工验收指承包人完成了全部合同工作后，发包人按合同要求进行的验收。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 国家验收是政府有关部门根据法律、规范、规程和政策要求，针对发包人全面组织实施的整个工程正式交付投运前的验收。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18.1.3 需要进行国家验收的，竣工验收是国家验收的一部分。竣工验收所采用的各项验收和评定标准应符合国家验收标准。发包人和承包人为竣工验收提供的各项竣工验收资料应符合国家验收的要求。</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竣工验收申请报告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当工程具备以下条件时，承包人即可向监理人报送竣工验收申请报告：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(2）已按合同约定的内容和份数备齐了符合要求的竣工资料；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(3）已按监理人的要求编制了在缺陷责任期内完成的尾工（甩项）工程和缺陷修补工作清单以及相应施工计划；</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(4）监理人要求在竣工验收前应完成的其他工作：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(5）监理人要求提交的竣工验收资料清单。</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监理人收到承包人按第18.2 款约定提交的竣工验收申请报告后，应审查申请报告的各项内容，并按以下不同情况进行处理。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18.3.2 监理人审查后认为已具备竣工验收条件的，应在收到竣工验收申请报告后的28天内提请发包人进行工程验收。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18.3.5 除专用合同条款另有约定外，经验收合格工程的实际竣工日期，以提交竣工验收申请报告的日期为准，并在工程接收证书中写明。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18.3.6 发包人在收到承包人竣工验收申请报告56 天后未进行验收的，视为验收合格，实际竣工日期以提交竣工验收申请报告的日期为准，但发包人由于不可抗力不能进行验收的除外。</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单位工程验收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18.4.2 发包人在全部工程竣工前，使用已接收的单位工程导致承包人费用增加的，发包人应承担由此增加的费用和（或）工期延误，并支付承包人合理利润。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18.5.2 在施工期运行中发现工程或工程设备损坏或存在缺陷的，由承包人按第19.2 款约定进行修复。</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18.6.1 除专用合同条款另有约定外，承包人应按专用合同条款约定进行工程及工程设备试运行，负责提供试运行所需的人员、器材和必要的条件，并承担全部试运行费用。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竣工清场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18.7.1 除合同另有约定外，工程接收证书颁发后，承包人应按以下要求对施工场地进行清理，直至监理人检验合格为止。竣工清场费用由承包人承担。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(2）临时工程已拆除，场地已按合同要求进行清理、平整或复原；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(3）按合同约定应撤离的承包人设备和剩余的材料，包括废弃的施工设备和材料，已按计划撤离施工场地；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(4）工程建筑物周边及其附近道路、河道的施工堆积物，已按监理人指示全部清理；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(5）监理人指示的其他场地清理工作已全部完成。</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18.7.2 承包人未按监理人的要求恢复临时占地，或者场地清理未达到合同约定的，发包人有权委托其他人恢复或清理，所发生的金额从拟支付给承包人的款项中扣除。</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 施工队伍的撤离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6"/>
        <w:spacing w:before="0" w:after="0" w:line="360" w:lineRule="exact"/>
        <w:ind w:firstLine="421" w:firstLineChars="200"/>
        <w:rPr>
          <w:rFonts w:hint="eastAsia" w:ascii="宋体" w:hAnsi="宋体" w:cs="宋体"/>
          <w:color w:val="auto"/>
          <w:sz w:val="21"/>
          <w:szCs w:val="21"/>
          <w:highlight w:val="none"/>
        </w:rPr>
      </w:pPr>
      <w:bookmarkStart w:id="1149" w:name="_Toc290198766"/>
      <w:bookmarkStart w:id="1150" w:name="_Toc486685973"/>
      <w:bookmarkStart w:id="1151" w:name="_Toc490832355"/>
      <w:bookmarkStart w:id="1152" w:name="_Toc26911"/>
      <w:bookmarkStart w:id="1153" w:name="_Toc419825070"/>
      <w:bookmarkStart w:id="1154" w:name="_Toc487653248"/>
      <w:bookmarkStart w:id="1155" w:name="_Toc419825418"/>
      <w:bookmarkStart w:id="1156" w:name="_Toc488492900"/>
      <w:bookmarkStart w:id="1157" w:name="_Toc488483672"/>
      <w:bookmarkStart w:id="1158" w:name="_Toc463799076"/>
      <w:r>
        <w:rPr>
          <w:rFonts w:hint="eastAsia" w:ascii="宋体" w:hAnsi="宋体" w:cs="宋体"/>
          <w:color w:val="auto"/>
          <w:sz w:val="21"/>
          <w:szCs w:val="21"/>
          <w:highlight w:val="none"/>
        </w:rPr>
        <w:t>19、缺陷责任与保修责任</w:t>
      </w:r>
      <w:bookmarkEnd w:id="1149"/>
      <w:bookmarkEnd w:id="1150"/>
      <w:bookmarkEnd w:id="1151"/>
      <w:bookmarkEnd w:id="1152"/>
      <w:bookmarkEnd w:id="1153"/>
      <w:bookmarkEnd w:id="1154"/>
      <w:bookmarkEnd w:id="1155"/>
      <w:bookmarkEnd w:id="1156"/>
      <w:bookmarkEnd w:id="1157"/>
      <w:bookmarkEnd w:id="115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缺陷责任期自实际竣工日期起计算。在全部工程竣工验收前，已经发包人提前验收的单位工程，其缺陷责任期的起算日期相应提前。</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19.2.1 承包人应在缺陷责任期内对已交付使用的工程承担缺陷责任。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19.2.4 承包人不能在合理时间内修复缺陷的，发包人可自行修复或委托其他人修复，所需费用和利润的承担，按第19.2.3 项约定办理。</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缺陷责任期的延长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进一步试验和试运行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缺陷责任期内承包人为缺陷修复工作需要，有权进入工程现场，但应遵守发包人的保安和保密规定。</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缺陷责任期终止证书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在第1.1.4.5目约定的缺陷责任期，包括根据第19.3款延长的期限终止后14天内，由监理人向承包人出具经发包人签认的缺陷责任期终止证书，并退还剩余的质量保证金。</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6"/>
        <w:spacing w:before="0" w:after="0" w:line="360" w:lineRule="exact"/>
        <w:ind w:firstLine="421" w:firstLineChars="200"/>
        <w:rPr>
          <w:rFonts w:hint="eastAsia" w:ascii="宋体" w:hAnsi="宋体" w:cs="宋体"/>
          <w:color w:val="auto"/>
          <w:sz w:val="21"/>
          <w:szCs w:val="21"/>
          <w:highlight w:val="none"/>
        </w:rPr>
      </w:pPr>
      <w:bookmarkStart w:id="1159" w:name="_Toc490832356"/>
      <w:bookmarkStart w:id="1160" w:name="_Toc488483673"/>
      <w:bookmarkStart w:id="1161" w:name="_Toc419825419"/>
      <w:bookmarkStart w:id="1162" w:name="_Toc487653249"/>
      <w:bookmarkStart w:id="1163" w:name="_Toc419825071"/>
      <w:bookmarkStart w:id="1164" w:name="_Toc463799077"/>
      <w:bookmarkStart w:id="1165" w:name="_Toc488492901"/>
      <w:bookmarkStart w:id="1166" w:name="_Toc290198767"/>
      <w:bookmarkStart w:id="1167" w:name="_Toc486685974"/>
      <w:bookmarkStart w:id="1168" w:name="_Toc19412"/>
      <w:r>
        <w:rPr>
          <w:rFonts w:hint="eastAsia" w:ascii="宋体" w:hAnsi="宋体" w:cs="宋体"/>
          <w:color w:val="auto"/>
          <w:sz w:val="21"/>
          <w:szCs w:val="21"/>
          <w:highlight w:val="none"/>
        </w:rPr>
        <w:t>20、保险</w:t>
      </w:r>
      <w:bookmarkEnd w:id="1159"/>
      <w:bookmarkEnd w:id="1160"/>
      <w:bookmarkEnd w:id="1161"/>
      <w:bookmarkEnd w:id="1162"/>
      <w:bookmarkEnd w:id="1163"/>
      <w:bookmarkEnd w:id="1164"/>
      <w:bookmarkEnd w:id="1165"/>
      <w:bookmarkEnd w:id="1166"/>
      <w:bookmarkEnd w:id="1167"/>
      <w:bookmarkEnd w:id="116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20.2.1 承包人员工伤事故的保险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承包人应依照有关法律规定参加工伤保险，为其履行合同所雇佣的全部人员，缴纳工伤保险费，并要求其分包人也进行此项保险。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20.2.2 发包人员工伤事故的保险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发包人应依照有关法律规定参加工伤保险，为其现场机构雇佣的全部人员，缴纳工伤保险费，并要求其监理人也进行此项保险。</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20.3.1 发包人应在整个施工期间为其现场机构雇用的全部人员，投保人身意外伤害险，缴纳保险费，并要求其监理人也进行此项保险。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20.3.2 承包人应在整个施工期间为其现场机构雇用的全部人员，投保人身意外伤害险，缴纳保险费，并要求其分包人也进行此项保险。</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20.4.2 在缺陷责任期终止证书颁发前，承包人应以承包人和发包人的共同名义，投保第20.4.1 项约定的第三者责任险，其保险费率、保险金额等有关内容在专用合同条款中约定。</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除专用合同条款另有约定外，承包人应为其施工设备、进场的材料和工程设备等办理保险。</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20.6.1 保险凭证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承包人应在专用合同条款约定的期限内向发包人提交各项保险生效的证据和保险单副本，保险单必须与专用合同条款约定的条件保持一致。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20.6.2 保险合同条款的变动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承包人需要变动保险合同条款时，应事先征得发包人同意，并通知监理人。保险人作出变动的，承包人应在收到保险人通知后立即通知发包人和监理人。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20.6.3 持续保险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承包人应与保险人保持联系，使保险人能够随时了解工程实施中的变动，并确保按保险合同条款要求持续保险。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20.6.4 保险金不足的补偿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保险金不足以补偿损失的，应由承包人和（或）发包人按合同约定负责补偿。</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20.6.5 未按约定投保的补救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(l）由于负有投保义务的一方当事人未按合同约定办理保险，或未能使保险持续有效的，另一方当事人可代为办理，所需费用由对方当事人承担。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(2）由于负有投保义务的一方当事人未按合同约定办理某项保险，导致受益人未能得到保险人的赔偿，原应从该项保险得到的保险金应由负有投保义务的一方当事人支付。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20.6.6 报告义务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当保险事故发生时，投保人应按照保险单规定的条件和期限及时向保险人报告。</w:t>
      </w:r>
    </w:p>
    <w:p>
      <w:pPr>
        <w:pStyle w:val="6"/>
        <w:spacing w:before="0" w:after="0" w:line="360" w:lineRule="exact"/>
        <w:ind w:firstLine="421" w:firstLineChars="200"/>
        <w:rPr>
          <w:rFonts w:hint="eastAsia" w:ascii="宋体" w:hAnsi="宋体" w:cs="宋体"/>
          <w:color w:val="auto"/>
          <w:sz w:val="21"/>
          <w:szCs w:val="21"/>
          <w:highlight w:val="none"/>
        </w:rPr>
      </w:pPr>
      <w:bookmarkStart w:id="1169" w:name="_Toc487653250"/>
      <w:bookmarkStart w:id="1170" w:name="_Toc25366"/>
      <w:bookmarkStart w:id="1171" w:name="_Toc419825072"/>
      <w:bookmarkStart w:id="1172" w:name="_Toc490832357"/>
      <w:bookmarkStart w:id="1173" w:name="_Toc290198768"/>
      <w:bookmarkStart w:id="1174" w:name="_Toc488492902"/>
      <w:bookmarkStart w:id="1175" w:name="_Toc463799078"/>
      <w:bookmarkStart w:id="1176" w:name="_Toc419825420"/>
      <w:bookmarkStart w:id="1177" w:name="_Toc486685975"/>
      <w:bookmarkStart w:id="1178" w:name="_Toc488483674"/>
      <w:r>
        <w:rPr>
          <w:rFonts w:hint="eastAsia" w:ascii="宋体" w:hAnsi="宋体" w:cs="宋体"/>
          <w:color w:val="auto"/>
          <w:sz w:val="21"/>
          <w:szCs w:val="21"/>
          <w:highlight w:val="none"/>
        </w:rPr>
        <w:t>21、不可抗力</w:t>
      </w:r>
      <w:bookmarkEnd w:id="1169"/>
      <w:bookmarkEnd w:id="1170"/>
      <w:bookmarkEnd w:id="1171"/>
      <w:bookmarkEnd w:id="1172"/>
      <w:bookmarkEnd w:id="1173"/>
      <w:bookmarkEnd w:id="1174"/>
      <w:bookmarkEnd w:id="1175"/>
      <w:bookmarkEnd w:id="1176"/>
      <w:bookmarkEnd w:id="1177"/>
      <w:bookmarkEnd w:id="117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不可抗力的通知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21.2.1 合同一方当事人遇到不可抗力事件，使其履行合同义务受到阻碍时，应立即通知合同另一方当事人和监理人，书面说明不可抗力和受阻碍的详细情况，并提供必要的证明。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21.3.1 不可抗力造成损害的责任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除专用合同条款另有约定外，不可抗力导致的人员伤亡、财产损失、费用增加和（或）工期延误等后果，由合同双方按以下原则承担：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(1）永久工程，包括已运至施工场地的材料和工程设备的损害，以及因工程损害造成的第三者人员伤亡和财产损失由发包人承担；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(2）承包人设备的损坏由承包人承担；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(3）发包人和承包人各自承担其人员伤亡和其他财产损失及其相关费用；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(4）承包人的停工损失由承包人承担，但停工期间应监理人要求照管工程和清理、修复工程的金额由发包人承担；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(5）不能按期竣工的，应合理延长工期，承包人不需支付逾期竣工违约金。发包人要求赶工的，承包人应采取赶工措施，赶工费用由发包人承担。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 延迟履行期间发生的不可抗力</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合同一方当事人延迟履行，在延迟履行期间发生不可抗力的，不免除其责任。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21.3.3 避免和减少不可抗力损失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不可抗力发生后，发包人和承包人均应采取措施尽量避免和减少损失的扩大，任何一方没有采取有效措施导致损失扩大的，应对扩大的损失承担责任。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21.3.4 因不可抗力解除合同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pPr>
        <w:pStyle w:val="6"/>
        <w:spacing w:before="0" w:after="0" w:line="360" w:lineRule="exact"/>
        <w:ind w:firstLine="421" w:firstLineChars="200"/>
        <w:rPr>
          <w:rFonts w:hint="eastAsia" w:ascii="宋体" w:hAnsi="宋体" w:cs="宋体"/>
          <w:color w:val="auto"/>
          <w:sz w:val="21"/>
          <w:szCs w:val="21"/>
          <w:highlight w:val="none"/>
        </w:rPr>
      </w:pPr>
      <w:bookmarkStart w:id="1179" w:name="_Toc488483675"/>
      <w:bookmarkStart w:id="1180" w:name="_Toc487653251"/>
      <w:bookmarkStart w:id="1181" w:name="_Toc488492903"/>
      <w:bookmarkStart w:id="1182" w:name="_Toc21723"/>
      <w:bookmarkStart w:id="1183" w:name="_Toc290198769"/>
      <w:bookmarkStart w:id="1184" w:name="_Toc490832358"/>
      <w:bookmarkStart w:id="1185" w:name="_Toc419825421"/>
      <w:bookmarkStart w:id="1186" w:name="_Toc419825073"/>
      <w:bookmarkStart w:id="1187" w:name="_Toc463799079"/>
      <w:bookmarkStart w:id="1188" w:name="_Toc486685976"/>
      <w:r>
        <w:rPr>
          <w:rFonts w:hint="eastAsia" w:ascii="宋体" w:hAnsi="宋体" w:cs="宋体"/>
          <w:color w:val="auto"/>
          <w:sz w:val="21"/>
          <w:szCs w:val="21"/>
          <w:highlight w:val="none"/>
        </w:rPr>
        <w:t>22、违约</w:t>
      </w:r>
      <w:bookmarkEnd w:id="1179"/>
      <w:bookmarkEnd w:id="1180"/>
      <w:bookmarkEnd w:id="1181"/>
      <w:bookmarkEnd w:id="1182"/>
      <w:bookmarkEnd w:id="1183"/>
      <w:bookmarkEnd w:id="1184"/>
      <w:bookmarkEnd w:id="1185"/>
      <w:bookmarkEnd w:id="1186"/>
      <w:bookmarkEnd w:id="1187"/>
      <w:bookmarkEnd w:id="118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22.1.1 承包人违约的情形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在履行合同过程中发生的下列情况属承包人违约：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(1）承包人违反第1.8 款或第4.3 款的约定，私自将合同的全部或部分权利转让给其他人，或私自将合同的全部或部分义务转移给其他人；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(2）承包人违反第5.3 款或第6.4 款的约定，未经监理人批准，私自将已按合同约定进入施工场地的施工设备、临时设施或材料撤离施工场地；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(3）承包人违反第5.4 款的约定使用了不合格材料或工程设备，工程质量达不到标准要求，又拒绝清除不合格工程；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(4）承包人未能按合同进度计划及时完成合同约定的工作，已造成或预期造成工期延误；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(5）承包人在缺陷责任期内，未能对工程接收证书所列的缺陷清单的内容或缺陷责任期内发生的缺陷进行修复，而又拒绝按监理人指示再进行修补；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(6）承包人无法继续履行或明确表示不履行或实质上已停止履行合同；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(7）承包人不按合同约定履行义务的其他情况。</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22.1.2 对承包人违约的处理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(l）承包人发生第22.1.1(6）目约定的违约情况时，发包人可通知承包人立即解除合同，并按有关法律处理。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(2）承包人发生除第22.1.1(6）目约定以外的其他违约情况时，监理人可向承包人发出整改通知，要求其在指定的期限内改正。承包人应承担其违约所引起的费用增加和（或）工期延误。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(3）经检查证明承包人已采取了有效措施纠正违约行为，具备复工条件的，可由监理人签发复工通知复工。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22.1.3 承包人违约解除合同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22.1.4 合同解除后的估价、付款和结清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(1）合同解除后，监理人按第3.5 款商定或确定承包人实际完成工作的价值，以及承包人已提供的材料、施工设备、工程设备和临时工程等的价值。</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(2）合同解除后，发包人应暂停对承包人的一切付款，查清各项付款和已扣款金额，包括承包人应支付的违约金。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(3）合同解除后，发包人应按第23.4 款的约定向承包人索赔由于解除合同给发包人造成的损失。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(4）合同双方确认上述往来款项后，出具最终结清付款证书，结清全部合同款项。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(5）发包人和承包人未能就解除合同后的结清达成一致而形成争议的，按第24条的约定办理。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22.1.5 协议利益的转让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22.1.6 紧急情况下无能力或不愿进行抢救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22.2.1 发包人违约的情形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在履行合同过程中发生的下列情形，属发包人违约：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(l）发包人未能按合同约定支付预付款或合同价款，或拖延、拒绝批准付款申请和支付凭证，导致付款延误的；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(2）发包人原因造成停工的；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(3）监理人无正当理由没有在约定期限内发出复工指示，导致承包人无法复工的；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(4）发包人无法继续履行或明确表示不履行或实质上已停止履行合同的；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(5）发包人不履行合同约定其他义务的。</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22.2.2 承包人有权暂停施工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22.2.3 发包人违约解除合同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(1）发生第22.2.1(4）目的违约情况时，承包人可书面通知发包人解除合同。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(2）承包人按22.2.2 项暂停施工28天后，发包人仍不纠正违约行为的，承包人可向发包人发出解除合同通知。但承包人的这一行动不免除发包人承担的违约责任，也不影响承包人根据合同约定享有的索赔权利。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22.2.4 解除合同后的付款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因发包人违约解除合同的，发包人应在解除合同后28天内向承包人支付下列金额，承包人应在此期限内及时向发包人提交要求支付下列金额的有关资料和凭证：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(l）合同解除日以前所完成工作的价款；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(2）承包人为该工程施工订购并已付款的材料、工程设备和其他物品的金额。发包人付还后，该材料、工程设备和其他物品归发包人所有；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(3）承包人为完成工程所发生的，而发包人未支付的金额；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(4）承包人撤离施工场地以及遣散承包人人员的金额；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(5）由于解除合同应赔偿的承包人损失；</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(6）按合同约定在合同解除日前应支付给承包人的其他金额。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发包人应按本项约定支付上述金额并退还质量保证金和履约担保，但有权要求承包人支付应偿还给发包人的各项金额。</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22.2.5 解除合同后的承包人撤离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18.7.1 项的约定，发包人应为承包人撤出提供必要条件。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第三人造成的违约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6"/>
        <w:spacing w:before="0" w:after="0" w:line="360" w:lineRule="exact"/>
        <w:ind w:firstLine="421" w:firstLineChars="200"/>
        <w:rPr>
          <w:rFonts w:hint="eastAsia" w:ascii="宋体" w:hAnsi="宋体" w:cs="宋体"/>
          <w:color w:val="auto"/>
          <w:sz w:val="21"/>
          <w:szCs w:val="21"/>
          <w:highlight w:val="none"/>
        </w:rPr>
      </w:pPr>
      <w:bookmarkStart w:id="1189" w:name="_Toc290198770"/>
      <w:bookmarkStart w:id="1190" w:name="_Toc463799080"/>
      <w:bookmarkStart w:id="1191" w:name="_Toc419825422"/>
      <w:bookmarkStart w:id="1192" w:name="_Toc488492904"/>
      <w:bookmarkStart w:id="1193" w:name="_Toc419825074"/>
      <w:bookmarkStart w:id="1194" w:name="_Toc490832359"/>
      <w:bookmarkStart w:id="1195" w:name="_Toc488483676"/>
      <w:bookmarkStart w:id="1196" w:name="_Toc487653252"/>
      <w:bookmarkStart w:id="1197" w:name="_Toc14300"/>
      <w:bookmarkStart w:id="1198" w:name="_Toc486685977"/>
      <w:r>
        <w:rPr>
          <w:rFonts w:hint="eastAsia" w:ascii="宋体" w:hAnsi="宋体" w:cs="宋体"/>
          <w:color w:val="auto"/>
          <w:sz w:val="21"/>
          <w:szCs w:val="21"/>
          <w:highlight w:val="none"/>
        </w:rPr>
        <w:t>23、索赔</w:t>
      </w:r>
      <w:bookmarkEnd w:id="1189"/>
      <w:bookmarkEnd w:id="1190"/>
      <w:bookmarkEnd w:id="1191"/>
      <w:bookmarkEnd w:id="1192"/>
      <w:bookmarkEnd w:id="1193"/>
      <w:bookmarkEnd w:id="1194"/>
      <w:bookmarkEnd w:id="1195"/>
      <w:bookmarkEnd w:id="1196"/>
      <w:bookmarkEnd w:id="1197"/>
      <w:bookmarkEnd w:id="119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根据合同约定，承包人认为有权得到追加付款和（或）延长工期的，应按以下程序向发包人提出索赔：</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(l）承包人应在知道或应当知道索赔事件发生后28 天内，向监理人递交索赔意向通知书，并说明发生索赔事件的事由。承包人未在前述28天内发出索赔意向通知书的，丧失要求追加付款和（或）延长工期的权利：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(3）索赔事件具有连续影响的，承包人应按合理时间间隔继续递交延续索赔通知，说明连续影响的实际情况和记录，列出累计的追加付款金额和（或）工期延长天数；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(4）在索赔事件影响结束后的28 天内，承包人应向监理人递交最终索赔通知书，说明最终要求索赔的追加付款金额和延长的工期，并附必要的记录和证明材料。</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(1）监理人收到承包人提交的索赔通知书后，应及时审查索赔通知书的内容、查验承包人的记录和证明材料，必要时监理人可要求承包人提交全部原始记录副本。</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(2）监理人应按第3.5 款商定或确定追加的付款和（或）延长的工期，并在收到上述索赔通知书或有关索赔的进一步证明材料后的42天内，将索赔处理结果答复承包人。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(3）承包人接受索赔处理结果的，发包人应在作出索赔处理结果答复后28 天内完成赔付。承包人不接受索赔处理结果的，按第24条的约定办理。</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23.3.1 承包人按第17.5 款的约定接受了竣工付款证书后，应被认为已无权再提出在合同工程接收证书颁发前所发生的任何索赔。</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23.3.2 承包人按第17.6 款的约定提交的最终结清申请单中，只限于提出工程接收证书颁发后发生的索赔。提出索赔的期限自接受最终结清证书时终止。</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23.4.2 监理人按第3.5 款商定或确定发包人从承包人处得到赔付的金额和（或）缺陷责任期的延长期。承包人应付给发包人的金额可从拟支付给承包人的合同价款中扣除，或由承包人以其他方式支付给发包人。</w:t>
      </w:r>
    </w:p>
    <w:p>
      <w:pPr>
        <w:pStyle w:val="6"/>
        <w:spacing w:before="0" w:after="0" w:line="360" w:lineRule="exact"/>
        <w:ind w:firstLine="421" w:firstLineChars="200"/>
        <w:rPr>
          <w:rFonts w:hint="eastAsia" w:ascii="宋体" w:hAnsi="宋体" w:cs="宋体"/>
          <w:color w:val="auto"/>
          <w:sz w:val="21"/>
          <w:szCs w:val="21"/>
          <w:highlight w:val="none"/>
        </w:rPr>
      </w:pPr>
      <w:bookmarkStart w:id="1199" w:name="_Toc2333"/>
      <w:bookmarkStart w:id="1200" w:name="_Toc488492905"/>
      <w:bookmarkStart w:id="1201" w:name="_Toc290198771"/>
      <w:bookmarkStart w:id="1202" w:name="_Toc419825423"/>
      <w:bookmarkStart w:id="1203" w:name="_Toc490832360"/>
      <w:bookmarkStart w:id="1204" w:name="_Toc463799081"/>
      <w:bookmarkStart w:id="1205" w:name="_Toc488483677"/>
      <w:bookmarkStart w:id="1206" w:name="_Toc486685978"/>
      <w:bookmarkStart w:id="1207" w:name="_Toc419825075"/>
      <w:bookmarkStart w:id="1208" w:name="_Toc487653253"/>
      <w:r>
        <w:rPr>
          <w:rFonts w:hint="eastAsia" w:ascii="宋体" w:hAnsi="宋体" w:cs="宋体"/>
          <w:color w:val="auto"/>
          <w:sz w:val="21"/>
          <w:szCs w:val="21"/>
          <w:highlight w:val="none"/>
        </w:rPr>
        <w:t>24、争议的解决</w:t>
      </w:r>
      <w:bookmarkEnd w:id="1199"/>
      <w:bookmarkEnd w:id="1200"/>
      <w:bookmarkEnd w:id="1201"/>
      <w:bookmarkEnd w:id="1202"/>
      <w:bookmarkEnd w:id="1203"/>
      <w:bookmarkEnd w:id="1204"/>
      <w:bookmarkEnd w:id="1205"/>
      <w:bookmarkEnd w:id="1206"/>
      <w:bookmarkEnd w:id="1207"/>
      <w:bookmarkEnd w:id="120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(l）向约定的仲裁委员会申请仲裁；</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(2）向有管辖权的人民法院提起诉讼。</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友好解决</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在提请争议评审、仲裁或者诉讼前，以及在争议评审、仲裁或诉讼过程中，发包人和承包人均可共同努力友好协商解决争议。</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24.3.1 采用争议评审的，发包人和承包人应在开工日后的28天内或在争议发生后，协商成立争议评审组。争议评审组由有合同管理和工程实践经验的专家组成。</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24.3.3 被申请人在收到申请人评审申请报告副本后的28 天内，向争议评审组提交一份答辩报告，并附证明材料。被申请人应将答辩报告的副本同时提交给申请人和监理人。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24.3.6 发包人和承包人接受评审意见的，由监理人根据评审意见拟定执行协议，经争议双方签字后作为合同的补充文件，并遵照执行。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rFonts w:hint="eastAsia" w:ascii="宋体" w:hAnsi="宋体"/>
          <w:color w:val="auto"/>
          <w:highlight w:val="none"/>
        </w:rPr>
      </w:pPr>
      <w:bookmarkStart w:id="1209" w:name="_Toc490832361"/>
      <w:bookmarkStart w:id="1210" w:name="_Toc290198772"/>
      <w:r>
        <w:rPr>
          <w:rFonts w:hint="eastAsia" w:ascii="宋体" w:hAnsi="宋体"/>
          <w:color w:val="auto"/>
          <w:highlight w:val="none"/>
        </w:rPr>
        <w:t>第二节 专用合同条款</w:t>
      </w:r>
      <w:bookmarkEnd w:id="1209"/>
      <w:bookmarkEnd w:id="1210"/>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1" w:name="_Toc290198773"/>
      <w:r>
        <w:rPr>
          <w:rFonts w:hint="eastAsia" w:ascii="宋体" w:hAnsi="宋体" w:eastAsia="宋体" w:cs="宋体"/>
          <w:color w:val="auto"/>
          <w:sz w:val="21"/>
          <w:szCs w:val="21"/>
          <w:highlight w:val="none"/>
        </w:rPr>
        <w:t>1  一般约定</w:t>
      </w:r>
      <w:bookmarkEnd w:id="1211"/>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1.1.1.10补遗书：指发出招标文件之后由发包人向已取得招标文件的投标人发出的对招标文件补充或修改的书面文件。补遗书是招标文件的组成部分。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1.1.1.11  固定总价合同：在合同执行过程中，除约定的风险范围外，不得调整总价的合同。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1.1.1.12  固定单价合同：在合同执行过程中，除约定的风险范围外，合同工程量清单中不得调整单价的合同。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1.1.1.13询标及澄清文件：指招标投标过程中，招标人为完成招标工作，向对方所发出的询问及投标人澄清的书面文件，属于投标文件的组成部分。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1.1.2合同当事人和人员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1.1.2.8工程建设项目代理人：指受发包人委托，具有相应资质及法定代理资格，代表发包人负责管理本合同的企业法人。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1.1.2.9项目技术负责人：指由承包人按投标文件承诺派驻施工现场负责施工技术管理的总工程师或技术总负责人。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1.1.2.10发包人代表：指发包人为履行本合同指定的负责人。</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组成合同的各项文件应互相解释，互为说明，解释合同文件的优先顺序如下：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(1)合同履行中双方签署的书面文件；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(2)合同协议书；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(3)中标通知书；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(4)投标函及投标函附录；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(5)专用合同条款（含数据表和招标文件的澄清、修改和补充文件中有关内容）；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(6)通用合同条款；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(7)技术标准和要求；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(8)图纸；</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(9)已标价工程量清单；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(10)其他合同文件：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1.5.1合同价格和费用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本合同的承包价格和费用，包括承包人按照合同约定应当完成的全部合同范围内的工作及缺陷责任期内的全部工作。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承发包人按以下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方式确定承包合同价格：</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(1)固定总价合同；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(2)固定单价合同；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1.5.2合同生效的其他条件：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1.6.2承包人提供的文件：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1.7.3  各类往来书面函件的联络送达期限：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(1)邮件以“特快专递”、“挂号信函”方式邮寄，以收件人签收日期为准；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(2)传真、电子邮件以收件人发回确认回执日期为准；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(3)人工送达以收件人签收日期为准。</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1.8转让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1.8合同转让：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2" w:name="_Toc290198774"/>
      <w:r>
        <w:rPr>
          <w:rFonts w:hint="eastAsia" w:ascii="宋体" w:hAnsi="宋体" w:eastAsia="宋体" w:cs="宋体"/>
          <w:color w:val="auto"/>
          <w:sz w:val="21"/>
          <w:szCs w:val="21"/>
          <w:highlight w:val="none"/>
        </w:rPr>
        <w:t>2发包人义务</w:t>
      </w:r>
      <w:bookmarkEnd w:id="1212"/>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2.3提供施工场地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2.3.1发包人应在计划开工日期14天前，向承包人无偿提供能满足开工条件的施工作业面位置的施工水域或场地，提供的施工水域或场地面积，应满足招标文件的最低要求。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上述施工水域或场地应符合国家的有关规定，并已完成审批、征用、拆迁、补偿、障碍物清理等工作。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2.3.2发包人应在计划开工日期14天前，协助提供承包人生产、生活需要的临时施工水域或场地。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施工临时水域或场地：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2.3.3发包人应在计划开工日期14天前，协助承包人开通进出施工现场的交通通道，协助提供水、电、通讯的接点及施工船舶临时停泊水域并保证施工期间的畅通和完好。</w:t>
      </w:r>
    </w:p>
    <w:p>
      <w:p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水、电、通讯的接点及施工船舶临时停泊水域：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2.4协助承包人办理证件和批件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2.4.1协助处理施工场地周围地下管线和邻近建筑物、构筑物的保护工作。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2.4.2协助解决对承包人施工有干扰的外部条件。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2.5.1发包人应在计划开工日期14天前，组织设计单位向承包人进行设计交底。设计交底会应由发包人主持，设计单位、承包人、监理人和工程有关方面的人员参加，会后应形成会议纪要。</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2.8.1发包人应在合同协议书签署的同时任命发包人代表；发包人需更换其代表时，应至少提前10天书面通知承包人。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2.8.2发包人应协助承包人办理航行通告、抛泥区许可证等施工所需的各种手续。</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2.8.3发包人应在计划开工日期14天前向承包人提供与施工现场相关的工程地质和地下管线资料，工程地质报告以及交验测量的水准点、坐标控制点等技术资料，并对其提供的上述资料的真实性、准确性负责。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2.8.4发包人将工程款中的人工费（工资款）单独拨付到承包人在工程项目所在地银行开设的农民工工资专用账户，工资专户资金专项用于支付农民工工资。</w:t>
      </w:r>
    </w:p>
    <w:p>
      <w:pPr>
        <w:spacing w:line="36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2.8.5 发包人应</w:t>
      </w:r>
      <w:r>
        <w:rPr>
          <w:rFonts w:hint="eastAsia" w:ascii="宋体" w:hAnsi="宋体" w:cs="宋体"/>
          <w:bCs/>
          <w:color w:val="auto"/>
          <w:szCs w:val="21"/>
          <w:highlight w:val="none"/>
        </w:rPr>
        <w:t>按照《福建省水运工程施工标准化指南》要求，做好相关工作。</w:t>
      </w:r>
    </w:p>
    <w:p>
      <w:pPr>
        <w:spacing w:line="360" w:lineRule="exact"/>
        <w:ind w:firstLineChars="200"/>
        <w:rPr>
          <w:rFonts w:hint="eastAsia"/>
          <w:color w:val="auto"/>
          <w:highlight w:val="none"/>
        </w:rPr>
      </w:pPr>
      <w:r>
        <w:rPr>
          <w:rFonts w:hint="eastAsia" w:ascii="宋体" w:hAnsi="宋体" w:cs="宋体"/>
          <w:bCs/>
          <w:color w:val="auto"/>
          <w:szCs w:val="21"/>
          <w:highlight w:val="none"/>
        </w:rPr>
        <w:t xml:space="preserve">2.8.6 </w:t>
      </w:r>
      <w:r>
        <w:rPr>
          <w:rFonts w:hint="eastAsia" w:ascii="宋体" w:hAnsi="宋体" w:cs="宋体"/>
          <w:color w:val="auto"/>
          <w:szCs w:val="21"/>
          <w:highlight w:val="none"/>
        </w:rPr>
        <w:t>发包人应</w:t>
      </w:r>
      <w:r>
        <w:rPr>
          <w:rFonts w:hint="eastAsia" w:cs="Times New Roman"/>
          <w:bCs/>
          <w:color w:val="auto"/>
          <w:szCs w:val="21"/>
          <w:highlight w:val="none"/>
        </w:rPr>
        <w:t>按照有关要求开展工地党建工作。</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3" w:name="_Toc290198775"/>
      <w:r>
        <w:rPr>
          <w:rFonts w:hint="eastAsia" w:ascii="宋体" w:hAnsi="宋体" w:eastAsia="宋体" w:cs="宋体"/>
          <w:color w:val="auto"/>
          <w:sz w:val="21"/>
          <w:szCs w:val="21"/>
          <w:highlight w:val="none"/>
        </w:rPr>
        <w:t>3监理人</w:t>
      </w:r>
      <w:bookmarkEnd w:id="1213"/>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3.1.4监理人职责：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3.1.5监理人的权力：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4" w:name="_Toc290198776"/>
      <w:r>
        <w:rPr>
          <w:rFonts w:hint="eastAsia" w:ascii="宋体" w:hAnsi="宋体" w:eastAsia="宋体" w:cs="宋体"/>
          <w:color w:val="auto"/>
          <w:sz w:val="21"/>
          <w:szCs w:val="21"/>
          <w:highlight w:val="none"/>
        </w:rPr>
        <w:t>4承包人</w:t>
      </w:r>
      <w:bookmarkEnd w:id="1214"/>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 保证工程施工和人员的安全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4.1.5.1 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4.1.5.2承包人在高压线、水上、水下及地下管线、易燃、易爆地段或其他有害环境下施工时，施工前应提出安全保护措施，经监理人审查同意后实施。监理人的同意不能免除承包人应承担的责任。防护措施费用由承包人承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4.1.5.3施工现场发生安全事故时，承包人应立即采取有效措施，并将事故情况按规定上报有关部门并报告发包人与监理人。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4.1.10其他义务</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4.1.10.1  承包人应在开工3天前进驻施工场地，将开工所需施工船舶、机械、设备按照合同约定进场到位。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开工3天前进驻施工场地的施工船舶、机械、设备名称及数量：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4.1.10.2承包人按照批准的临时设施总平面布置图及相关生活配套设施，负责施工现场的布置和临时设施的施工。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4.1.10.3承包人应妥善处理好与工程其他承包人的配合关系。发生交叉施工时，承包人和工程其他承包人应互相配合，友好协作，并服从监理人的统一协调。</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4.1.10.4承包人应根据工程施工情况及监理人的指令，及时向监理人提交开工报告、测量报告、试验检验报告、隐蔽工程验收通知、工程质量自检报告、竣工验收申请报告及工程事故报告等。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4.1.10.5承包人应支付为获得施工许可证及到港船舶检验等有关证件所需的费用；办理应由承包人办理的施工所需的各种证件、批件和其他审批手续。</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4.1.10.6承包人应解决施工船舶的临时停泊设施并不得阻塞航道、妨碍进出港船舶航行及安全，保证船舶在施工水域内航行安全和畅通。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4.1.10.7承包人应采取一切措施，防止施工船舶、设备及材料的沉没。若发生沉没时，应立即向有关部门报告，并及时通知发包人、监理人。承包人应采取得当措施，及时设置浮标或障碍指示灯，直至打捞工作完成为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4.1.10.8承包人应充分考虑到施工现场所有的设备、临时建筑等防火安全，配备足够的防火设备。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4.1.10.9承包人应在施工过程中对工程进行监测，并承担相应费用。</w:t>
      </w:r>
    </w:p>
    <w:p>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4.1.10.10按照《福建省水运工程施工标准化指南》“三三三”施工标准化管理模式的要求，做好</w:t>
      </w:r>
      <w:r>
        <w:rPr>
          <w:rFonts w:ascii="宋体" w:hAnsi="宋体" w:cs="宋体"/>
          <w:bCs/>
          <w:color w:val="auto"/>
          <w:szCs w:val="21"/>
          <w:highlight w:val="none"/>
        </w:rPr>
        <w:t>工地建设“三集中”、质量控制“三强化”、安全措施“三到位”</w:t>
      </w:r>
      <w:r>
        <w:rPr>
          <w:rFonts w:hint="eastAsia" w:ascii="宋体" w:hAnsi="宋体" w:cs="宋体"/>
          <w:bCs/>
          <w:color w:val="auto"/>
          <w:szCs w:val="21"/>
          <w:highlight w:val="none"/>
        </w:rPr>
        <w:t>等工作【全省大中型水运在建工程项目（暂定标段合同价1亿元及以上项目和连片开发标段）在投标报价时应充分考虑该部分费用，并在综合单价内体现】。</w:t>
      </w:r>
    </w:p>
    <w:p>
      <w:pPr>
        <w:wordWrap w:val="0"/>
        <w:spacing w:before="63" w:beforeLines="20" w:after="63" w:afterLines="20"/>
        <w:ind w:firstLine="420" w:firstLineChars="200"/>
        <w:outlineLvl w:val="4"/>
        <w:rPr>
          <w:rFonts w:hint="eastAsia"/>
          <w:bCs/>
          <w:color w:val="auto"/>
          <w:szCs w:val="21"/>
          <w:highlight w:val="none"/>
        </w:rPr>
      </w:pPr>
      <w:r>
        <w:rPr>
          <w:rFonts w:hint="eastAsia"/>
          <w:bCs/>
          <w:color w:val="auto"/>
          <w:szCs w:val="21"/>
          <w:highlight w:val="none"/>
        </w:rPr>
        <w:t>4.1.10 承包人按照有关要求开展工地党建工作。</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4.3.6分包：</w:t>
      </w:r>
      <w:r>
        <w:rPr>
          <w:rFonts w:hint="eastAsia" w:ascii="宋体" w:hAnsi="宋体" w:cs="宋体"/>
          <w:color w:val="auto"/>
          <w:szCs w:val="21"/>
          <w:highlight w:val="none"/>
          <w:u w:val="single"/>
        </w:rPr>
        <w:t xml:space="preserve">                                。</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4.6承包人人员的管理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4.6.4 .1船员的管理：承包人应按规定配备船员，并保证其持有有效的岗位证书。</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wordWrap w:val="0"/>
        <w:spacing w:before="63" w:beforeLines="20" w:after="63" w:afterLines="20"/>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4.9.1 发包人按合同约定支付给承包人的各项价款应专用于合同工程。承包人应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4.9.2承包人应创建“无欠薪项目部”，实行人工费（工资款）与其他工程款分账管理，承包人应分解工程价款中的人工费（工资款），并在工程项目所在地银行开设工资专户。发包人应按照本合同约定的比例或承包人提供的人工费用数额，将应付工程款中的人工费单独拨付到承包人开设的民工工资专用账户，工资专户资金专项用于支付农民工工资。施工总承包企业应于工资专户开设后5个工作日内向项目所在地人力资源社会保障部门和交通运输（港口）主管部门报备工资专户有关信息。开户银行负责专户资金日常监管， 开户银行发现账户资金不足、被挪用等情况，应及时向人力资源社会保障部门和交通运输（港口）主管部门报告。</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5" w:name="_Toc290198777"/>
      <w:r>
        <w:rPr>
          <w:rFonts w:hint="eastAsia" w:ascii="宋体" w:hAnsi="宋体" w:eastAsia="宋体" w:cs="宋体"/>
          <w:color w:val="auto"/>
          <w:sz w:val="21"/>
          <w:szCs w:val="21"/>
          <w:highlight w:val="none"/>
        </w:rPr>
        <w:t>6施工设备和临时设施</w:t>
      </w:r>
      <w:bookmarkEnd w:id="1215"/>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发包人在本合同工程中应提供的施工设备和临时设施：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 搅拌站管理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6.3.1 承包人建设项目临时搅拌站的，应编写搅拌站建设方案，建设完成后报监理验收，经监理验收后报业主备案同意，不符合要求的不得进行生产。</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 项目临时搅拌站混凝土实际日生产能力应与需求量相适应，专供项目，不得对外生产、销售混凝土。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6.3.3 项目完工后，应立即拆除临时拌合站。交通主管部门责令拆除，施工企业拒不拆除的，其不良行为记入公路水路建设市场信用评价管理系统或信用交通福建系统。</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6" w:name="_Toc290198778"/>
      <w:r>
        <w:rPr>
          <w:rFonts w:hint="eastAsia" w:ascii="宋体" w:hAnsi="宋体" w:eastAsia="宋体" w:cs="宋体"/>
          <w:color w:val="auto"/>
          <w:sz w:val="21"/>
          <w:szCs w:val="21"/>
          <w:highlight w:val="none"/>
        </w:rPr>
        <w:t>7交通运输</w:t>
      </w:r>
      <w:bookmarkEnd w:id="1216"/>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7.4.1超大、超宽、超重物件的运输：</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7" w:name="_Toc290198779"/>
      <w:r>
        <w:rPr>
          <w:rFonts w:hint="eastAsia" w:ascii="宋体" w:hAnsi="宋体" w:eastAsia="宋体" w:cs="宋体"/>
          <w:color w:val="auto"/>
          <w:sz w:val="21"/>
          <w:szCs w:val="21"/>
          <w:highlight w:val="none"/>
        </w:rPr>
        <w:t>8测量放线</w:t>
      </w:r>
      <w:bookmarkEnd w:id="1217"/>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8.1.1.1 发包人应在计划开工日期14天前，通过监理人向承包人提供符合国家有关规定的测量基准点、基准线和水准点。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8.1.1.2承包人应在计划开工日期7天前，将施工控制网资料报送监理人。</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8" w:name="_Toc290198780"/>
      <w:r>
        <w:rPr>
          <w:rFonts w:hint="eastAsia" w:ascii="宋体" w:hAnsi="宋体" w:eastAsia="宋体" w:cs="宋体"/>
          <w:color w:val="auto"/>
          <w:sz w:val="21"/>
          <w:szCs w:val="21"/>
          <w:highlight w:val="none"/>
        </w:rPr>
        <w:t>9施工安全、治安保卫和环境保护</w:t>
      </w:r>
      <w:bookmarkEnd w:id="121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9.2.8  承包人应对施工船舶、机械、设备、仪器等进行定期检查，消除隐患，并取得有关部门的检验许可证明。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9.2.9  承包人应按有关要求，设置施工水域的警示标志和施工船舶夜间警示标志。</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9.2.10  承包人应对施工现场的供电、消防、基坑开挖、水下作业、爆破、不良工程地质以及施工通航等制定专项的措施及应急预案，并报监理人审查同意。发包人或监理人的认可不能免除承包人所应承担的责任。</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9.4.7承包人应严格执行国家有关水域环境生态保护的规定，合理选择施工船机和施工工艺，采取有效措施，减少施工对周边水域和环境的影响。发包人及承包人应严格落实环境保护“三同时”制度。 </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19" w:name="_Toc290198781"/>
      <w:r>
        <w:rPr>
          <w:rFonts w:hint="eastAsia" w:ascii="宋体" w:hAnsi="宋体" w:eastAsia="宋体" w:cs="宋体"/>
          <w:color w:val="auto"/>
          <w:sz w:val="21"/>
          <w:szCs w:val="21"/>
          <w:highlight w:val="none"/>
        </w:rPr>
        <w:t>10进度计划</w:t>
      </w:r>
      <w:bookmarkEnd w:id="1219"/>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10.1.1  承包人应在计划开工日期7天前，向发包人和监理人报送施工组织设计；监理人应在7天内批复或提出修改意见，否则视为已得到批准。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10.1.2承包人应在每季度末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日前，向监理人报送下季度计划一式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日前向监理人报送下个月度计划一式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10.2.1承包人应在48小时前向监理人提交修订合同进度计划的申请报告；监理人应在48小时内对承包人提交的申请报告批复，否则视为已得到批准。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10.2.2对非承包人自身原因每月累计停水或停电不超过48小时的情况，施工组织设计中应有相应的保证措施。承包人不得因此顺延工期。</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0" w:name="_Toc290198782"/>
      <w:r>
        <w:rPr>
          <w:rFonts w:hint="eastAsia" w:ascii="宋体" w:hAnsi="宋体" w:eastAsia="宋体" w:cs="宋体"/>
          <w:color w:val="auto"/>
          <w:sz w:val="21"/>
          <w:szCs w:val="21"/>
          <w:highlight w:val="none"/>
        </w:rPr>
        <w:t>11  开工和竣工</w:t>
      </w:r>
      <w:bookmarkEnd w:id="1220"/>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11.1开工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11.1.3分项工程的开工应事先得到监理人的书面同意，承包人应提前48小时将申请开工的书面通知报送监理人，监理人应在收到通知48小时内予以书面答复，否则视为同意。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 1.4承包人不能按期开工时，应在接到开工令24小时内向监理人提出延期开工申请报告，监理人应在接到报告24小时内作出答复。若监理人在24小时内同意或未予答复，工期相应顺延；若监理人不同意延期要求，则工期不予顺延。</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11.2.1  重要节点工期：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11.4.1异常恶劣的气候条件是指水运工程水域施工作业难以正常进行或须采取其他补救措施才能进行的气候条件。一般是指：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(1)持续高温：连续三日日最高气温38℃以上；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(2)持续低温：连续三日日最低气温-20 ℃以下；</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(3)大风天气：施工水域日风力在6级及以上且持续时间不少于4小时，或阵风大于8级；</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(4)暴雨天气：日降雨量50mm及以上，或降雨强度大于20 mm/h；</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(5)暴雪天气：日降雪量10mm及以上；</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(6)流速或波浪：内河3.5米/秒及以上流速，海上2米及以上的大浪和强浪；</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(7)水淹：施工场地大部或全部被潮水、洪水或雨水淹没超过1天；</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(8)大雾：定点施工船舶能见度小于50米的雾天超过1天；运动船舶按有关规定。</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11.5.1由于承包人原因造成工期延误，承包人应向发包人支付逾期竣工违约金。</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逾期竣工违约金的计算方法为：</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工期延误天数×Pl，其中Pl：</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逾期竣工违约金累计最高不得超过总合同价款的5%。</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11.5.2 由于承包人原因造成工期延误达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天，发包人有权按约定要求和条件解除合同，双方约定：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由于发包人原因造成工期延误达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天，承包人有权按约定要求和条件解除合同，双方约定：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11.6.1发包人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（同意或不同意）向承包人支付提前工期奖。</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提前工期奖金的计算方法为：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工期提前天数×P2，其中P2：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提前工期奖金累计最高不得超过总合同价款的5%。</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1" w:name="_Toc290198783"/>
      <w:r>
        <w:rPr>
          <w:rFonts w:hint="eastAsia" w:ascii="宋体" w:hAnsi="宋体" w:eastAsia="宋体" w:cs="宋体"/>
          <w:color w:val="auto"/>
          <w:sz w:val="21"/>
          <w:szCs w:val="21"/>
          <w:highlight w:val="none"/>
        </w:rPr>
        <w:t>12暂停施工</w:t>
      </w:r>
      <w:bookmarkEnd w:id="1221"/>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spacing w:line="3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12.1.1承包人承担的其他暂停施工：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2" w:name="_Toc290198784"/>
      <w:r>
        <w:rPr>
          <w:rFonts w:hint="eastAsia" w:ascii="宋体" w:hAnsi="宋体" w:eastAsia="宋体" w:cs="宋体"/>
          <w:color w:val="auto"/>
          <w:sz w:val="21"/>
          <w:szCs w:val="21"/>
          <w:highlight w:val="none"/>
        </w:rPr>
        <w:t>13工程质量</w:t>
      </w:r>
      <w:bookmarkEnd w:id="1222"/>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13.1.4质量标准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(1)现行水运工程质量检验标准；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(2)其他现行工程质量检验标准；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(3)以上标准如有修订，按新修订的标准执行。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13.1.5质量目标</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本工程质量目标：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13.5.1  通知监理人检查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自检合格后，填写隐蔽工程验收申请单，在覆盖前48小时，通知监理人进行验收；监理人在接到通知48小时内进行验收。经监理人验收合格并在验收记录上签认后，承包人可进行覆盖和继续施工；若验收不合格，承包人应按监理人的要求整改并重新申请验收。未经验收的，不得继续施工，否则，发包人或监理人有权按不合格要求整改并重新申请验收。</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3" w:name="_Toc290198785"/>
      <w:r>
        <w:rPr>
          <w:rFonts w:hint="eastAsia" w:ascii="宋体" w:hAnsi="宋体" w:eastAsia="宋体" w:cs="宋体"/>
          <w:color w:val="auto"/>
          <w:sz w:val="21"/>
          <w:szCs w:val="21"/>
          <w:highlight w:val="none"/>
        </w:rPr>
        <w:t>14试验和检验</w:t>
      </w:r>
      <w:bookmarkEnd w:id="1223"/>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14.1.4材料、构件、配件和工程设备订货前，承包人应向监理人提供生产厂家的生产许可证和相应资质证明文件等材料，对新材料、新产品还应提供鉴定证明和有关确认文件。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（进行或不进行）考察，考察内容和方式：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14.1.5  承包人与监理人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（进行或不进行）共同试验或检验，共同试验或检验的内容和方式：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14.2现场材料试验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14.2.3承包人应配备工地试验室的试验设备、器材的及相应技术人员要求：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14.2.4承包人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（试验检验单位名称）进行试验检验。</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14.2 5发包人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（试验检验单位名称）进行第三方试验检验。</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4" w:name="_Toc290198786"/>
      <w:r>
        <w:rPr>
          <w:rFonts w:hint="eastAsia" w:ascii="宋体" w:hAnsi="宋体" w:eastAsia="宋体" w:cs="宋体"/>
          <w:color w:val="auto"/>
          <w:sz w:val="21"/>
          <w:szCs w:val="21"/>
          <w:highlight w:val="none"/>
        </w:rPr>
        <w:t>15变更</w:t>
      </w:r>
      <w:bookmarkEnd w:id="1224"/>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spacing w:line="36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(6)工程量清单中某单项工程量的变化幅度超过20%，且对合同总价影响幅度超过2%时，应调整该工程量清单项目的综合单价。</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15.5.2承包人提出的合理化建议经实施后，按其节省费用的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%奖励承包人。</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5" w:name="_Toc290198787"/>
      <w:r>
        <w:rPr>
          <w:rFonts w:hint="eastAsia" w:ascii="宋体" w:hAnsi="宋体" w:eastAsia="宋体" w:cs="宋体"/>
          <w:color w:val="auto"/>
          <w:sz w:val="21"/>
          <w:szCs w:val="21"/>
          <w:highlight w:val="none"/>
        </w:rPr>
        <w:t>16价格调整</w:t>
      </w:r>
      <w:bookmarkEnd w:id="1225"/>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16.1.3物价波动引起的价格调整方法：</w:t>
      </w:r>
    </w:p>
    <w:p>
      <w:pPr>
        <w:numPr>
          <w:ilvl w:val="0"/>
          <w:numId w:val="14"/>
        </w:num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主要材料价格变化幅度超过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%的部分调整材料价差，并计列相应的税金、教育附加费和城市建设维护费；</w:t>
      </w:r>
    </w:p>
    <w:p>
      <w:pPr>
        <w:numPr>
          <w:ilvl w:val="0"/>
          <w:numId w:val="14"/>
        </w:num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主要材料名称：</w:t>
      </w:r>
      <w:r>
        <w:rPr>
          <w:rFonts w:hint="eastAsia" w:ascii="宋体" w:hAnsi="宋体" w:cs="宋体"/>
          <w:color w:val="auto"/>
          <w:szCs w:val="21"/>
          <w:highlight w:val="none"/>
          <w:u w:val="single"/>
        </w:rPr>
        <w:t xml:space="preserve">                           ；</w:t>
      </w:r>
    </w:p>
    <w:p>
      <w:pPr>
        <w:numPr>
          <w:ilvl w:val="0"/>
          <w:numId w:val="14"/>
        </w:num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主要材料基准价格：投标截止前28天，工程所在地建设主管部门公布的信息价格；</w:t>
      </w:r>
    </w:p>
    <w:p>
      <w:pPr>
        <w:numPr>
          <w:ilvl w:val="0"/>
          <w:numId w:val="14"/>
        </w:num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结算期主要材料价格：工程计量前28天，工程所在地建设主管部门公布的信息价格；</w:t>
      </w:r>
    </w:p>
    <w:p>
      <w:pPr>
        <w:numPr>
          <w:ilvl w:val="0"/>
          <w:numId w:val="14"/>
        </w:numPr>
        <w:tabs>
          <w:tab w:val="left" w:pos="0"/>
          <w:tab w:val="left" w:pos="567"/>
          <w:tab w:val="left" w:pos="993"/>
          <w:tab w:val="left" w:pos="1134"/>
        </w:tabs>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工程所在地无建设主管部门公布的信息价格时：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6" w:name="_Toc290198788"/>
      <w:r>
        <w:rPr>
          <w:rFonts w:hint="eastAsia" w:ascii="宋体" w:hAnsi="宋体" w:eastAsia="宋体" w:cs="宋体"/>
          <w:color w:val="auto"/>
          <w:sz w:val="21"/>
          <w:szCs w:val="21"/>
          <w:highlight w:val="none"/>
        </w:rPr>
        <w:t>17计量与支付</w:t>
      </w:r>
      <w:bookmarkEnd w:id="1226"/>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17.1.6承包人应将月度计量报表于每月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日前报监理人一式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17.2.1.1 施工合同签订生效28天内，或计划开工日期前，发包人向承包人支付工程预付款。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本工程预付款为合同总价的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%，承包人信用考核等级为A级及以上时，可适当提高预付款比例，为合同总价的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17.2.2预付款保函</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17.2.2.1在发包人向承包人支付预付款48小时前，承包人须向发包人提价等额的预付款保函；预付款保函应由在中华人民共和国境内注册的金融机构出具。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17.2.3预付款的扣回和还清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17.2.3.1 当工程进度款累计支付比例达到合同总价的20%时，开始扣回预付款，工程进度款累计支付至80%时扣清，中间每期扣回比例相同。</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17.3.5 工程进度款支付的方式和时间：按照月度工程计量的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%（不少于80%）支付；当工程款支付达到合同总价的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%（不少于80%）时，停止支付；待工程全部竣工验收合格后支付至全部工程结算值的97%；尾款3%待工程缺陷责任期满60天内付清，尾款不计利息。</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17.3.6 若发包人在合同约定的支付限期满14天后未予支付，承包人可向发包人发出催付款的通知，发包人在收到承包人通知后仍不能按要求支付，承包人可在发出催付款通知14天后暂停施工，发包人承担延期支付的利息和违约责任及停工损失。</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pPr>
        <w:spacing w:line="360" w:lineRule="exact"/>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17.4.1本项目质量保证金为合同金额的3%。</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17.6.1最终结清申请单</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(3)缺陷责任期终止证书签发后，承包人应在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天内向监理人提交最终结清申请单一式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7" w:name="_Toc290198789"/>
      <w:r>
        <w:rPr>
          <w:rFonts w:hint="eastAsia" w:ascii="宋体" w:hAnsi="宋体" w:eastAsia="宋体" w:cs="宋体"/>
          <w:color w:val="auto"/>
          <w:sz w:val="21"/>
          <w:szCs w:val="21"/>
          <w:highlight w:val="none"/>
        </w:rPr>
        <w:t>18竣工验收</w:t>
      </w:r>
      <w:bookmarkEnd w:id="1227"/>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18.1.4承包人应在竣工验收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天前，向发包人提供竣工资料一式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份,声像资料一式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pacing w:line="360" w:lineRule="exact"/>
        <w:ind w:firstLine="421" w:firstLineChars="200"/>
        <w:rPr>
          <w:rFonts w:hint="eastAsia" w:ascii="宋体" w:hAnsi="宋体" w:cs="宋体"/>
          <w:b/>
          <w:bCs/>
          <w:color w:val="auto"/>
          <w:szCs w:val="21"/>
          <w:highlight w:val="none"/>
        </w:rPr>
      </w:pP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28" w:name="_Toc290198790"/>
      <w:r>
        <w:rPr>
          <w:rFonts w:hint="eastAsia" w:ascii="宋体" w:hAnsi="宋体" w:eastAsia="宋体" w:cs="宋体"/>
          <w:color w:val="auto"/>
          <w:sz w:val="21"/>
          <w:szCs w:val="21"/>
          <w:highlight w:val="none"/>
        </w:rPr>
        <w:t>19  缺陷责任与保修责任</w:t>
      </w:r>
      <w:bookmarkEnd w:id="1228"/>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19.1.1缺陷责任期从工程竣工之日起算，分别为：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(1)疏浚工程不设缺陷责任期；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(2)水工工程缺陷责任期为一年；</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0" w:firstLineChars="200"/>
        <w:rPr>
          <w:rFonts w:ascii="宋体" w:hAnsi="宋体"/>
          <w:b w:val="0"/>
          <w:color w:val="auto"/>
          <w:sz w:val="21"/>
          <w:szCs w:val="21"/>
          <w:highlight w:val="none"/>
        </w:rPr>
      </w:pPr>
      <w:r>
        <w:rPr>
          <w:rFonts w:ascii="宋体" w:hAnsi="宋体"/>
          <w:b w:val="0"/>
          <w:color w:val="auto"/>
          <w:sz w:val="21"/>
          <w:szCs w:val="21"/>
          <w:highlight w:val="none"/>
        </w:rPr>
        <w:t xml:space="preserve">21. </w:t>
      </w:r>
      <w:r>
        <w:rPr>
          <w:rFonts w:hint="eastAsia" w:ascii="宋体" w:hAnsi="宋体" w:eastAsia="宋体" w:cs="宋体"/>
          <w:color w:val="auto"/>
          <w:sz w:val="21"/>
          <w:szCs w:val="21"/>
          <w:highlight w:val="none"/>
        </w:rPr>
        <w:t>不可抗力</w:t>
      </w:r>
    </w:p>
    <w:p>
      <w:pPr>
        <w:pStyle w:val="7"/>
        <w:spacing w:before="0" w:after="0" w:line="360" w:lineRule="exact"/>
        <w:ind w:firstLine="420" w:firstLineChars="200"/>
        <w:rPr>
          <w:rFonts w:hint="eastAsia" w:ascii="宋体" w:hAnsi="宋体"/>
          <w:b w:val="0"/>
          <w:color w:val="auto"/>
          <w:sz w:val="21"/>
          <w:szCs w:val="21"/>
          <w:highlight w:val="none"/>
        </w:rPr>
      </w:pPr>
      <w:bookmarkStart w:id="1229" w:name="_Toc239696372"/>
      <w:r>
        <w:rPr>
          <w:rFonts w:ascii="宋体" w:hAnsi="宋体"/>
          <w:b w:val="0"/>
          <w:color w:val="auto"/>
          <w:sz w:val="21"/>
          <w:szCs w:val="21"/>
          <w:highlight w:val="none"/>
        </w:rPr>
        <w:t xml:space="preserve">21.1 </w:t>
      </w:r>
      <w:r>
        <w:rPr>
          <w:rFonts w:hint="eastAsia" w:ascii="宋体" w:hAnsi="宋体" w:eastAsia="宋体" w:cs="宋体"/>
          <w:color w:val="auto"/>
          <w:sz w:val="21"/>
          <w:szCs w:val="21"/>
          <w:highlight w:val="none"/>
        </w:rPr>
        <w:t>不可抗力的确认</w:t>
      </w:r>
      <w:bookmarkEnd w:id="1229"/>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  自然灾害仅包括：十二级及以上台风、烈度为七度（地震加速度0.15g）以上地震，并以当地气象、地震部门发布的消息为准。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21.3.1 </w:t>
      </w:r>
      <w:r>
        <w:rPr>
          <w:rFonts w:hint="eastAsia" w:ascii="宋体" w:hAnsi="宋体" w:cs="宋体"/>
          <w:color w:val="auto"/>
          <w:szCs w:val="21"/>
          <w:highlight w:val="none"/>
        </w:rPr>
        <w:t>不可抗力造成损害的责任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不可抗力导致的人员伤亡、财产损失、费用增加和（或）工期延误等后果，由合同双方按以下原则承担：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）永久工程和因工程损害造成的第三者人员伤亡和财产损失由发包人承担；已运至施工场地的材料的损害由承包人承担。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）承包人设备的损坏由承包人承担；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）发包人和承包人各自承担其人员伤亡和其他财产损失及其相关费用；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）承包人的停工损失由承包人承担，停工期间应监理人要求照管工程和清理的金额由承包人承担；</w:t>
      </w:r>
    </w:p>
    <w:p>
      <w:pPr>
        <w:spacing w:line="36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）不能按期竣（交）工的，应合理延长工期，承包人不需支付逾期竣（交）工违约金</w:t>
      </w:r>
      <w:r>
        <w:rPr>
          <w:rFonts w:hint="eastAsia" w:ascii="宋体" w:hAnsi="宋体"/>
          <w:color w:val="auto"/>
          <w:szCs w:val="21"/>
          <w:highlight w:val="none"/>
        </w:rPr>
        <w:t>。</w:t>
      </w:r>
    </w:p>
    <w:p>
      <w:pPr>
        <w:pStyle w:val="7"/>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 </w:t>
      </w:r>
      <w:r>
        <w:rPr>
          <w:rFonts w:hint="eastAsia" w:ascii="宋体" w:hAnsi="宋体" w:eastAsia="宋体" w:cs="宋体"/>
          <w:color w:val="auto"/>
          <w:sz w:val="21"/>
          <w:szCs w:val="21"/>
          <w:highlight w:val="none"/>
        </w:rPr>
        <w:t>违约</w:t>
      </w:r>
    </w:p>
    <w:p>
      <w:pPr>
        <w:pStyle w:val="7"/>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22.1 </w:t>
      </w:r>
      <w:r>
        <w:rPr>
          <w:rFonts w:hint="eastAsia" w:ascii="宋体" w:hAnsi="宋体" w:eastAsia="宋体" w:cs="宋体"/>
          <w:color w:val="auto"/>
          <w:sz w:val="21"/>
          <w:szCs w:val="21"/>
          <w:highlight w:val="none"/>
        </w:rPr>
        <w:t>承包人违约</w:t>
      </w:r>
    </w:p>
    <w:p>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22.1.1 </w:t>
      </w:r>
      <w:r>
        <w:rPr>
          <w:rFonts w:hint="eastAsia" w:ascii="宋体" w:hAnsi="宋体" w:cs="宋体"/>
          <w:color w:val="auto"/>
          <w:szCs w:val="21"/>
          <w:highlight w:val="none"/>
        </w:rPr>
        <w:t>承包人违约的情形</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）承包人不按合同约定或投标文件的承诺履行义务的其他情况。</w:t>
      </w:r>
    </w:p>
    <w:p>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22.1.2 </w:t>
      </w:r>
      <w:r>
        <w:rPr>
          <w:rFonts w:hint="eastAsia" w:ascii="宋体" w:hAnsi="宋体" w:cs="宋体"/>
          <w:color w:val="auto"/>
          <w:szCs w:val="21"/>
          <w:highlight w:val="none"/>
        </w:rPr>
        <w:t>对承包人违约的处理</w:t>
      </w:r>
    </w:p>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（4）施工中因承包人原因造成工程重大损失的，承包人应修复，无法修复时承包人应赔偿由此给发包人造成的损失。</w:t>
      </w:r>
    </w:p>
    <w:p>
      <w:pPr>
        <w:spacing w:line="30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（5）未经发包人、监理人同意，本工程的项目经理、技术负责人擅自离开现场的，按每天每人次人民币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元向承包人处罚；经发包人、监理人同意后在不影响工作前提下方可离开现场。无论发包人、监理人同意与否，承包人在施工期间更换本工程项目经理、技术负责人，每更换一人次，罚款人民币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未经项目法人书面同意，投标承诺的项目经理、技术负责人不得更换；若有更换，项目经理、技术负责人不得低于投标时的人员资格标准。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因承包人原因，施工主要船舶、机械设备未按4.1.10.1款的约定或投标文件中承诺的时间安排到位，每台每延期一天到位，承包人必须向发包人赔偿人民币2万元；如施工中主要船舶、机械设备未经允许擅自临时外调或退场，承包人必须向发包人赔偿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元/台·天；上述赔偿款从当月工程进度款中扣除。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（7）上述承包人的罚款和赔偿款，从发包人支付的当月的进度款中扣减。</w:t>
      </w:r>
    </w:p>
    <w:p>
      <w:pPr>
        <w:pStyle w:val="7"/>
        <w:spacing w:before="0" w:after="0" w:line="360" w:lineRule="exact"/>
        <w:ind w:firstLine="421" w:firstLineChars="200"/>
        <w:rPr>
          <w:rFonts w:hint="eastAsia" w:ascii="宋体" w:hAnsi="宋体" w:eastAsia="宋体" w:cs="宋体"/>
          <w:color w:val="auto"/>
          <w:sz w:val="21"/>
          <w:szCs w:val="21"/>
          <w:highlight w:val="none"/>
        </w:rPr>
      </w:pPr>
      <w:bookmarkStart w:id="1230" w:name="_Toc290198791"/>
      <w:r>
        <w:rPr>
          <w:rFonts w:hint="eastAsia" w:ascii="宋体" w:hAnsi="宋体" w:eastAsia="宋体" w:cs="宋体"/>
          <w:color w:val="auto"/>
          <w:sz w:val="21"/>
          <w:szCs w:val="21"/>
          <w:highlight w:val="none"/>
        </w:rPr>
        <w:t>25其他约定</w:t>
      </w:r>
      <w:bookmarkEnd w:id="1230"/>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合同当事人和人员</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25.1.1 监理人施工现场派出机构：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25.1.2 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25.1.3 工程建设项目代理人：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25.1.4 项目技术负责人：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25.1.5 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工程和占地</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25.2.1 永久工程：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25.2.2 临时工程：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25.2.3 永久占地：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25.2.4 临时占地：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日期</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25.3.1 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25.3.2 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7"/>
        <w:spacing w:before="0" w:after="0" w:line="360" w:lineRule="exact"/>
        <w:ind w:firstLine="421"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其他</w:t>
      </w:r>
    </w:p>
    <w:p>
      <w:pPr>
        <w:adjustRightInd w:val="0"/>
        <w:snapToGrid w:val="0"/>
        <w:spacing w:line="360" w:lineRule="auto"/>
        <w:ind w:firstLine="472" w:firstLineChars="225"/>
        <w:rPr>
          <w:rFonts w:hint="eastAsia" w:ascii="宋体" w:hAnsi="宋体"/>
          <w:color w:val="auto"/>
          <w:szCs w:val="21"/>
          <w:highlight w:val="none"/>
          <w:u w:val="single"/>
        </w:rPr>
      </w:pPr>
    </w:p>
    <w:p>
      <w:pPr>
        <w:spacing w:line="360" w:lineRule="auto"/>
        <w:ind w:firstLine="420" w:firstLineChars="200"/>
        <w:rPr>
          <w:rFonts w:hint="eastAsia"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rFonts w:hint="eastAsia" w:ascii="宋体" w:hAnsi="宋体"/>
          <w:color w:val="auto"/>
          <w:highlight w:val="none"/>
        </w:rPr>
      </w:pPr>
      <w:bookmarkStart w:id="1231" w:name="_Toc290198792"/>
      <w:bookmarkStart w:id="1232" w:name="_Toc490832362"/>
      <w:r>
        <w:rPr>
          <w:rFonts w:hint="eastAsia" w:ascii="宋体" w:hAnsi="宋体"/>
          <w:color w:val="auto"/>
          <w:highlight w:val="none"/>
        </w:rPr>
        <w:t>第三节 合同附件格式</w:t>
      </w:r>
      <w:bookmarkEnd w:id="1231"/>
      <w:bookmarkEnd w:id="1232"/>
    </w:p>
    <w:p>
      <w:pPr>
        <w:pStyle w:val="7"/>
        <w:spacing w:before="120" w:after="120" w:line="377" w:lineRule="auto"/>
        <w:jc w:val="left"/>
        <w:rPr>
          <w:color w:val="auto"/>
          <w:highlight w:val="none"/>
        </w:rPr>
      </w:pPr>
      <w:r>
        <w:rPr>
          <w:rFonts w:hint="eastAsia"/>
          <w:color w:val="auto"/>
          <w:highlight w:val="none"/>
        </w:rPr>
        <w:t>附件一：合同协议书</w:t>
      </w:r>
    </w:p>
    <w:p>
      <w:pPr>
        <w:spacing w:after="156" w:afterLines="5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合同协议书</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 xml:space="preserve"> ）为实施</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（承包人名称，以下简称“承包人</w:t>
      </w:r>
      <w:r>
        <w:rPr>
          <w:rFonts w:ascii="宋体" w:hAnsi="宋体"/>
          <w:color w:val="auto"/>
          <w:szCs w:val="21"/>
          <w:highlight w:val="none"/>
        </w:rPr>
        <w:t>”</w:t>
      </w:r>
      <w:r>
        <w:rPr>
          <w:rFonts w:hint="eastAsia" w:ascii="宋体" w:hAnsi="宋体"/>
          <w:color w:val="auto"/>
          <w:szCs w:val="21"/>
          <w:highlight w:val="none"/>
        </w:rPr>
        <w:t xml:space="preserve"> ）对该项目</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标段施工的投标。发包人和承包人共同达成如下协议。</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1．本协议书与下列文件一起构成合同文件：</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合同履行中双方签署的书面文件；</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中标通知书；</w:t>
      </w:r>
    </w:p>
    <w:p>
      <w:pPr>
        <w:pStyle w:val="75"/>
        <w:numPr>
          <w:ilvl w:val="0"/>
          <w:numId w:val="15"/>
        </w:numPr>
        <w:spacing w:line="360" w:lineRule="exact"/>
        <w:ind w:firstLineChars="0"/>
        <w:jc w:val="left"/>
        <w:rPr>
          <w:rFonts w:hint="eastAsia"/>
          <w:color w:val="auto"/>
          <w:szCs w:val="21"/>
          <w:highlight w:val="none"/>
        </w:rPr>
      </w:pPr>
      <w:r>
        <w:rPr>
          <w:rFonts w:hint="eastAsia"/>
          <w:color w:val="auto"/>
          <w:szCs w:val="21"/>
          <w:highlight w:val="none"/>
        </w:rPr>
        <w:t>投标函及投标函附录；</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专用合同条款；</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通用合同条款；</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技术标准和要求；</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图纸；</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已标价工程量清单；</w:t>
      </w:r>
    </w:p>
    <w:p>
      <w:pPr>
        <w:pStyle w:val="75"/>
        <w:numPr>
          <w:ilvl w:val="0"/>
          <w:numId w:val="15"/>
        </w:numPr>
        <w:spacing w:line="360" w:lineRule="exact"/>
        <w:ind w:firstLineChars="0"/>
        <w:rPr>
          <w:rFonts w:hint="eastAsia"/>
          <w:color w:val="auto"/>
          <w:szCs w:val="21"/>
          <w:highlight w:val="none"/>
        </w:rPr>
      </w:pPr>
      <w:r>
        <w:rPr>
          <w:rFonts w:hint="eastAsia"/>
          <w:color w:val="auto"/>
          <w:szCs w:val="21"/>
          <w:highlight w:val="none"/>
        </w:rPr>
        <w:t>其他合同文件：</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2．上述文件互相补充和解释，如有不明确或不一致之处，以合同约定次序在先者为准。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4．承包人项目经理：</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6．承包人承诺按合同约定承担工程的实施、完成及缺陷修复。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7．发包人承诺按合同约定的条件、时间和方式向承包人支付合同价款。</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8．承包人应按照监理人指示开工，工期为</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份，合同双方各执一份。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10．合同未尽事宜，双方另行签订补充协议。补充协议是合同的组成部分。</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exact"/>
        <w:ind w:firstLine="1155" w:firstLineChars="55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月＿日</w:t>
      </w:r>
    </w:p>
    <w:p>
      <w:pPr>
        <w:pStyle w:val="7"/>
        <w:spacing w:before="120" w:after="120" w:line="377" w:lineRule="auto"/>
        <w:jc w:val="left"/>
        <w:rPr>
          <w:color w:val="auto"/>
          <w:highlight w:val="none"/>
        </w:rPr>
      </w:pPr>
      <w:r>
        <w:rPr>
          <w:rFonts w:hint="eastAsia"/>
          <w:color w:val="auto"/>
          <w:highlight w:val="none"/>
        </w:rPr>
        <w:t>附件二：履约担保格式</w:t>
      </w:r>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履约担保</w:t>
      </w:r>
    </w:p>
    <w:p>
      <w:pPr>
        <w:spacing w:line="360" w:lineRule="auto"/>
        <w:rPr>
          <w:rFonts w:hint="eastAsia" w:ascii="宋体" w:hAnsi="宋体"/>
          <w:color w:val="auto"/>
          <w:szCs w:val="21"/>
          <w:highlight w:val="none"/>
          <w:u w:val="single"/>
        </w:rPr>
      </w:pP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（发包人名称）: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w:t>
      </w:r>
      <w:r>
        <w:rPr>
          <w:rFonts w:ascii="宋体" w:hAnsi="宋体"/>
          <w:color w:val="auto"/>
          <w:szCs w:val="21"/>
          <w:highlight w:val="none"/>
        </w:rPr>
        <w:t>”</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年＿月＿日参加</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工程施工的投标。我方愿意无条件地、不可撤销地就承包人履行与你方订立的合同，向你方提供担保。</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2．担保有效期自发包人与承包人签订的合同生效之日起至发包人签发工程接收证书之日止。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4．发包人和承包人按《通用合同条款》第15条变更合同时，我方承担本担保规定的义务不变。</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620" w:firstLineChars="2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hint="eastAsia" w:ascii="宋体" w:hAnsi="宋体"/>
          <w:color w:val="auto"/>
          <w:szCs w:val="21"/>
          <w:highlight w:val="none"/>
        </w:rPr>
      </w:pPr>
    </w:p>
    <w:p>
      <w:pPr>
        <w:spacing w:line="360" w:lineRule="exact"/>
        <w:ind w:firstLine="5460" w:firstLineChars="2600"/>
        <w:jc w:val="left"/>
        <w:rPr>
          <w:rFonts w:ascii="宋体" w:hAnsi="宋体"/>
          <w:color w:val="auto"/>
          <w:highlight w:val="none"/>
        </w:rPr>
      </w:pPr>
    </w:p>
    <w:p>
      <w:pPr>
        <w:spacing w:line="420" w:lineRule="exact"/>
        <w:jc w:val="center"/>
        <w:rPr>
          <w:rFonts w:hint="eastAsia" w:ascii="宋体" w:hAnsi="宋体"/>
          <w:b/>
          <w:bCs/>
          <w:color w:val="auto"/>
          <w:sz w:val="32"/>
          <w:szCs w:val="32"/>
          <w:highlight w:val="none"/>
        </w:rPr>
      </w:pPr>
    </w:p>
    <w:p>
      <w:pPr>
        <w:spacing w:line="420" w:lineRule="exact"/>
        <w:jc w:val="left"/>
        <w:rPr>
          <w:rFonts w:hint="eastAsia" w:ascii="黑体" w:hAnsi="宋体" w:eastAsia="黑体"/>
          <w:b/>
          <w:bCs/>
          <w:color w:val="auto"/>
          <w:sz w:val="32"/>
          <w:szCs w:val="32"/>
          <w:highlight w:val="none"/>
        </w:rPr>
      </w:pPr>
      <w:r>
        <w:rPr>
          <w:rFonts w:ascii="宋体" w:hAnsi="宋体"/>
          <w:b/>
          <w:bCs/>
          <w:color w:val="auto"/>
          <w:sz w:val="32"/>
          <w:szCs w:val="32"/>
          <w:highlight w:val="none"/>
        </w:rPr>
        <w:br w:type="page"/>
      </w:r>
      <w:r>
        <w:rPr>
          <w:rFonts w:hint="eastAsia" w:ascii="黑体" w:hAnsi="宋体" w:eastAsia="黑体"/>
          <w:b/>
          <w:bCs/>
          <w:color w:val="auto"/>
          <w:sz w:val="32"/>
          <w:szCs w:val="32"/>
          <w:highlight w:val="none"/>
        </w:rPr>
        <w:t>附件三：廉政协议</w:t>
      </w:r>
    </w:p>
    <w:p>
      <w:pPr>
        <w:spacing w:line="420" w:lineRule="exact"/>
        <w:jc w:val="center"/>
        <w:rPr>
          <w:rFonts w:hint="eastAsia" w:ascii="宋体" w:hAnsi="宋体"/>
          <w:b/>
          <w:bCs/>
          <w:color w:val="auto"/>
          <w:sz w:val="32"/>
          <w:szCs w:val="32"/>
          <w:highlight w:val="none"/>
        </w:rPr>
      </w:pPr>
    </w:p>
    <w:p>
      <w:pPr>
        <w:spacing w:line="360" w:lineRule="auto"/>
        <w:ind w:firstLine="481" w:firstLineChars="200"/>
        <w:jc w:val="center"/>
        <w:rPr>
          <w:rFonts w:hint="eastAsia" w:ascii="宋体" w:hAnsi="宋体"/>
          <w:b/>
          <w:bCs/>
          <w:color w:val="auto"/>
          <w:sz w:val="44"/>
          <w:szCs w:val="44"/>
          <w:highlight w:val="none"/>
        </w:rPr>
      </w:pPr>
      <w:r>
        <w:rPr>
          <w:rFonts w:hint="eastAsia" w:ascii="宋体" w:hAnsi="宋体"/>
          <w:b/>
          <w:color w:val="auto"/>
          <w:sz w:val="24"/>
          <w:highlight w:val="none"/>
        </w:rPr>
        <w:t>廉政协议</w:t>
      </w:r>
    </w:p>
    <w:p>
      <w:pPr>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highlight w:val="none"/>
          <w:u w:val="single"/>
        </w:rPr>
        <w:t xml:space="preserve">            </w:t>
      </w:r>
      <w:r>
        <w:rPr>
          <w:rFonts w:hint="eastAsia" w:ascii="宋体" w:hAnsi="宋体"/>
          <w:color w:val="auto"/>
          <w:highlight w:val="none"/>
        </w:rPr>
        <w:t>（项目名称）的项目建设单位</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（发包人名称，以下简称“发包人”）与该项目的施工单位</w:t>
      </w:r>
      <w:r>
        <w:rPr>
          <w:rFonts w:hint="eastAsia" w:ascii="宋体" w:hAnsi="宋体"/>
          <w:color w:val="auto"/>
          <w:highlight w:val="none"/>
          <w:u w:val="single"/>
        </w:rPr>
        <w:t xml:space="preserve">     </w:t>
      </w:r>
      <w:r>
        <w:rPr>
          <w:rFonts w:hint="eastAsia" w:ascii="宋体" w:hAnsi="宋体"/>
          <w:color w:val="auto"/>
          <w:highlight w:val="none"/>
        </w:rPr>
        <w:t>（施工单位名称，以下简称“承包人”），特订立如下合同。</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1.发包人和承包人双方的权利和义务</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（1）严格遵守党的政策规定和国家有关法律法规及交通运输部的有关规定。</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（2）严格执行</w:t>
      </w:r>
      <w:r>
        <w:rPr>
          <w:rFonts w:hint="eastAsia" w:ascii="宋体" w:hAnsi="宋体"/>
          <w:color w:val="auto"/>
          <w:highlight w:val="none"/>
          <w:u w:val="single"/>
        </w:rPr>
        <w:t xml:space="preserve">       </w:t>
      </w:r>
      <w:r>
        <w:rPr>
          <w:rFonts w:hint="eastAsia" w:ascii="宋体" w:hAnsi="宋体"/>
          <w:color w:val="auto"/>
          <w:highlight w:val="none"/>
        </w:rPr>
        <w:t>（项目名称）施工合同文件，自觉按合同办事。</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（3）双方的业务活动坚持公开、公正、诚信、透明的原则（法律认定的商业秘密和合同文件另有规定除外），不得损害国家和集体利益，不得违反工程建设管理规章制度。</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（4）建立健全廉政制度，开展廉政教育，设立廉政告示牌，公布举报电话，监督并认真查处违法违纪行为。</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（5）发现对方在业务活动中有违反廉政规定的行为，有及时提醒对方纠正的权利和义务。</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（6）发现对方严重违反合同义务条款的行为，有向上级有关部门举报、建议给予处理并要求告知处理结果的权利。</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2.发包人的义务</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（1）发包人及其工作人员不得索要或接受承包人的礼金、有价证券和贵重物品，不得让承包人报销任何应由发包人或发包人工作人员个人支付的费用等。</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（2）发包人工作人员不得参加承包人安排的超标准宴请和娱乐活动；不得接受承包人提供的通讯工具、交通工具和高档办公用品等。</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（3）发包人及其工作人员不得要求或者接受承包人为其住房装修、婚丧嫁娶活动、配偶子女的工作安排以及出国出境、旅游等提供方便等。</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（4）发包人工作人员及其配偶、子女不得从事与发包人工程有关的材料设备供应、工程分包、劳务等经济活动等。</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（5）发包人及其工作人员不得以任何理由向承包人推荐分包单位或推销材料，不得要求承包人购买合同规定外的材料和设备。</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（6）发包人工作人员要秉公办事，不准徇私舞弊，不准利用职权从事各种个人有偿中介活动和安排个人施工队伍。</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3.承包人的义务</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（1）承包人不得以任何理由向发包人及其工作人员行贿或馈赠礼金、有价证券、贵重物品。</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（2）承包人不得以任何名义为发包人及其工作人员报销应由发包人单位或个人支付的任何费用。</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（3）承包人不得以任何理由安排发包人工作人员参加超标准宴请及娱乐活动。</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（4）承包人不得为发包人单位和个人购置或提供通讯工具、交通工具和高档办公用品等。</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4.违约责任</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水运建设市场的处罚。</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6.本合同有效期为发包人和承包人签署之日起至该工程项目竣工验收后止。</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7.本合同作为</w:t>
      </w:r>
      <w:r>
        <w:rPr>
          <w:rFonts w:hint="eastAsia" w:ascii="宋体" w:hAnsi="宋体"/>
          <w:color w:val="auto"/>
          <w:highlight w:val="none"/>
          <w:u w:val="single"/>
        </w:rPr>
        <w:t xml:space="preserve">              </w:t>
      </w:r>
      <w:r>
        <w:rPr>
          <w:rFonts w:hint="eastAsia" w:ascii="宋体" w:hAnsi="宋体"/>
          <w:color w:val="auto"/>
          <w:highlight w:val="none"/>
        </w:rPr>
        <w:t>（项目名称）施工合同的附件，与工程施工合同具有同等的法律效力，经合同双方签署后立即生效。</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8. 本协议书正本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份，当正本与副本的内容不一致时，以正本为准。</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hint="eastAsia" w:ascii="宋体" w:hAnsi="宋体"/>
          <w:color w:val="auto"/>
          <w:highlight w:val="none"/>
          <w:u w:val="single"/>
        </w:rPr>
      </w:pPr>
      <w:r>
        <w:rPr>
          <w:rFonts w:hint="eastAsia" w:ascii="宋体" w:hAnsi="宋体"/>
          <w:color w:val="auto"/>
          <w:highlight w:val="none"/>
        </w:rPr>
        <w:t>发包人：</w:t>
      </w:r>
      <w:r>
        <w:rPr>
          <w:rFonts w:hint="eastAsia" w:ascii="宋体" w:hAnsi="宋体"/>
          <w:color w:val="auto"/>
          <w:highlight w:val="none"/>
          <w:u w:val="single"/>
        </w:rPr>
        <w:t xml:space="preserve">           </w:t>
      </w:r>
      <w:r>
        <w:rPr>
          <w:rFonts w:hint="eastAsia" w:ascii="宋体" w:hAnsi="宋体"/>
          <w:color w:val="auto"/>
          <w:highlight w:val="none"/>
        </w:rPr>
        <w:t>（盖单位公章）</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签订日期：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adjustRightInd w:val="0"/>
        <w:snapToGrid w:val="0"/>
        <w:spacing w:line="400" w:lineRule="exact"/>
        <w:ind w:firstLine="380" w:firstLineChars="200"/>
        <w:rPr>
          <w:rFonts w:hint="eastAsia" w:ascii="宋体" w:hAnsi="宋体"/>
          <w:color w:val="auto"/>
          <w:highlight w:val="none"/>
        </w:rPr>
      </w:pPr>
      <w:r>
        <w:rPr>
          <w:rFonts w:hint="eastAsia" w:ascii="宋体" w:hAnsi="宋体"/>
          <w:color w:val="auto"/>
          <w:spacing w:val="-10"/>
          <w:highlight w:val="none"/>
        </w:rPr>
        <w:t>发包人监督单位：</w:t>
      </w:r>
      <w:r>
        <w:rPr>
          <w:rFonts w:hint="eastAsia" w:ascii="宋体" w:hAnsi="宋体"/>
          <w:color w:val="auto"/>
          <w:highlight w:val="none"/>
          <w:u w:val="single"/>
        </w:rPr>
        <w:t xml:space="preserve">                      </w:t>
      </w:r>
      <w:r>
        <w:rPr>
          <w:rFonts w:hint="eastAsia" w:ascii="宋体" w:hAnsi="宋体"/>
          <w:color w:val="auto"/>
          <w:highlight w:val="none"/>
        </w:rPr>
        <w:t>（盖章）</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adjustRightInd w:val="0"/>
        <w:snapToGrid w:val="0"/>
        <w:spacing w:line="400" w:lineRule="exact"/>
        <w:ind w:firstLine="420" w:firstLineChars="200"/>
        <w:rPr>
          <w:rFonts w:hint="eastAsia" w:ascii="宋体" w:hAnsi="宋体"/>
          <w:color w:val="auto"/>
          <w:highlight w:val="none"/>
          <w:u w:val="single"/>
        </w:rPr>
      </w:pPr>
      <w:r>
        <w:rPr>
          <w:rFonts w:hint="eastAsia" w:ascii="宋体" w:hAnsi="宋体"/>
          <w:color w:val="auto"/>
          <w:highlight w:val="none"/>
        </w:rPr>
        <w:t>承包人：</w:t>
      </w:r>
      <w:r>
        <w:rPr>
          <w:rFonts w:hint="eastAsia" w:ascii="宋体" w:hAnsi="宋体"/>
          <w:color w:val="auto"/>
          <w:highlight w:val="none"/>
          <w:u w:val="single"/>
        </w:rPr>
        <w:t xml:space="preserve">                     </w:t>
      </w:r>
      <w:r>
        <w:rPr>
          <w:rFonts w:hint="eastAsia" w:ascii="宋体" w:hAnsi="宋体"/>
          <w:color w:val="auto"/>
          <w:highlight w:val="none"/>
        </w:rPr>
        <w:t>（盖单位公章）</w:t>
      </w:r>
    </w:p>
    <w:p>
      <w:pPr>
        <w:adjustRightInd w:val="0"/>
        <w:snapToGrid w:val="0"/>
        <w:spacing w:line="400" w:lineRule="exact"/>
        <w:ind w:firstLine="420" w:firstLineChars="200"/>
        <w:rPr>
          <w:rFonts w:hint="eastAsia" w:ascii="宋体" w:hAnsi="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签订日期：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adjustRightInd w:val="0"/>
        <w:snapToGrid w:val="0"/>
        <w:spacing w:line="400" w:lineRule="exact"/>
        <w:ind w:firstLine="425" w:firstLineChars="250"/>
        <w:rPr>
          <w:rFonts w:hint="eastAsia" w:ascii="宋体" w:hAnsi="宋体"/>
          <w:color w:val="auto"/>
          <w:spacing w:val="-16"/>
          <w:highlight w:val="none"/>
        </w:rPr>
      </w:pPr>
      <w:r>
        <w:rPr>
          <w:rFonts w:hint="eastAsia" w:ascii="宋体" w:hAnsi="宋体"/>
          <w:color w:val="auto"/>
          <w:spacing w:val="-20"/>
          <w:highlight w:val="none"/>
        </w:rPr>
        <w:t>承包人监督单位：</w:t>
      </w:r>
      <w:r>
        <w:rPr>
          <w:rFonts w:hint="eastAsia" w:ascii="宋体" w:hAnsi="宋体"/>
          <w:color w:val="auto"/>
          <w:spacing w:val="-16"/>
          <w:highlight w:val="none"/>
          <w:u w:val="single"/>
        </w:rPr>
        <w:t xml:space="preserve">                      </w:t>
      </w:r>
      <w:r>
        <w:rPr>
          <w:rFonts w:hint="eastAsia" w:ascii="宋体" w:hAnsi="宋体"/>
          <w:color w:val="auto"/>
          <w:spacing w:val="-16"/>
          <w:highlight w:val="none"/>
        </w:rPr>
        <w:t xml:space="preserve">（盖章） </w:t>
      </w:r>
    </w:p>
    <w:p>
      <w:pPr>
        <w:spacing w:line="420" w:lineRule="exact"/>
        <w:rPr>
          <w:rFonts w:hint="eastAsia"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附件四：安全生产协议</w:t>
      </w:r>
    </w:p>
    <w:p>
      <w:pPr>
        <w:spacing w:line="420" w:lineRule="exact"/>
        <w:rPr>
          <w:rFonts w:hint="eastAsia" w:ascii="宋体" w:hAnsi="宋体"/>
          <w:b/>
          <w:bCs/>
          <w:color w:val="auto"/>
          <w:sz w:val="32"/>
          <w:szCs w:val="32"/>
          <w:highlight w:val="none"/>
        </w:rPr>
      </w:pPr>
    </w:p>
    <w:p>
      <w:pPr>
        <w:spacing w:line="42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安全生产协议</w:t>
      </w:r>
    </w:p>
    <w:p>
      <w:pPr>
        <w:spacing w:line="400" w:lineRule="exact"/>
        <w:ind w:firstLine="315" w:firstLineChars="150"/>
        <w:rPr>
          <w:rFonts w:hint="eastAsia" w:ascii="宋体" w:hAnsi="宋体"/>
          <w:color w:val="auto"/>
          <w:highlight w:val="none"/>
        </w:rPr>
      </w:pPr>
      <w:r>
        <w:rPr>
          <w:rFonts w:hint="eastAsia" w:ascii="宋体" w:hAnsi="宋体"/>
          <w:color w:val="auto"/>
          <w:highlight w:val="none"/>
        </w:rPr>
        <w:t>为在</w:t>
      </w:r>
      <w:r>
        <w:rPr>
          <w:rFonts w:hint="eastAsia" w:ascii="宋体" w:hAnsi="宋体"/>
          <w:color w:val="auto"/>
          <w:highlight w:val="none"/>
          <w:u w:val="single"/>
        </w:rPr>
        <w:t xml:space="preserve">        </w:t>
      </w:r>
      <w:r>
        <w:rPr>
          <w:rFonts w:hint="eastAsia" w:ascii="宋体" w:hAnsi="宋体"/>
          <w:color w:val="auto"/>
          <w:highlight w:val="none"/>
        </w:rPr>
        <w:t>（项目名称）施工合同的施工过程中创造安全、高效的施工环境，切实搞好本项目的安全管理工作，本项目发包人</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（发包人名称，以下简称“发包人”）与承包人</w:t>
      </w:r>
      <w:r>
        <w:rPr>
          <w:rFonts w:hint="eastAsia" w:ascii="宋体" w:hAnsi="宋体"/>
          <w:color w:val="auto"/>
          <w:highlight w:val="none"/>
          <w:u w:val="single"/>
        </w:rPr>
        <w:t xml:space="preserve">        </w:t>
      </w:r>
      <w:r>
        <w:rPr>
          <w:rFonts w:hint="eastAsia" w:ascii="宋体" w:hAnsi="宋体"/>
          <w:color w:val="auto"/>
          <w:highlight w:val="none"/>
        </w:rPr>
        <w:t>（承包人名称，以下简称“承包人”）特此签订安全生产合同：</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1.发包人职责</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（1）严格遵守国家有关安全生产的法律法规，认真执行工程承包合同中的有关安全要求。</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（2）按照“安全第一、预防为主”坚持“管生产必须管安全”的原则进行安全生产管理，做到生产与安全工作同时计划、布置、检查、总结和评比。</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（3）重要的安全设施必须坚持与主体工程“三同时”的原则，即：同时设计、审批、同时施工，同时验收，投入使用。</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（4）定期召开安全生产调度会，及时传达中央及地方有关安全生产的精神。</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（5）组织对承包人施工现场进行安全生产检查，监督承包人及时处理发现的各种安全隐患。</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2.承包人职责</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坚持“安全第一、预防为主”和“管生产必须管安全”的原则，加强安全生产宣传教育，增强全员安全生产意识，建立健全各项安全生产管理机构和安全生产管理制度，配备专职及兼职安全检查人员，有组织有领导地开展安全生产活动。各级领导、工程技术人员、生产管理人员和具体操作人员，必须熟悉和遵守本合同的各项规定，做到生产与安全生产工作同时计划、布置、检查、总结和评比。</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（4）承包人在任何时候都应采取合理的预防措施，防止其员工发生任何违法、违禁、暴力或妨碍治安的行为。</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（7）操作人员上岗，必须按规定穿戴防护用品。施工负责人和安全检查员应随时检查劳动防护用品的穿戴情况，不按规定穿戴防护用品的人员不得上岗。</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（8）所有施工机具设备和高空作业的设备均应定期检查，并有安全员的签字记录，保证其处于完好状态；不合格的机具、设备和劳动保护用品严禁使用。</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（9）施工中采用新技术、新工艺、新设备、新材料时，必须制定相应的安全技术措施，施工现场必须具有相关的安全标志牌。</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（11）安全生产费用按照《公路水运工程安全生产监督管理办法》的相关规定使用和管理。</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3.违约责任</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如因发包人或承包人违约造成安全事故，将依法追究责任。</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4.本合同由双方法定代表人签署并加盖单位公章后生效，全部工程完工且经交工验收合格后失效。</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5.本合同正本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份，当正本与副本内容不一致时，以正本为准。</w:t>
      </w:r>
    </w:p>
    <w:p>
      <w:pPr>
        <w:spacing w:line="400" w:lineRule="exact"/>
        <w:ind w:firstLine="200"/>
        <w:rPr>
          <w:rFonts w:hint="eastAsia" w:ascii="宋体" w:hAnsi="宋体"/>
          <w:color w:val="auto"/>
          <w:highlight w:val="none"/>
        </w:rPr>
      </w:pPr>
      <w:r>
        <w:rPr>
          <w:rFonts w:hint="eastAsia" w:ascii="宋体" w:hAnsi="宋体"/>
          <w:color w:val="auto"/>
          <w:highlight w:val="none"/>
        </w:rPr>
        <w:t xml:space="preserve"> </w:t>
      </w:r>
    </w:p>
    <w:p>
      <w:pPr>
        <w:spacing w:line="400" w:lineRule="exact"/>
        <w:ind w:left="850" w:leftChars="100" w:hanging="640" w:hangingChars="305"/>
        <w:rPr>
          <w:rFonts w:hint="eastAsia" w:ascii="宋体" w:hAnsi="宋体"/>
          <w:color w:val="auto"/>
          <w:highlight w:val="none"/>
        </w:rPr>
      </w:pPr>
      <w:r>
        <w:rPr>
          <w:rFonts w:hint="eastAsia" w:ascii="宋体" w:hAnsi="宋体"/>
          <w:color w:val="auto"/>
          <w:highlight w:val="none"/>
        </w:rPr>
        <w:t>发  包  人：</w:t>
      </w:r>
      <w:r>
        <w:rPr>
          <w:rFonts w:hint="eastAsia" w:ascii="宋体" w:hAnsi="宋体"/>
          <w:color w:val="auto"/>
          <w:highlight w:val="none"/>
          <w:u w:val="single"/>
        </w:rPr>
        <w:t xml:space="preserve">             </w:t>
      </w:r>
      <w:r>
        <w:rPr>
          <w:rFonts w:hint="eastAsia" w:ascii="宋体" w:hAnsi="宋体"/>
          <w:color w:val="auto"/>
          <w:highlight w:val="none"/>
        </w:rPr>
        <w:t>（盖单位公章）</w:t>
      </w:r>
    </w:p>
    <w:p>
      <w:pPr>
        <w:spacing w:line="400" w:lineRule="exact"/>
        <w:ind w:firstLine="200"/>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400" w:lineRule="exact"/>
        <w:ind w:firstLine="200"/>
        <w:rPr>
          <w:rFonts w:hint="eastAsia"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p>
    <w:p>
      <w:pPr>
        <w:spacing w:line="400" w:lineRule="exact"/>
        <w:ind w:left="850" w:leftChars="100" w:hanging="640" w:hangingChars="305"/>
        <w:rPr>
          <w:rFonts w:hint="eastAsia" w:ascii="宋体" w:hAnsi="宋体"/>
          <w:color w:val="auto"/>
          <w:highlight w:val="none"/>
        </w:rPr>
      </w:pPr>
      <w:r>
        <w:rPr>
          <w:rFonts w:hint="eastAsia" w:ascii="宋体" w:hAnsi="宋体"/>
          <w:color w:val="auto"/>
          <w:highlight w:val="none"/>
        </w:rPr>
        <w:t xml:space="preserve"> </w:t>
      </w:r>
    </w:p>
    <w:p>
      <w:pPr>
        <w:spacing w:line="400" w:lineRule="exact"/>
        <w:ind w:left="850" w:leftChars="100" w:hanging="640" w:hangingChars="305"/>
        <w:rPr>
          <w:rFonts w:hint="eastAsia" w:ascii="宋体" w:hAnsi="宋体"/>
          <w:color w:val="auto"/>
          <w:highlight w:val="none"/>
        </w:rPr>
      </w:pPr>
      <w:r>
        <w:rPr>
          <w:rFonts w:hint="eastAsia" w:ascii="宋体" w:hAnsi="宋体"/>
          <w:color w:val="auto"/>
          <w:highlight w:val="none"/>
        </w:rPr>
        <w:t>承  包  人：</w:t>
      </w:r>
      <w:r>
        <w:rPr>
          <w:rFonts w:hint="eastAsia" w:ascii="宋体" w:hAnsi="宋体"/>
          <w:color w:val="auto"/>
          <w:highlight w:val="none"/>
          <w:u w:val="single"/>
        </w:rPr>
        <w:t xml:space="preserve">                 </w:t>
      </w:r>
      <w:r>
        <w:rPr>
          <w:rFonts w:hint="eastAsia" w:ascii="宋体" w:hAnsi="宋体"/>
          <w:color w:val="auto"/>
          <w:highlight w:val="none"/>
        </w:rPr>
        <w:t>（盖单位公章）</w:t>
      </w:r>
    </w:p>
    <w:p>
      <w:pPr>
        <w:spacing w:line="400" w:lineRule="exact"/>
        <w:ind w:firstLine="200"/>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br w:type="page"/>
      </w:r>
    </w:p>
    <w:p>
      <w:pPr>
        <w:pStyle w:val="4"/>
        <w:rPr>
          <w:rFonts w:hint="eastAsia"/>
          <w:color w:val="auto"/>
          <w:highlight w:val="none"/>
        </w:rPr>
      </w:pPr>
      <w:bookmarkStart w:id="1233" w:name="_Toc490832363"/>
      <w:r>
        <w:rPr>
          <w:rFonts w:hint="eastAsia"/>
          <w:color w:val="auto"/>
          <w:highlight w:val="none"/>
        </w:rPr>
        <w:t>第</w:t>
      </w:r>
      <w:r>
        <w:rPr>
          <w:rFonts w:hint="eastAsia"/>
          <w:color w:val="auto"/>
          <w:highlight w:val="none"/>
          <w:lang w:eastAsia="zh-CN"/>
        </w:rPr>
        <w:t>六</w:t>
      </w:r>
      <w:r>
        <w:rPr>
          <w:rFonts w:hint="eastAsia"/>
          <w:color w:val="auto"/>
          <w:highlight w:val="none"/>
        </w:rPr>
        <w:t>章 工程量清单</w:t>
      </w:r>
      <w:bookmarkEnd w:id="1233"/>
    </w:p>
    <w:p>
      <w:pPr>
        <w:keepNext/>
        <w:keepLines/>
        <w:spacing w:line="360" w:lineRule="auto"/>
        <w:jc w:val="center"/>
        <w:outlineLvl w:val="2"/>
        <w:rPr>
          <w:rFonts w:hint="eastAsia"/>
          <w:b/>
          <w:bCs/>
          <w:color w:val="auto"/>
          <w:sz w:val="24"/>
          <w:szCs w:val="32"/>
          <w:highlight w:val="none"/>
        </w:rPr>
      </w:pPr>
      <w:bookmarkStart w:id="1234" w:name="_Toc456169792"/>
      <w:bookmarkStart w:id="1235" w:name="_Toc239930598"/>
      <w:r>
        <w:rPr>
          <w:rFonts w:hint="eastAsia"/>
          <w:b/>
          <w:bCs/>
          <w:color w:val="auto"/>
          <w:sz w:val="24"/>
          <w:szCs w:val="32"/>
          <w:highlight w:val="none"/>
        </w:rPr>
        <w:t>1、工程量清单说明</w:t>
      </w:r>
      <w:bookmarkEnd w:id="1234"/>
      <w:bookmarkEnd w:id="123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1.1以招标人发布的工程量清单及其编制说明为准。</w:t>
      </w:r>
    </w:p>
    <w:p>
      <w:pPr>
        <w:spacing w:line="360" w:lineRule="auto"/>
        <w:ind w:firstLine="420" w:firstLineChars="200"/>
        <w:rPr>
          <w:rFonts w:hint="eastAsia" w:ascii="宋体" w:hAnsi="宋体"/>
          <w:color w:val="auto"/>
          <w:szCs w:val="21"/>
          <w:highlight w:val="none"/>
        </w:rPr>
      </w:pPr>
    </w:p>
    <w:p>
      <w:pPr>
        <w:keepNext/>
        <w:keepLines/>
        <w:spacing w:line="360" w:lineRule="auto"/>
        <w:jc w:val="center"/>
        <w:outlineLvl w:val="2"/>
        <w:rPr>
          <w:rFonts w:hint="eastAsia"/>
          <w:b/>
          <w:bCs/>
          <w:color w:val="auto"/>
          <w:sz w:val="24"/>
          <w:szCs w:val="32"/>
          <w:highlight w:val="none"/>
        </w:rPr>
      </w:pPr>
      <w:bookmarkStart w:id="1236" w:name="_Toc456169793"/>
      <w:bookmarkStart w:id="1237" w:name="_Toc239930599"/>
      <w:r>
        <w:rPr>
          <w:rFonts w:hint="eastAsia"/>
          <w:b/>
          <w:bCs/>
          <w:color w:val="auto"/>
          <w:sz w:val="24"/>
          <w:szCs w:val="32"/>
          <w:highlight w:val="none"/>
        </w:rPr>
        <w:t>2、投标报价说明</w:t>
      </w:r>
      <w:bookmarkEnd w:id="1236"/>
      <w:bookmarkEnd w:id="123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 工程量清单中的每一子目须填入单价或价格，且只允许有一个报价。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2.2工程量清单中投标人没有填入单价或价格的子目，其费用视为已分摊在工程量清单中其他相关子目的单价或价格之中。</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2.3投标报价应包括国家规定的增值税金，除投标人须知前附表另有规定外，增值税税金按一般计税方法计算。投标人应按第九章“投标文件格式”的要求在投标函中进行报价并填写分项报价</w:t>
      </w:r>
      <w:r>
        <w:rPr>
          <w:rFonts w:hint="eastAsia" w:ascii="宋体" w:hAnsi="宋体"/>
          <w:color w:val="auto"/>
          <w:szCs w:val="21"/>
          <w:highlight w:val="none"/>
          <w:lang w:eastAsia="zh-CN"/>
        </w:rPr>
        <w:t>表</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2.4投标人应充分了解本项目的总体情况及影响投标报价的其他要求。计量采用中华人民共和国法定计量单位。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2.5投标人编制工程量清单前应对招标文件中的投标人须知、通用合同条款、专用合同条款、技术标准和要求及图纸等充分理解，所编制的工程量清单应涵盖施工图纸所包含的全部内容。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2.6投标单价、总价和工期应包含以下费用或风险，合同执行期间不作调整：</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2）承包人自行确定合法卸泥区、采砂区、采石区所导致的费用风险，办理水上水下作业许可、卸泥、爆破等相关施工手续并承担相关费用。</w:t>
      </w:r>
    </w:p>
    <w:p>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3）工程所含材料价格应综合材料费、资源费、运输费、采购保管费、检验费等一切费用。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4）按照《福建省水运工程施工标准化指南》“三三三”施工标准化管理模式的要求，做好</w:t>
      </w:r>
      <w:r>
        <w:rPr>
          <w:rFonts w:ascii="宋体" w:hAnsi="宋体"/>
          <w:color w:val="auto"/>
          <w:szCs w:val="21"/>
          <w:highlight w:val="none"/>
        </w:rPr>
        <w:t>工地建设“三集中”、质量控制“三强化”、安全措施“三到位”</w:t>
      </w:r>
      <w:r>
        <w:rPr>
          <w:rFonts w:hint="eastAsia" w:ascii="宋体" w:hAnsi="宋体"/>
          <w:color w:val="auto"/>
          <w:szCs w:val="21"/>
          <w:highlight w:val="none"/>
        </w:rPr>
        <w:t>等工作，在投标报价时应充分考虑该部分费用，并在综合单价内体现。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2.7</w:t>
      </w:r>
      <w:r>
        <w:rPr>
          <w:rFonts w:ascii="宋体" w:hAnsi="宋体"/>
          <w:color w:val="auto"/>
          <w:szCs w:val="21"/>
          <w:highlight w:val="none"/>
        </w:rPr>
        <w:t>……</w:t>
      </w:r>
    </w:p>
    <w:p>
      <w:pPr>
        <w:keepNext/>
        <w:keepLines/>
        <w:spacing w:line="360" w:lineRule="auto"/>
        <w:jc w:val="center"/>
        <w:outlineLvl w:val="2"/>
        <w:rPr>
          <w:rFonts w:hint="eastAsia"/>
          <w:b/>
          <w:bCs/>
          <w:color w:val="auto"/>
          <w:sz w:val="24"/>
          <w:szCs w:val="32"/>
          <w:highlight w:val="none"/>
        </w:rPr>
      </w:pPr>
      <w:bookmarkStart w:id="1238" w:name="_Toc239930600"/>
      <w:bookmarkStart w:id="1239" w:name="_Toc456169794"/>
      <w:r>
        <w:rPr>
          <w:rFonts w:hint="eastAsia"/>
          <w:b/>
          <w:bCs/>
          <w:color w:val="auto"/>
          <w:sz w:val="24"/>
          <w:szCs w:val="32"/>
          <w:highlight w:val="none"/>
        </w:rPr>
        <w:t>3、其他说明</w:t>
      </w:r>
      <w:bookmarkEnd w:id="1238"/>
      <w:bookmarkEnd w:id="1239"/>
    </w:p>
    <w:p>
      <w:pPr>
        <w:autoSpaceDE w:val="0"/>
        <w:autoSpaceDN w:val="0"/>
        <w:adjustRightInd w:val="0"/>
        <w:spacing w:line="500" w:lineRule="exact"/>
        <w:ind w:right="-147" w:firstLine="432" w:firstLineChars="206"/>
        <w:rPr>
          <w:rFonts w:ascii="宋体"/>
          <w:color w:val="auto"/>
          <w:szCs w:val="21"/>
          <w:highlight w:val="none"/>
        </w:rPr>
      </w:pPr>
      <w:r>
        <w:rPr>
          <w:rFonts w:hint="eastAsia" w:ascii="宋体"/>
          <w:color w:val="auto"/>
          <w:szCs w:val="21"/>
          <w:highlight w:val="none"/>
        </w:rPr>
        <w:t>3.1适用定额：现行行业有关规定。</w:t>
      </w:r>
    </w:p>
    <w:p>
      <w:pPr>
        <w:autoSpaceDE w:val="0"/>
        <w:autoSpaceDN w:val="0"/>
        <w:adjustRightInd w:val="0"/>
        <w:spacing w:line="500" w:lineRule="exact"/>
        <w:ind w:right="-147" w:firstLine="329"/>
        <w:rPr>
          <w:rFonts w:hint="eastAsia" w:ascii="宋体"/>
          <w:color w:val="auto"/>
          <w:szCs w:val="21"/>
          <w:highlight w:val="none"/>
        </w:rPr>
      </w:pPr>
      <w:r>
        <w:rPr>
          <w:rFonts w:hint="eastAsia" w:ascii="宋体"/>
          <w:color w:val="auto"/>
          <w:szCs w:val="21"/>
          <w:highlight w:val="none"/>
        </w:rPr>
        <w:t>3.2 材料市场价格由投标人自行调查确定。</w:t>
      </w:r>
    </w:p>
    <w:p>
      <w:pPr>
        <w:autoSpaceDE w:val="0"/>
        <w:autoSpaceDN w:val="0"/>
        <w:adjustRightInd w:val="0"/>
        <w:spacing w:line="500" w:lineRule="exact"/>
        <w:ind w:right="-147" w:firstLine="329"/>
        <w:rPr>
          <w:rFonts w:hint="eastAsia" w:ascii="宋体"/>
          <w:color w:val="auto"/>
          <w:szCs w:val="21"/>
          <w:highlight w:val="none"/>
        </w:rPr>
      </w:pPr>
      <w:r>
        <w:rPr>
          <w:rFonts w:hint="eastAsia" w:ascii="宋体"/>
          <w:color w:val="auto"/>
          <w:szCs w:val="21"/>
          <w:highlight w:val="none"/>
        </w:rPr>
        <w:t>3.3</w:t>
      </w:r>
      <w:r>
        <w:rPr>
          <w:rFonts w:hint="eastAsia"/>
          <w:color w:val="auto"/>
          <w:szCs w:val="21"/>
          <w:highlight w:val="none"/>
        </w:rPr>
        <w:t xml:space="preserve"> </w:t>
      </w:r>
      <w:r>
        <w:rPr>
          <w:rFonts w:hint="eastAsia" w:ascii="宋体"/>
          <w:color w:val="auto"/>
          <w:szCs w:val="21"/>
          <w:highlight w:val="none"/>
        </w:rPr>
        <w:t>本工程施工取费作为竞争性费用由各投标人自行考虑。</w:t>
      </w:r>
    </w:p>
    <w:p>
      <w:pPr>
        <w:autoSpaceDE w:val="0"/>
        <w:autoSpaceDN w:val="0"/>
        <w:adjustRightInd w:val="0"/>
        <w:spacing w:line="500" w:lineRule="exact"/>
        <w:ind w:right="-147" w:firstLine="329"/>
        <w:rPr>
          <w:rFonts w:hint="eastAsia" w:ascii="宋体"/>
          <w:color w:val="auto"/>
          <w:szCs w:val="21"/>
          <w:highlight w:val="none"/>
        </w:rPr>
      </w:pPr>
      <w:r>
        <w:rPr>
          <w:rFonts w:hint="eastAsia" w:ascii="宋体"/>
          <w:color w:val="auto"/>
          <w:szCs w:val="21"/>
          <w:highlight w:val="none"/>
        </w:rPr>
        <w:t>3.4 税率：按当地税率计取，当地税率由投标人自行调查。</w:t>
      </w:r>
    </w:p>
    <w:p>
      <w:pPr>
        <w:autoSpaceDE w:val="0"/>
        <w:autoSpaceDN w:val="0"/>
        <w:adjustRightInd w:val="0"/>
        <w:spacing w:line="500" w:lineRule="exact"/>
        <w:ind w:right="-147" w:firstLine="329"/>
        <w:rPr>
          <w:rFonts w:hint="eastAsia" w:ascii="宋体" w:hAnsi="宋体"/>
          <w:color w:val="auto"/>
          <w:szCs w:val="21"/>
          <w:highlight w:val="none"/>
        </w:rPr>
      </w:pPr>
      <w:r>
        <w:rPr>
          <w:rFonts w:hint="eastAsia" w:ascii="宋体"/>
          <w:color w:val="auto"/>
          <w:szCs w:val="21"/>
          <w:highlight w:val="none"/>
        </w:rPr>
        <w:t>3.5 投标总价分为工程项目、一般项目和暂列金额。</w:t>
      </w:r>
    </w:p>
    <w:p>
      <w:pPr>
        <w:autoSpaceDE w:val="0"/>
        <w:autoSpaceDN w:val="0"/>
        <w:adjustRightInd w:val="0"/>
        <w:spacing w:line="500" w:lineRule="exact"/>
        <w:ind w:right="-147" w:firstLine="329"/>
        <w:rPr>
          <w:rFonts w:hint="eastAsia" w:ascii="宋体"/>
          <w:color w:val="auto"/>
          <w:szCs w:val="21"/>
          <w:highlight w:val="none"/>
        </w:rPr>
      </w:pPr>
      <w:r>
        <w:rPr>
          <w:rFonts w:hint="eastAsia" w:ascii="宋体" w:hAnsi="宋体"/>
          <w:color w:val="auto"/>
          <w:szCs w:val="21"/>
          <w:highlight w:val="none"/>
        </w:rPr>
        <w:t>投标报价应包括国家规定的增值税金，除投标人须知前附表另有规定外，增值税税金按一般计税方法计算。投标人应按第九章“投标文件格式”的要求在投标函中进行报价并填写分项报价</w:t>
      </w:r>
      <w:r>
        <w:rPr>
          <w:rFonts w:hint="eastAsia" w:ascii="宋体" w:hAnsi="宋体"/>
          <w:color w:val="auto"/>
          <w:szCs w:val="21"/>
          <w:highlight w:val="none"/>
          <w:lang w:eastAsia="zh-CN"/>
        </w:rPr>
        <w:t>表</w:t>
      </w:r>
      <w:r>
        <w:rPr>
          <w:rFonts w:hint="eastAsia" w:ascii="宋体"/>
          <w:color w:val="auto"/>
          <w:szCs w:val="21"/>
          <w:highlight w:val="none"/>
        </w:rPr>
        <w:t>。</w:t>
      </w:r>
    </w:p>
    <w:p>
      <w:pPr>
        <w:autoSpaceDE w:val="0"/>
        <w:autoSpaceDN w:val="0"/>
        <w:adjustRightInd w:val="0"/>
        <w:spacing w:line="500" w:lineRule="exact"/>
        <w:ind w:right="-147" w:firstLine="315" w:firstLineChars="150"/>
        <w:rPr>
          <w:rFonts w:hint="eastAsia" w:ascii="宋体"/>
          <w:color w:val="auto"/>
          <w:szCs w:val="21"/>
          <w:highlight w:val="none"/>
        </w:rPr>
      </w:pPr>
      <w:r>
        <w:rPr>
          <w:rFonts w:hint="eastAsia" w:ascii="宋体"/>
          <w:color w:val="auto"/>
          <w:szCs w:val="21"/>
          <w:highlight w:val="none"/>
        </w:rPr>
        <w:t>3.7 本项目的文明施工、环保措施专项费用(若有)专款专用，不得挪作他用，否则甲方将扣除该费用。</w:t>
      </w:r>
    </w:p>
    <w:p>
      <w:pPr>
        <w:autoSpaceDE w:val="0"/>
        <w:autoSpaceDN w:val="0"/>
        <w:adjustRightInd w:val="0"/>
        <w:spacing w:line="500" w:lineRule="exact"/>
        <w:ind w:right="-147" w:firstLine="315" w:firstLineChars="150"/>
        <w:rPr>
          <w:rFonts w:hint="eastAsia" w:ascii="宋体"/>
          <w:color w:val="auto"/>
          <w:szCs w:val="21"/>
          <w:highlight w:val="none"/>
        </w:rPr>
      </w:pPr>
      <w:r>
        <w:rPr>
          <w:rFonts w:hint="eastAsia" w:ascii="宋体"/>
          <w:color w:val="auto"/>
          <w:szCs w:val="21"/>
          <w:highlight w:val="none"/>
        </w:rPr>
        <w:t xml:space="preserve">3.8 </w:t>
      </w:r>
      <w:r>
        <w:rPr>
          <w:rFonts w:hint="eastAsia"/>
          <w:color w:val="auto"/>
          <w:szCs w:val="21"/>
          <w:highlight w:val="none"/>
        </w:rPr>
        <w:t xml:space="preserve"> </w:t>
      </w:r>
      <w:r>
        <w:rPr>
          <w:rFonts w:hint="eastAsia" w:ascii="宋体"/>
          <w:color w:val="auto"/>
          <w:szCs w:val="21"/>
          <w:highlight w:val="none"/>
        </w:rPr>
        <w:t>预制场地、现场办公生活场地、港内外施工道路及其它生产、生活所需要的临时施工水域或场地由承包人自行解决</w:t>
      </w:r>
      <w:r>
        <w:rPr>
          <w:rFonts w:ascii="宋体"/>
          <w:color w:val="auto"/>
          <w:szCs w:val="21"/>
          <w:highlight w:val="none"/>
        </w:rPr>
        <w:t xml:space="preserve">, </w:t>
      </w:r>
      <w:r>
        <w:rPr>
          <w:rFonts w:hint="eastAsia" w:ascii="宋体"/>
          <w:color w:val="auto"/>
          <w:szCs w:val="21"/>
          <w:highlight w:val="none"/>
        </w:rPr>
        <w:t>投标报价中应在一般项目报价中体现，如未计列则视其费用已分摊在工程量清单中子目的单价或价格之中。</w:t>
      </w:r>
    </w:p>
    <w:p>
      <w:pPr>
        <w:autoSpaceDE w:val="0"/>
        <w:autoSpaceDN w:val="0"/>
        <w:adjustRightInd w:val="0"/>
        <w:spacing w:line="500" w:lineRule="exact"/>
        <w:ind w:right="-147" w:firstLine="315" w:firstLineChars="150"/>
        <w:rPr>
          <w:rFonts w:hint="eastAsia" w:ascii="宋体"/>
          <w:color w:val="auto"/>
          <w:szCs w:val="21"/>
          <w:highlight w:val="none"/>
        </w:rPr>
      </w:pPr>
      <w:r>
        <w:rPr>
          <w:rFonts w:hint="eastAsia" w:ascii="宋体"/>
          <w:color w:val="auto"/>
          <w:szCs w:val="21"/>
          <w:highlight w:val="none"/>
        </w:rPr>
        <w:t xml:space="preserve">3.9 </w:t>
      </w:r>
      <w:r>
        <w:rPr>
          <w:rFonts w:hint="eastAsia" w:ascii="宋体" w:hAnsi="宋体"/>
          <w:color w:val="auto"/>
          <w:szCs w:val="21"/>
          <w:highlight w:val="none"/>
        </w:rPr>
        <w:t>本工程生产、生活用水、用电及通信条件由承包人自行解决。投标报价中应把可能额外增加的水、电费用在一般项目报价中体现，如未计列则视其费用已分摊在工程量清单中子目的单价或价格之中。</w:t>
      </w:r>
    </w:p>
    <w:p>
      <w:pPr>
        <w:autoSpaceDE w:val="0"/>
        <w:autoSpaceDN w:val="0"/>
        <w:adjustRightInd w:val="0"/>
        <w:spacing w:line="500" w:lineRule="exact"/>
        <w:ind w:right="-147" w:firstLine="315" w:firstLineChars="150"/>
        <w:rPr>
          <w:rFonts w:hint="eastAsia" w:ascii="宋体"/>
          <w:color w:val="auto"/>
          <w:szCs w:val="21"/>
          <w:highlight w:val="none"/>
        </w:rPr>
      </w:pPr>
      <w:r>
        <w:rPr>
          <w:rFonts w:hint="eastAsia" w:ascii="宋体"/>
          <w:color w:val="auto"/>
          <w:szCs w:val="21"/>
          <w:highlight w:val="none"/>
        </w:rPr>
        <w:t>3.10投标报价中要求暂列金额（若有），不得作为竞争性报价；暂列金额由招标人支配，按发生的实际费用支出。</w:t>
      </w:r>
    </w:p>
    <w:p>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3.11</w:t>
      </w:r>
      <w:r>
        <w:rPr>
          <w:rFonts w:ascii="宋体" w:hAnsi="宋体"/>
          <w:color w:val="auto"/>
          <w:szCs w:val="21"/>
          <w:highlight w:val="none"/>
        </w:rPr>
        <w:t>……</w:t>
      </w: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keepNext/>
        <w:keepLines/>
        <w:spacing w:line="360" w:lineRule="auto"/>
        <w:jc w:val="center"/>
        <w:outlineLvl w:val="2"/>
        <w:rPr>
          <w:rFonts w:hint="eastAsia"/>
          <w:b/>
          <w:bCs/>
          <w:color w:val="auto"/>
          <w:sz w:val="24"/>
          <w:szCs w:val="32"/>
          <w:highlight w:val="none"/>
        </w:rPr>
      </w:pPr>
      <w:bookmarkStart w:id="1240" w:name="_Toc239930601"/>
      <w:bookmarkStart w:id="1241" w:name="_Toc456169795"/>
      <w:r>
        <w:rPr>
          <w:rFonts w:hint="eastAsia"/>
          <w:b/>
          <w:bCs/>
          <w:color w:val="auto"/>
          <w:sz w:val="24"/>
          <w:szCs w:val="32"/>
          <w:highlight w:val="none"/>
        </w:rPr>
        <w:t>4、工程量清单</w:t>
      </w:r>
      <w:bookmarkEnd w:id="1240"/>
      <w:bookmarkEnd w:id="1241"/>
    </w:p>
    <w:p>
      <w:pPr>
        <w:spacing w:line="360" w:lineRule="exact"/>
        <w:ind w:firstLine="421" w:firstLineChars="200"/>
        <w:jc w:val="center"/>
        <w:rPr>
          <w:rFonts w:hint="eastAsia" w:ascii="宋体" w:hAnsi="宋体" w:cs="宋体"/>
          <w:color w:val="auto"/>
          <w:highlight w:val="none"/>
        </w:rPr>
      </w:pPr>
      <w:r>
        <w:rPr>
          <w:rFonts w:hint="eastAsia" w:ascii="宋体" w:hAnsi="宋体"/>
          <w:b/>
          <w:color w:val="auto"/>
          <w:szCs w:val="21"/>
          <w:highlight w:val="none"/>
          <w:u w:val="single"/>
        </w:rPr>
        <w:t>（附件上传，可另行补充发布）</w:t>
      </w: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spacing w:line="360" w:lineRule="exact"/>
        <w:ind w:firstLine="420" w:firstLineChars="200"/>
        <w:jc w:val="left"/>
        <w:rPr>
          <w:rFonts w:hint="eastAsia" w:ascii="宋体" w:hAnsi="宋体" w:cs="宋体"/>
          <w:color w:val="auto"/>
          <w:highlight w:val="none"/>
        </w:rPr>
      </w:pPr>
    </w:p>
    <w:p>
      <w:pPr>
        <w:pStyle w:val="4"/>
        <w:rPr>
          <w:rFonts w:hint="eastAsia" w:ascii="宋体" w:hAnsi="宋体" w:cs="黑体"/>
          <w:color w:val="auto"/>
          <w:highlight w:val="none"/>
        </w:rPr>
      </w:pPr>
    </w:p>
    <w:p>
      <w:pPr>
        <w:pStyle w:val="4"/>
        <w:rPr>
          <w:rFonts w:hint="eastAsia" w:ascii="宋体" w:hAnsi="宋体" w:cs="黑体"/>
          <w:color w:val="auto"/>
          <w:highlight w:val="none"/>
        </w:rPr>
      </w:pPr>
      <w:bookmarkStart w:id="1242" w:name="_Toc490832364"/>
      <w:r>
        <w:rPr>
          <w:rFonts w:ascii="宋体" w:hAnsi="宋体" w:cs="黑体"/>
          <w:color w:val="auto"/>
          <w:highlight w:val="none"/>
        </w:rPr>
        <w:br w:type="page"/>
      </w:r>
      <w:r>
        <w:rPr>
          <w:rFonts w:hint="eastAsia" w:ascii="宋体" w:hAnsi="宋体" w:cs="黑体"/>
          <w:color w:val="auto"/>
          <w:highlight w:val="none"/>
        </w:rPr>
        <w:t>第</w:t>
      </w:r>
      <w:r>
        <w:rPr>
          <w:rFonts w:hint="eastAsia" w:ascii="宋体" w:hAnsi="宋体" w:cs="黑体"/>
          <w:color w:val="auto"/>
          <w:highlight w:val="none"/>
          <w:lang w:eastAsia="zh-CN"/>
        </w:rPr>
        <w:t>七</w:t>
      </w:r>
      <w:r>
        <w:rPr>
          <w:rFonts w:hint="eastAsia" w:ascii="宋体" w:hAnsi="宋体" w:cs="黑体"/>
          <w:color w:val="auto"/>
          <w:highlight w:val="none"/>
        </w:rPr>
        <w:t>章 图纸</w:t>
      </w:r>
      <w:bookmarkEnd w:id="1242"/>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（附件上传）</w:t>
      </w: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pStyle w:val="4"/>
        <w:rPr>
          <w:rFonts w:hint="eastAsia" w:ascii="宋体" w:hAnsi="宋体" w:cs="黑体"/>
          <w:color w:val="auto"/>
          <w:highlight w:val="none"/>
        </w:rPr>
      </w:pPr>
      <w:bookmarkStart w:id="1243" w:name="_Toc23748"/>
      <w:bookmarkStart w:id="1244" w:name="_Toc15516"/>
      <w:r>
        <w:rPr>
          <w:rFonts w:ascii="宋体" w:hAnsi="宋体" w:cs="黑体"/>
          <w:color w:val="auto"/>
          <w:highlight w:val="none"/>
        </w:rPr>
        <w:br w:type="page"/>
      </w:r>
      <w:bookmarkStart w:id="1245" w:name="_Toc490832365"/>
      <w:r>
        <w:rPr>
          <w:rFonts w:hint="eastAsia" w:ascii="宋体" w:hAnsi="宋体" w:cs="黑体"/>
          <w:color w:val="auto"/>
          <w:highlight w:val="none"/>
        </w:rPr>
        <w:t>第</w:t>
      </w:r>
      <w:r>
        <w:rPr>
          <w:rFonts w:hint="eastAsia" w:ascii="宋体" w:hAnsi="宋体" w:cs="黑体"/>
          <w:color w:val="auto"/>
          <w:highlight w:val="none"/>
          <w:lang w:eastAsia="zh-CN"/>
        </w:rPr>
        <w:t>八</w:t>
      </w:r>
      <w:r>
        <w:rPr>
          <w:rFonts w:hint="eastAsia" w:ascii="宋体" w:hAnsi="宋体" w:cs="黑体"/>
          <w:color w:val="auto"/>
          <w:highlight w:val="none"/>
        </w:rPr>
        <w:t>章 技术标准和要求</w:t>
      </w:r>
      <w:bookmarkEnd w:id="1243"/>
      <w:bookmarkEnd w:id="1244"/>
      <w:bookmarkEnd w:id="1245"/>
    </w:p>
    <w:p>
      <w:pPr>
        <w:spacing w:before="158" w:beforeLines="50" w:after="158" w:afterLines="50"/>
        <w:jc w:val="center"/>
        <w:rPr>
          <w:rFonts w:hint="eastAsia" w:ascii="宋体" w:hAnsi="宋体"/>
          <w:b/>
          <w:bCs/>
          <w:color w:val="auto"/>
          <w:sz w:val="32"/>
          <w:szCs w:val="32"/>
          <w:highlight w:val="none"/>
        </w:rPr>
      </w:pPr>
      <w:r>
        <w:rPr>
          <w:rFonts w:hint="eastAsia" w:ascii="宋体" w:hAnsi="宋体"/>
          <w:b/>
          <w:bCs/>
          <w:color w:val="auto"/>
          <w:sz w:val="44"/>
          <w:szCs w:val="44"/>
          <w:highlight w:val="none"/>
        </w:rPr>
        <w:t>技术标准和要求</w:t>
      </w:r>
    </w:p>
    <w:p>
      <w:pPr>
        <w:pStyle w:val="6"/>
        <w:spacing w:before="120" w:after="120" w:line="360" w:lineRule="exact"/>
        <w:jc w:val="left"/>
        <w:rPr>
          <w:rFonts w:hint="eastAsia" w:ascii="宋体" w:hAnsi="宋体"/>
          <w:color w:val="auto"/>
          <w:sz w:val="24"/>
          <w:szCs w:val="24"/>
          <w:highlight w:val="none"/>
        </w:rPr>
      </w:pPr>
      <w:bookmarkStart w:id="1246" w:name="_Toc383512768"/>
      <w:bookmarkStart w:id="1247" w:name="_Toc419729435"/>
      <w:bookmarkStart w:id="1248" w:name="_Toc419724367"/>
      <w:bookmarkStart w:id="1249" w:name="_Toc8549"/>
      <w:bookmarkStart w:id="1250" w:name="_Toc30252"/>
      <w:bookmarkStart w:id="1251" w:name="_Toc383013076"/>
      <w:bookmarkStart w:id="1252" w:name="_Toc383006551"/>
      <w:bookmarkStart w:id="1253" w:name="_Toc463799088"/>
      <w:bookmarkStart w:id="1254" w:name="_Toc487653259"/>
      <w:bookmarkStart w:id="1255" w:name="_Toc488492911"/>
      <w:bookmarkStart w:id="1256" w:name="_Toc419825429"/>
      <w:bookmarkStart w:id="1257" w:name="_Toc490832366"/>
      <w:bookmarkStart w:id="1258" w:name="_Toc419825081"/>
      <w:r>
        <w:rPr>
          <w:rFonts w:hint="eastAsia" w:ascii="宋体" w:hAnsi="宋体"/>
          <w:color w:val="auto"/>
          <w:sz w:val="24"/>
          <w:szCs w:val="24"/>
          <w:highlight w:val="none"/>
        </w:rPr>
        <w:t>1.</w:t>
      </w:r>
      <w:bookmarkEnd w:id="1246"/>
      <w:bookmarkEnd w:id="1247"/>
      <w:bookmarkEnd w:id="1248"/>
      <w:bookmarkEnd w:id="1249"/>
      <w:bookmarkEnd w:id="1250"/>
      <w:bookmarkEnd w:id="1251"/>
      <w:bookmarkEnd w:id="1252"/>
      <w:r>
        <w:rPr>
          <w:rFonts w:hint="eastAsia" w:ascii="宋体" w:hAnsi="宋体"/>
          <w:color w:val="auto"/>
          <w:sz w:val="24"/>
          <w:szCs w:val="24"/>
          <w:highlight w:val="none"/>
        </w:rPr>
        <w:t>技术标准</w:t>
      </w:r>
      <w:bookmarkEnd w:id="1253"/>
      <w:bookmarkEnd w:id="1254"/>
      <w:bookmarkEnd w:id="1255"/>
      <w:bookmarkEnd w:id="1256"/>
      <w:bookmarkEnd w:id="1257"/>
      <w:bookmarkEnd w:id="1258"/>
    </w:p>
    <w:p>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1.1 </w:t>
      </w:r>
      <w:r>
        <w:rPr>
          <w:rFonts w:hint="eastAsia" w:ascii="宋体" w:hAnsi="宋体"/>
          <w:color w:val="auto"/>
          <w:szCs w:val="21"/>
          <w:highlight w:val="none"/>
        </w:rPr>
        <w:t>技术标准是指由国家、行业和地方政府颁布的标准、规范、规定或规程，以及为实施某项工程特为制定的专项标准、规定或规程。</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 xml:space="preserve">1.2 </w:t>
      </w:r>
      <w:r>
        <w:rPr>
          <w:rFonts w:ascii="宋体" w:hAnsi="宋体"/>
          <w:color w:val="auto"/>
          <w:szCs w:val="21"/>
          <w:highlight w:val="none"/>
        </w:rPr>
        <w:t>工程施工中的所有材料、设备和施工质量均应遵照交通运输部发布的港口工程有关技术规范以及国家颁布的其他有关技术法规和规范进行施工；应严格按照施工图设计</w:t>
      </w:r>
      <w:r>
        <w:rPr>
          <w:rFonts w:hint="eastAsia" w:ascii="宋体" w:hAnsi="宋体"/>
          <w:color w:val="auto"/>
          <w:szCs w:val="21"/>
          <w:highlight w:val="none"/>
        </w:rPr>
        <w:t>及技术要求</w:t>
      </w:r>
      <w:r>
        <w:rPr>
          <w:rFonts w:ascii="宋体" w:hAnsi="宋体"/>
          <w:color w:val="auto"/>
          <w:szCs w:val="21"/>
          <w:highlight w:val="none"/>
        </w:rPr>
        <w:t>进行施工；同时遵照《水运工程质量检验标准》进行质量控制。采用的规范和技术标准主要包括但不限于如下规范及标准</w:t>
      </w:r>
      <w:r>
        <w:rPr>
          <w:rFonts w:hint="eastAsia" w:ascii="宋体" w:hAnsi="宋体"/>
          <w:color w:val="auto"/>
          <w:szCs w:val="21"/>
          <w:highlight w:val="none"/>
        </w:rPr>
        <w:t>（以下标准均按照最新版执行。在合同履行期间，若下述标准有修改或重新颁布，监理单位将及时收集新的标准或规范执行，并按照其执行。）：</w:t>
      </w:r>
    </w:p>
    <w:p>
      <w:pPr>
        <w:spacing w:line="276" w:lineRule="auto"/>
        <w:ind w:firstLine="420"/>
        <w:jc w:val="left"/>
        <w:rPr>
          <w:rFonts w:hint="eastAsia" w:ascii="宋体" w:hAnsi="宋体"/>
          <w:color w:val="auto"/>
          <w:szCs w:val="21"/>
          <w:highlight w:val="none"/>
        </w:rPr>
      </w:pPr>
      <w:bookmarkStart w:id="1259" w:name="_Toc463799089"/>
      <w:bookmarkStart w:id="1260" w:name="_Toc419825430"/>
      <w:bookmarkStart w:id="1261" w:name="_Toc419729436"/>
      <w:bookmarkStart w:id="1262" w:name="_Toc383013077"/>
      <w:bookmarkStart w:id="1263" w:name="_Toc419724368"/>
      <w:bookmarkStart w:id="1264" w:name="_Toc383512769"/>
      <w:bookmarkStart w:id="1265" w:name="_Toc419825082"/>
      <w:r>
        <w:rPr>
          <w:rFonts w:hint="eastAsia" w:ascii="宋体" w:hAnsi="宋体"/>
          <w:color w:val="auto"/>
          <w:szCs w:val="21"/>
          <w:highlight w:val="none"/>
        </w:rPr>
        <w:t>1、《海港总体设计规范》；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2、《工程建设标准强制性条文》(水运工程部分)；</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3、《水运工程设计通则》；</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4、《海上用太阳能电池组件总规范》；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5、《中国海区水上助航标志》；</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6、《航标灯光信号颜色》；</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7、《爆破安全规程》；</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8、《浮标锚链》；</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9、《水运工程质量检验标准》；</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10、《水运工程测量质量检验标准》；</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11、《水运工程施工安全防护技术规范》；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12、《水运工程爆破技术规范》；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13、《中华人民共和国水上水下活动通航安全管理规定》；</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14、《海区浮动助航标志配布导则》；</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15、《疏浚与吹填工程设计规范》；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16、《疏浚与吹填工程施工规范》；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17、《水运工程测量规范》；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18、《港口与航道水文规范》；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19、《水运工程岩土勘察规范》；</w:t>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20、水运工程施工通则；</w:t>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"file:///G:\\水运工程标准规范\\《水运工程混凝土施工规范》(JTS202-2011).pdf" </w:instrText>
      </w:r>
      <w:r>
        <w:rPr>
          <w:rFonts w:ascii="宋体" w:hAnsi="宋体"/>
          <w:color w:val="auto"/>
          <w:szCs w:val="21"/>
          <w:highlight w:val="none"/>
        </w:rPr>
        <w:fldChar w:fldCharType="separate"/>
      </w:r>
      <w:r>
        <w:rPr>
          <w:rFonts w:hint="eastAsia" w:ascii="宋体" w:hAnsi="宋体"/>
          <w:color w:val="auto"/>
          <w:szCs w:val="21"/>
          <w:highlight w:val="none"/>
        </w:rPr>
        <w:t>《水运工程混凝土施工规范》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"file:///G:\\水运工程标准规范\\《水运工程施工安全防护技术规范》(JTS205-1-2008).pdf" </w:instrText>
      </w:r>
      <w:r>
        <w:rPr>
          <w:rFonts w:ascii="宋体" w:hAnsi="宋体"/>
          <w:color w:val="auto"/>
          <w:szCs w:val="21"/>
          <w:highlight w:val="none"/>
        </w:rPr>
        <w:fldChar w:fldCharType="separate"/>
      </w:r>
      <w:r>
        <w:rPr>
          <w:rFonts w:hint="eastAsia" w:ascii="宋体" w:hAnsi="宋体"/>
          <w:color w:val="auto"/>
          <w:szCs w:val="21"/>
          <w:highlight w:val="none"/>
        </w:rPr>
        <w:t>《水运工程施工安全防护技术规范》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"file:///G:\\水运工程标准规范\\《水运工程大体积混凝土温度裂缝控制技术规程》(JTS%20202-1-2010%20).pdf" </w:instrText>
      </w:r>
      <w:r>
        <w:rPr>
          <w:rFonts w:ascii="宋体" w:hAnsi="宋体"/>
          <w:color w:val="auto"/>
          <w:szCs w:val="21"/>
          <w:highlight w:val="none"/>
        </w:rPr>
        <w:fldChar w:fldCharType="separate"/>
      </w:r>
      <w:r>
        <w:rPr>
          <w:rFonts w:hint="eastAsia" w:ascii="宋体" w:hAnsi="宋体"/>
          <w:color w:val="auto"/>
          <w:szCs w:val="21"/>
          <w:highlight w:val="none"/>
        </w:rPr>
        <w:t>《水运工程大体积混凝土温度裂缝控制技术规程》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"file:///G:\\水运工程标准规范\\《水运工程塑料排水板应用技术规程》(JTS206-1-2009).pdf" </w:instrText>
      </w:r>
      <w:r>
        <w:rPr>
          <w:rFonts w:ascii="宋体" w:hAnsi="宋体"/>
          <w:color w:val="auto"/>
          <w:szCs w:val="21"/>
          <w:highlight w:val="none"/>
        </w:rPr>
        <w:fldChar w:fldCharType="separate"/>
      </w:r>
      <w:r>
        <w:rPr>
          <w:rFonts w:hint="eastAsia" w:ascii="宋体" w:hAnsi="宋体"/>
          <w:color w:val="auto"/>
          <w:szCs w:val="21"/>
          <w:highlight w:val="none"/>
        </w:rPr>
        <w:t>《水运工程塑料排水板应用技术规程》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"file:///G:\\水运工程标准规范\\《航道整治工程施工规范》（JTS%20224-2016）.pdf" </w:instrText>
      </w:r>
      <w:r>
        <w:rPr>
          <w:rFonts w:ascii="宋体" w:hAnsi="宋体"/>
          <w:color w:val="auto"/>
          <w:szCs w:val="21"/>
          <w:highlight w:val="none"/>
        </w:rPr>
        <w:fldChar w:fldCharType="separate"/>
      </w:r>
      <w:r>
        <w:rPr>
          <w:rFonts w:hint="eastAsia" w:ascii="宋体" w:hAnsi="宋体"/>
          <w:color w:val="auto"/>
          <w:szCs w:val="21"/>
          <w:highlight w:val="none"/>
        </w:rPr>
        <w:t>《航道整治工程施工规范》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"file:///G:\\水运工程标准规范\\《港口工程碎石桩复合地基设计与施工规程》(JTJ%20246-2004%20).pdf" </w:instrText>
      </w:r>
      <w:r>
        <w:rPr>
          <w:rFonts w:ascii="宋体" w:hAnsi="宋体"/>
          <w:color w:val="auto"/>
          <w:szCs w:val="21"/>
          <w:highlight w:val="none"/>
        </w:rPr>
        <w:fldChar w:fldCharType="separate"/>
      </w:r>
      <w:r>
        <w:rPr>
          <w:rFonts w:hint="eastAsia" w:ascii="宋体" w:hAnsi="宋体"/>
          <w:color w:val="auto"/>
          <w:szCs w:val="21"/>
          <w:highlight w:val="none"/>
        </w:rPr>
        <w:t>《港口工程碎石桩复合地基设计与施工规程》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27、</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"file:///G:\\水运工程标准规范\\《海港工程混凝土结构防腐蚀技术规范》(JTJ275-2000).pdf" </w:instrText>
      </w:r>
      <w:r>
        <w:rPr>
          <w:rFonts w:ascii="宋体" w:hAnsi="宋体"/>
          <w:color w:val="auto"/>
          <w:szCs w:val="21"/>
          <w:highlight w:val="none"/>
        </w:rPr>
        <w:fldChar w:fldCharType="separate"/>
      </w:r>
      <w:r>
        <w:rPr>
          <w:rFonts w:hint="eastAsia" w:ascii="宋体" w:hAnsi="宋体"/>
          <w:color w:val="auto"/>
          <w:szCs w:val="21"/>
          <w:highlight w:val="none"/>
        </w:rPr>
        <w:t>《海港工程混凝土结构防腐蚀技术规范》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28、</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"file:///G:\\水运工程标准规范\\《海港工程钢结构防腐蚀技术规范》(JTS%20153-3-2007).pdf" </w:instrText>
      </w:r>
      <w:r>
        <w:rPr>
          <w:rFonts w:ascii="宋体" w:hAnsi="宋体"/>
          <w:color w:val="auto"/>
          <w:szCs w:val="21"/>
          <w:highlight w:val="none"/>
        </w:rPr>
        <w:fldChar w:fldCharType="separate"/>
      </w:r>
      <w:r>
        <w:rPr>
          <w:rFonts w:hint="eastAsia" w:ascii="宋体" w:hAnsi="宋体"/>
          <w:color w:val="auto"/>
          <w:szCs w:val="21"/>
          <w:highlight w:val="none"/>
        </w:rPr>
        <w:t>《海港工程钢结构防腐蚀技术规范》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"file:///G:\\水运工程标准规范\\《港口及航道护岸工程设计与施工规范》(JTJ%20300-2000).pdf" </w:instrText>
      </w:r>
      <w:r>
        <w:rPr>
          <w:rFonts w:ascii="宋体" w:hAnsi="宋体"/>
          <w:color w:val="auto"/>
          <w:szCs w:val="21"/>
          <w:highlight w:val="none"/>
        </w:rPr>
        <w:fldChar w:fldCharType="separate"/>
      </w:r>
      <w:r>
        <w:rPr>
          <w:rFonts w:hint="eastAsia" w:ascii="宋体" w:hAnsi="宋体"/>
          <w:color w:val="auto"/>
          <w:szCs w:val="21"/>
          <w:highlight w:val="none"/>
        </w:rPr>
        <w:t>《港口及航道护岸工程设计与施工规范》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"file:///G:\\水运工程标准规范\\《河港工程总体设计规范》(JTJ212-2006).pdf" </w:instrText>
      </w:r>
      <w:r>
        <w:rPr>
          <w:rFonts w:ascii="宋体" w:hAnsi="宋体"/>
          <w:color w:val="auto"/>
          <w:szCs w:val="21"/>
          <w:highlight w:val="none"/>
        </w:rPr>
        <w:fldChar w:fldCharType="separate"/>
      </w:r>
      <w:r>
        <w:rPr>
          <w:rFonts w:hint="eastAsia" w:ascii="宋体" w:hAnsi="宋体"/>
          <w:color w:val="auto"/>
          <w:szCs w:val="21"/>
          <w:highlight w:val="none"/>
        </w:rPr>
        <w:t>《河港工程总体设计规范》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"file:///G:\\水运工程标准规范\\《高桩码头设计与施工规范》(JTS167-1-2010).pdf" </w:instrText>
      </w:r>
      <w:r>
        <w:rPr>
          <w:rFonts w:ascii="宋体" w:hAnsi="宋体"/>
          <w:color w:val="auto"/>
          <w:szCs w:val="21"/>
          <w:highlight w:val="none"/>
        </w:rPr>
        <w:fldChar w:fldCharType="separate"/>
      </w:r>
      <w:r>
        <w:rPr>
          <w:rFonts w:hint="eastAsia" w:ascii="宋体" w:hAnsi="宋体"/>
          <w:color w:val="auto"/>
          <w:szCs w:val="21"/>
          <w:highlight w:val="none"/>
        </w:rPr>
        <w:t>《高桩码头设计与施工规范》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"file:///G:\\水运工程标准规范\\《重力式码头设计与施工规范》(JTS%20167-2-2009).pdf" </w:instrText>
      </w:r>
      <w:r>
        <w:rPr>
          <w:rFonts w:ascii="宋体" w:hAnsi="宋体"/>
          <w:color w:val="auto"/>
          <w:szCs w:val="21"/>
          <w:highlight w:val="none"/>
        </w:rPr>
        <w:fldChar w:fldCharType="separate"/>
      </w:r>
      <w:r>
        <w:rPr>
          <w:rFonts w:hint="eastAsia" w:ascii="宋体" w:hAnsi="宋体"/>
          <w:color w:val="auto"/>
          <w:szCs w:val="21"/>
          <w:highlight w:val="none"/>
        </w:rPr>
        <w:t>《重力式码头设计与施工规范》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"file:///G:\\水运工程标准规范\\《板桩码头设计与施工规范》(JTS%20167-3-2009).pdf" </w:instrText>
      </w:r>
      <w:r>
        <w:rPr>
          <w:rFonts w:ascii="宋体" w:hAnsi="宋体"/>
          <w:color w:val="auto"/>
          <w:szCs w:val="21"/>
          <w:highlight w:val="none"/>
        </w:rPr>
        <w:fldChar w:fldCharType="separate"/>
      </w:r>
      <w:r>
        <w:rPr>
          <w:rFonts w:hint="eastAsia" w:ascii="宋体" w:hAnsi="宋体"/>
          <w:color w:val="auto"/>
          <w:szCs w:val="21"/>
          <w:highlight w:val="none"/>
        </w:rPr>
        <w:t>《板桩码头设计与施工规范》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34、</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"file:///G:\\水运工程标准规范\\《斜坡码头及浮码头设计与施工规范》(JTJ294-98%20).pdf" </w:instrText>
      </w:r>
      <w:r>
        <w:rPr>
          <w:rFonts w:ascii="宋体" w:hAnsi="宋体"/>
          <w:color w:val="auto"/>
          <w:szCs w:val="21"/>
          <w:highlight w:val="none"/>
        </w:rPr>
        <w:fldChar w:fldCharType="separate"/>
      </w:r>
      <w:r>
        <w:rPr>
          <w:rFonts w:hint="eastAsia" w:ascii="宋体" w:hAnsi="宋体"/>
          <w:color w:val="auto"/>
          <w:szCs w:val="21"/>
          <w:highlight w:val="none"/>
        </w:rPr>
        <w:t>《斜坡码头及浮码头设计与施工规范》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"file:///G:\\水运工程标准规范\\《港口工程桩式柔性靠船设施设计与施工技术规程》(JTJ279-2005).pdf" </w:instrText>
      </w:r>
      <w:r>
        <w:rPr>
          <w:rFonts w:ascii="宋体" w:hAnsi="宋体"/>
          <w:color w:val="auto"/>
          <w:szCs w:val="21"/>
          <w:highlight w:val="none"/>
        </w:rPr>
        <w:fldChar w:fldCharType="separate"/>
      </w:r>
      <w:r>
        <w:rPr>
          <w:rFonts w:hint="eastAsia" w:ascii="宋体" w:hAnsi="宋体"/>
          <w:color w:val="auto"/>
          <w:szCs w:val="21"/>
          <w:highlight w:val="none"/>
        </w:rPr>
        <w:t>《港口工程桩式柔性靠船设施设计与施工技术规程》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36、</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"file:///G:\\水运工程标准规范\\《斜坡码头及浮码头设计与施工规范》(JTJ294-98%20).pdf" </w:instrText>
      </w:r>
      <w:r>
        <w:rPr>
          <w:rFonts w:ascii="宋体" w:hAnsi="宋体"/>
          <w:color w:val="auto"/>
          <w:szCs w:val="21"/>
          <w:highlight w:val="none"/>
        </w:rPr>
        <w:fldChar w:fldCharType="separate"/>
      </w:r>
      <w:r>
        <w:rPr>
          <w:rFonts w:hint="eastAsia" w:ascii="宋体" w:hAnsi="宋体"/>
          <w:color w:val="auto"/>
          <w:szCs w:val="21"/>
          <w:highlight w:val="none"/>
        </w:rPr>
        <w:t>《斜坡码头及浮码头设计与施工规范》</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37、</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"file:///G:\\水运工程标准规范\\《港口工程灌注桩设计与施工规程》(JTJ248-2001).pdf" </w:instrText>
      </w:r>
      <w:r>
        <w:rPr>
          <w:rFonts w:ascii="宋体" w:hAnsi="宋体"/>
          <w:color w:val="auto"/>
          <w:szCs w:val="21"/>
          <w:highlight w:val="none"/>
        </w:rPr>
        <w:fldChar w:fldCharType="separate"/>
      </w:r>
      <w:r>
        <w:rPr>
          <w:rFonts w:hint="eastAsia" w:ascii="宋体" w:hAnsi="宋体"/>
          <w:color w:val="auto"/>
          <w:szCs w:val="21"/>
          <w:highlight w:val="none"/>
        </w:rPr>
        <w:t>《港口工程灌注桩设计与施工规程》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"file:///G:\\水运工程标准规范\\《港口工程嵌岩桩设计与施工规程》(JTJ285-2000).pdf" </w:instrText>
      </w:r>
      <w:r>
        <w:rPr>
          <w:rFonts w:ascii="宋体" w:hAnsi="宋体"/>
          <w:color w:val="auto"/>
          <w:szCs w:val="21"/>
          <w:highlight w:val="none"/>
        </w:rPr>
        <w:fldChar w:fldCharType="separate"/>
      </w:r>
      <w:r>
        <w:rPr>
          <w:rFonts w:hint="eastAsia" w:ascii="宋体" w:hAnsi="宋体"/>
          <w:color w:val="auto"/>
          <w:szCs w:val="21"/>
          <w:highlight w:val="none"/>
        </w:rPr>
        <w:t>《港口工程嵌岩桩设计与施工规程》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39、</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"file:///G:\\水运工程标准规范\\《格形钢板桩码头设计与施工规程》(JTJ293-98).pdf" </w:instrText>
      </w:r>
      <w:r>
        <w:rPr>
          <w:rFonts w:ascii="宋体" w:hAnsi="宋体"/>
          <w:color w:val="auto"/>
          <w:szCs w:val="21"/>
          <w:highlight w:val="none"/>
        </w:rPr>
        <w:fldChar w:fldCharType="separate"/>
      </w:r>
      <w:r>
        <w:rPr>
          <w:rFonts w:hint="eastAsia" w:ascii="宋体" w:hAnsi="宋体"/>
          <w:color w:val="auto"/>
          <w:szCs w:val="21"/>
          <w:highlight w:val="none"/>
        </w:rPr>
        <w:t>《格型钢板桩码头设计与施工规程》</w:t>
      </w:r>
      <w:r>
        <w:rPr>
          <w:rFonts w:ascii="宋体" w:hAnsi="宋体"/>
          <w:color w:val="auto"/>
          <w:szCs w:val="21"/>
          <w:highlight w:val="none"/>
        </w:rPr>
        <w:fldChar w:fldCharType="end"/>
      </w:r>
    </w:p>
    <w:p>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40、</w:t>
      </w:r>
      <w:r>
        <w:rPr>
          <w:rFonts w:ascii="宋体" w:hAnsi="宋体"/>
          <w:color w:val="auto"/>
          <w:szCs w:val="21"/>
          <w:highlight w:val="none"/>
        </w:rPr>
        <w:fldChar w:fldCharType="begin"/>
      </w:r>
      <w:r>
        <w:rPr>
          <w:rFonts w:ascii="宋体" w:hAnsi="宋体"/>
          <w:color w:val="auto"/>
          <w:szCs w:val="21"/>
          <w:highlight w:val="none"/>
        </w:rPr>
        <w:instrText xml:space="preserve"> HYPERLINK "file:///G:\\水运工程标准规范\\《港口道路、堆场铺面设计与施工规范》(JTJ296-96).PDF" </w:instrText>
      </w:r>
      <w:r>
        <w:rPr>
          <w:rFonts w:ascii="宋体" w:hAnsi="宋体"/>
          <w:color w:val="auto"/>
          <w:szCs w:val="21"/>
          <w:highlight w:val="none"/>
        </w:rPr>
        <w:fldChar w:fldCharType="separate"/>
      </w:r>
      <w:r>
        <w:rPr>
          <w:rFonts w:hint="eastAsia" w:ascii="宋体" w:hAnsi="宋体"/>
          <w:color w:val="auto"/>
          <w:szCs w:val="21"/>
          <w:highlight w:val="none"/>
        </w:rPr>
        <w:t>《港口道路、堆场铺面设计与施工规范》</w:t>
      </w:r>
      <w:r>
        <w:rPr>
          <w:rFonts w:ascii="宋体" w:hAnsi="宋体"/>
          <w:color w:val="auto"/>
          <w:szCs w:val="21"/>
          <w:highlight w:val="none"/>
        </w:rPr>
        <w:fldChar w:fldCharType="end"/>
      </w:r>
    </w:p>
    <w:p>
      <w:pPr>
        <w:spacing w:line="276" w:lineRule="auto"/>
        <w:ind w:firstLine="420"/>
        <w:jc w:val="left"/>
        <w:rPr>
          <w:rFonts w:hint="eastAsia" w:ascii="宋体" w:hAnsi="宋体"/>
          <w:color w:val="auto"/>
          <w:szCs w:val="21"/>
          <w:highlight w:val="none"/>
        </w:rPr>
      </w:pPr>
      <w:r>
        <w:rPr>
          <w:rFonts w:hint="eastAsia" w:ascii="宋体" w:hAnsi="宋体"/>
          <w:color w:val="auto"/>
          <w:szCs w:val="21"/>
          <w:highlight w:val="none"/>
        </w:rPr>
        <w:t>41　 其他现行规范及标准</w:t>
      </w:r>
      <w:bookmarkEnd w:id="1259"/>
      <w:bookmarkStart w:id="1266" w:name="_Toc463799108"/>
      <w:r>
        <w:rPr>
          <w:rFonts w:hint="eastAsia" w:ascii="宋体" w:hAnsi="宋体"/>
          <w:color w:val="auto"/>
          <w:szCs w:val="21"/>
          <w:highlight w:val="none"/>
        </w:rPr>
        <w:t>。</w:t>
      </w:r>
      <w:bookmarkEnd w:id="1266"/>
    </w:p>
    <w:p>
      <w:pPr>
        <w:pStyle w:val="6"/>
        <w:spacing w:before="120" w:after="120" w:line="360" w:lineRule="exact"/>
        <w:rPr>
          <w:rFonts w:hint="eastAsia" w:ascii="宋体" w:hAnsi="宋体"/>
          <w:color w:val="auto"/>
          <w:sz w:val="24"/>
          <w:szCs w:val="24"/>
          <w:highlight w:val="none"/>
        </w:rPr>
      </w:pPr>
      <w:bookmarkStart w:id="1267" w:name="_Toc487653260"/>
      <w:bookmarkStart w:id="1268" w:name="_Toc463799109"/>
      <w:bookmarkStart w:id="1269" w:name="_Toc490832367"/>
      <w:bookmarkStart w:id="1270" w:name="_Toc488492912"/>
      <w:r>
        <w:rPr>
          <w:rFonts w:ascii="宋体" w:hAnsi="宋体"/>
          <w:color w:val="auto"/>
          <w:sz w:val="24"/>
          <w:szCs w:val="24"/>
          <w:highlight w:val="none"/>
        </w:rPr>
        <w:t>2</w:t>
      </w:r>
      <w:r>
        <w:rPr>
          <w:rFonts w:hint="eastAsia" w:ascii="宋体" w:hAnsi="宋体"/>
          <w:color w:val="auto"/>
          <w:sz w:val="24"/>
          <w:szCs w:val="24"/>
          <w:highlight w:val="none"/>
        </w:rPr>
        <w:t xml:space="preserve"> .技术要求</w:t>
      </w:r>
      <w:bookmarkEnd w:id="1260"/>
      <w:bookmarkEnd w:id="1261"/>
      <w:bookmarkEnd w:id="1262"/>
      <w:bookmarkEnd w:id="1263"/>
      <w:bookmarkEnd w:id="1264"/>
      <w:bookmarkEnd w:id="1265"/>
      <w:bookmarkEnd w:id="1267"/>
      <w:bookmarkEnd w:id="1268"/>
      <w:bookmarkEnd w:id="1269"/>
      <w:bookmarkEnd w:id="1270"/>
    </w:p>
    <w:p>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详见施工图设计说明。</w:t>
      </w:r>
    </w:p>
    <w:p>
      <w:pPr>
        <w:rPr>
          <w:rFonts w:hint="eastAsia" w:ascii="宋体" w:hAnsi="宋体"/>
          <w:b/>
          <w:bCs/>
          <w:color w:val="auto"/>
          <w:sz w:val="32"/>
          <w:szCs w:val="32"/>
          <w:highlight w:val="none"/>
        </w:rPr>
      </w:pPr>
      <w:r>
        <w:rPr>
          <w:rFonts w:ascii="宋体" w:hAnsi="宋体"/>
          <w:b/>
          <w:bCs/>
          <w:color w:val="auto"/>
          <w:sz w:val="32"/>
          <w:szCs w:val="32"/>
          <w:highlight w:val="none"/>
        </w:rPr>
        <w:br w:type="page"/>
      </w: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pStyle w:val="4"/>
        <w:rPr>
          <w:rFonts w:hint="eastAsia" w:ascii="宋体" w:hAnsi="宋体" w:cs="黑体"/>
          <w:color w:val="auto"/>
          <w:highlight w:val="none"/>
        </w:rPr>
      </w:pPr>
      <w:bookmarkStart w:id="1271" w:name="_Toc490832368"/>
      <w:bookmarkStart w:id="1272" w:name="_Toc3316"/>
      <w:bookmarkStart w:id="1273" w:name="_Toc14150"/>
      <w:r>
        <w:rPr>
          <w:rFonts w:hint="eastAsia" w:ascii="宋体" w:hAnsi="宋体" w:cs="黑体"/>
          <w:color w:val="auto"/>
          <w:highlight w:val="none"/>
        </w:rPr>
        <w:t>第</w:t>
      </w:r>
      <w:r>
        <w:rPr>
          <w:rFonts w:hint="eastAsia" w:ascii="宋体" w:hAnsi="宋体" w:cs="黑体"/>
          <w:color w:val="auto"/>
          <w:highlight w:val="none"/>
          <w:lang w:eastAsia="zh-CN"/>
        </w:rPr>
        <w:t>九</w:t>
      </w:r>
      <w:r>
        <w:rPr>
          <w:rFonts w:hint="eastAsia" w:ascii="宋体" w:hAnsi="宋体" w:cs="黑体"/>
          <w:color w:val="auto"/>
          <w:highlight w:val="none"/>
        </w:rPr>
        <w:t>章 投标文件格式</w:t>
      </w:r>
      <w:bookmarkEnd w:id="1271"/>
      <w:bookmarkEnd w:id="1272"/>
      <w:bookmarkEnd w:id="1273"/>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rPr>
          <w:rFonts w:hint="eastAsia" w:ascii="宋体" w:hAnsi="宋体"/>
          <w:b/>
          <w:bCs/>
          <w:color w:val="auto"/>
          <w:sz w:val="32"/>
          <w:szCs w:val="32"/>
          <w:highlight w:val="none"/>
        </w:rPr>
      </w:pPr>
    </w:p>
    <w:p>
      <w:pPr>
        <w:autoSpaceDE w:val="0"/>
        <w:autoSpaceDN w:val="0"/>
        <w:adjustRightInd w:val="0"/>
        <w:spacing w:before="2" w:line="300" w:lineRule="auto"/>
        <w:rPr>
          <w:rFonts w:hint="eastAsia" w:ascii="宋体" w:hAnsi="宋体"/>
          <w:b/>
          <w:color w:val="auto"/>
          <w:kern w:val="0"/>
          <w:sz w:val="36"/>
          <w:szCs w:val="36"/>
          <w:highlight w:val="none"/>
          <w:u w:val="single"/>
        </w:rPr>
      </w:pPr>
      <w:r>
        <w:rPr>
          <w:rFonts w:ascii="宋体" w:hAnsi="宋体"/>
          <w:b/>
          <w:color w:val="auto"/>
          <w:kern w:val="0"/>
          <w:sz w:val="36"/>
          <w:szCs w:val="36"/>
          <w:highlight w:val="none"/>
          <w:u w:val="single"/>
        </w:rPr>
        <w:br w:type="page"/>
      </w:r>
      <w:r>
        <w:rPr>
          <w:rFonts w:hint="eastAsia"/>
          <w:color w:val="auto"/>
          <w:sz w:val="24"/>
          <w:highlight w:val="none"/>
        </w:rPr>
        <w:t>（封面格式）</w:t>
      </w:r>
    </w:p>
    <w:p>
      <w:pPr>
        <w:autoSpaceDE w:val="0"/>
        <w:autoSpaceDN w:val="0"/>
        <w:adjustRightInd w:val="0"/>
        <w:spacing w:before="2" w:line="300" w:lineRule="auto"/>
        <w:jc w:val="center"/>
        <w:rPr>
          <w:rFonts w:hint="eastAsia" w:ascii="宋体" w:hAnsi="宋体"/>
          <w:b/>
          <w:color w:val="auto"/>
          <w:kern w:val="0"/>
          <w:sz w:val="36"/>
          <w:szCs w:val="36"/>
          <w:highlight w:val="none"/>
          <w:u w:val="single"/>
        </w:rPr>
      </w:pPr>
    </w:p>
    <w:p>
      <w:pPr>
        <w:autoSpaceDE w:val="0"/>
        <w:autoSpaceDN w:val="0"/>
        <w:adjustRightInd w:val="0"/>
        <w:spacing w:before="2" w:line="300" w:lineRule="auto"/>
        <w:jc w:val="center"/>
        <w:rPr>
          <w:rFonts w:hint="eastAsia" w:ascii="宋体" w:hAnsi="宋体"/>
          <w:b/>
          <w:color w:val="auto"/>
          <w:kern w:val="0"/>
          <w:sz w:val="36"/>
          <w:szCs w:val="36"/>
          <w:highlight w:val="none"/>
          <w:u w:val="single"/>
        </w:rPr>
      </w:pPr>
    </w:p>
    <w:p>
      <w:pPr>
        <w:autoSpaceDE w:val="0"/>
        <w:autoSpaceDN w:val="0"/>
        <w:adjustRightInd w:val="0"/>
        <w:spacing w:before="2" w:line="300" w:lineRule="auto"/>
        <w:jc w:val="center"/>
        <w:rPr>
          <w:rFonts w:ascii="宋体" w:hAnsi="宋体"/>
          <w:b/>
          <w:color w:val="auto"/>
          <w:kern w:val="0"/>
          <w:sz w:val="44"/>
          <w:szCs w:val="44"/>
          <w:highlight w:val="none"/>
        </w:rPr>
      </w:pPr>
      <w:r>
        <w:rPr>
          <w:rFonts w:hint="eastAsia" w:ascii="宋体" w:hAnsi="宋体"/>
          <w:b/>
          <w:color w:val="auto"/>
          <w:kern w:val="0"/>
          <w:sz w:val="36"/>
          <w:szCs w:val="36"/>
          <w:highlight w:val="none"/>
          <w:u w:val="single"/>
        </w:rPr>
        <w:t xml:space="preserve">            （项目名称）</w:t>
      </w:r>
    </w:p>
    <w:p>
      <w:pPr>
        <w:adjustRightInd w:val="0"/>
        <w:snapToGrid w:val="0"/>
        <w:spacing w:line="300" w:lineRule="auto"/>
        <w:jc w:val="center"/>
        <w:rPr>
          <w:rFonts w:hint="eastAsia" w:ascii="宋体" w:hAnsi="宋体" w:cs="黑体"/>
          <w:b/>
          <w:color w:val="auto"/>
          <w:sz w:val="32"/>
          <w:highlight w:val="none"/>
        </w:rPr>
      </w:pPr>
    </w:p>
    <w:p>
      <w:pPr>
        <w:adjustRightInd w:val="0"/>
        <w:snapToGrid w:val="0"/>
        <w:spacing w:line="300" w:lineRule="auto"/>
        <w:jc w:val="center"/>
        <w:rPr>
          <w:rFonts w:hint="eastAsia" w:ascii="宋体" w:hAnsi="宋体" w:cs="黑体"/>
          <w:b/>
          <w:color w:val="auto"/>
          <w:sz w:val="32"/>
          <w:highlight w:val="none"/>
          <w:u w:val="single"/>
        </w:rPr>
      </w:pPr>
      <w:r>
        <w:rPr>
          <w:rFonts w:hint="eastAsia" w:ascii="宋体" w:hAnsi="宋体" w:cs="黑体"/>
          <w:b/>
          <w:color w:val="auto"/>
          <w:sz w:val="32"/>
          <w:highlight w:val="none"/>
        </w:rPr>
        <w:t xml:space="preserve">    （招标编号：</w:t>
      </w:r>
      <w:r>
        <w:rPr>
          <w:rFonts w:hint="eastAsia" w:ascii="宋体" w:hAnsi="宋体" w:cs="黑体"/>
          <w:b/>
          <w:color w:val="auto"/>
          <w:sz w:val="32"/>
          <w:highlight w:val="none"/>
          <w:u w:val="single"/>
        </w:rPr>
        <w:t xml:space="preserve">        </w:t>
      </w:r>
      <w:r>
        <w:rPr>
          <w:rFonts w:hint="eastAsia" w:ascii="宋体" w:hAnsi="宋体" w:cs="黑体"/>
          <w:b/>
          <w:color w:val="auto"/>
          <w:sz w:val="32"/>
          <w:highlight w:val="none"/>
        </w:rPr>
        <w:t>）</w:t>
      </w:r>
    </w:p>
    <w:p>
      <w:pPr>
        <w:adjustRightInd w:val="0"/>
        <w:snapToGrid w:val="0"/>
        <w:spacing w:line="300" w:lineRule="auto"/>
        <w:jc w:val="center"/>
        <w:rPr>
          <w:rFonts w:hint="eastAsia" w:ascii="宋体" w:hAnsi="宋体" w:cs="黑体"/>
          <w:b/>
          <w:color w:val="auto"/>
          <w:sz w:val="32"/>
          <w:highlight w:val="none"/>
        </w:rPr>
      </w:pPr>
    </w:p>
    <w:p>
      <w:pPr>
        <w:adjustRightInd w:val="0"/>
        <w:snapToGrid w:val="0"/>
        <w:spacing w:line="300" w:lineRule="auto"/>
        <w:jc w:val="center"/>
        <w:rPr>
          <w:rFonts w:hint="eastAsia" w:ascii="宋体" w:hAnsi="宋体" w:cs="黑体"/>
          <w:b/>
          <w:color w:val="auto"/>
          <w:sz w:val="32"/>
          <w:highlight w:val="none"/>
        </w:rPr>
      </w:pPr>
    </w:p>
    <w:p>
      <w:pPr>
        <w:pStyle w:val="5"/>
        <w:rPr>
          <w:rFonts w:hint="eastAsia" w:ascii="宋体" w:hAnsi="宋体" w:cs="黑体"/>
          <w:color w:val="auto"/>
          <w:sz w:val="72"/>
          <w:szCs w:val="72"/>
          <w:highlight w:val="none"/>
        </w:rPr>
      </w:pPr>
      <w:bookmarkStart w:id="1274" w:name="_Toc16973"/>
      <w:bookmarkStart w:id="1275" w:name="_Toc383006553"/>
      <w:bookmarkStart w:id="1276" w:name="_Toc382998027"/>
      <w:bookmarkStart w:id="1277" w:name="_Toc419825432"/>
      <w:bookmarkStart w:id="1278" w:name="_Toc490832369"/>
      <w:bookmarkStart w:id="1279" w:name="_Toc419825084"/>
      <w:bookmarkStart w:id="1280" w:name="_Toc419724371"/>
      <w:bookmarkStart w:id="1281" w:name="_Toc383512772"/>
      <w:bookmarkStart w:id="1282" w:name="_Toc24570"/>
      <w:bookmarkStart w:id="1283" w:name="_Toc25439"/>
      <w:bookmarkStart w:id="1284" w:name="_Toc383013080"/>
      <w:bookmarkStart w:id="1285" w:name="_Toc463799111"/>
      <w:bookmarkStart w:id="1286" w:name="_Toc419729439"/>
      <w:r>
        <w:rPr>
          <w:rFonts w:hint="eastAsia" w:ascii="宋体" w:hAnsi="宋体" w:cs="黑体"/>
          <w:color w:val="auto"/>
          <w:sz w:val="72"/>
          <w:szCs w:val="72"/>
          <w:highlight w:val="none"/>
        </w:rPr>
        <w:t>投 标 文 件</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adjustRightInd w:val="0"/>
        <w:snapToGrid w:val="0"/>
        <w:spacing w:line="300" w:lineRule="auto"/>
        <w:jc w:val="center"/>
        <w:rPr>
          <w:rFonts w:hint="eastAsia" w:ascii="宋体" w:hAnsi="宋体"/>
          <w:b/>
          <w:color w:val="auto"/>
          <w:sz w:val="44"/>
          <w:highlight w:val="none"/>
        </w:rPr>
      </w:pPr>
    </w:p>
    <w:p>
      <w:pPr>
        <w:adjustRightInd w:val="0"/>
        <w:snapToGrid w:val="0"/>
        <w:spacing w:line="300" w:lineRule="auto"/>
        <w:jc w:val="center"/>
        <w:rPr>
          <w:rFonts w:hint="eastAsia" w:ascii="宋体" w:hAnsi="宋体"/>
          <w:b/>
          <w:color w:val="auto"/>
          <w:sz w:val="44"/>
          <w:highlight w:val="none"/>
        </w:rPr>
      </w:pPr>
    </w:p>
    <w:p>
      <w:pPr>
        <w:adjustRightInd w:val="0"/>
        <w:snapToGrid w:val="0"/>
        <w:spacing w:line="300" w:lineRule="auto"/>
        <w:ind w:firstLine="2891"/>
        <w:rPr>
          <w:rFonts w:hint="eastAsia" w:ascii="宋体" w:hAnsi="宋体"/>
          <w:b/>
          <w:color w:val="auto"/>
          <w:sz w:val="32"/>
          <w:highlight w:val="none"/>
        </w:rPr>
      </w:pPr>
    </w:p>
    <w:p>
      <w:pPr>
        <w:adjustRightInd w:val="0"/>
        <w:snapToGrid w:val="0"/>
        <w:spacing w:line="300" w:lineRule="auto"/>
        <w:ind w:firstLine="2891"/>
        <w:rPr>
          <w:rFonts w:hint="eastAsia" w:ascii="宋体" w:hAnsi="宋体"/>
          <w:b/>
          <w:color w:val="auto"/>
          <w:sz w:val="32"/>
          <w:highlight w:val="none"/>
        </w:rPr>
      </w:pPr>
    </w:p>
    <w:p>
      <w:pPr>
        <w:spacing w:line="360" w:lineRule="auto"/>
        <w:rPr>
          <w:rFonts w:hint="eastAsia" w:ascii="宋体" w:hAnsi="宋体"/>
          <w:color w:val="auto"/>
          <w:szCs w:val="21"/>
          <w:highlight w:val="none"/>
        </w:rPr>
      </w:pPr>
    </w:p>
    <w:p>
      <w:pPr>
        <w:spacing w:line="360" w:lineRule="auto"/>
        <w:ind w:firstLine="1124" w:firstLineChars="400"/>
        <w:rPr>
          <w:rFonts w:hint="eastAsia" w:ascii="宋体" w:hAnsi="宋体"/>
          <w:b/>
          <w:color w:val="auto"/>
          <w:sz w:val="28"/>
          <w:szCs w:val="28"/>
          <w:highlight w:val="none"/>
        </w:rPr>
      </w:pPr>
      <w:r>
        <w:rPr>
          <w:rFonts w:hint="eastAsia" w:ascii="宋体" w:hAnsi="宋体"/>
          <w:b/>
          <w:color w:val="auto"/>
          <w:sz w:val="28"/>
          <w:szCs w:val="28"/>
          <w:highlight w:val="none"/>
        </w:rPr>
        <w:t>投标人：</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（盖单位电子章）</w:t>
      </w:r>
    </w:p>
    <w:p>
      <w:pPr>
        <w:spacing w:line="360" w:lineRule="auto"/>
        <w:ind w:firstLine="1124" w:firstLineChars="400"/>
        <w:rPr>
          <w:rFonts w:hint="eastAsia" w:ascii="宋体" w:hAnsi="宋体"/>
          <w:b/>
          <w:color w:val="auto"/>
          <w:sz w:val="28"/>
          <w:szCs w:val="28"/>
          <w:highlight w:val="none"/>
        </w:rPr>
      </w:pPr>
    </w:p>
    <w:p>
      <w:pPr>
        <w:spacing w:line="360" w:lineRule="auto"/>
        <w:jc w:val="center"/>
        <w:rPr>
          <w:rFonts w:hint="eastAsia" w:ascii="宋体" w:hAnsi="宋体"/>
          <w:b/>
          <w:color w:val="auto"/>
          <w:szCs w:val="21"/>
          <w:highlight w:val="none"/>
          <w:u w:val="single"/>
        </w:rPr>
      </w:pPr>
    </w:p>
    <w:p>
      <w:pPr>
        <w:spacing w:line="360" w:lineRule="auto"/>
        <w:jc w:val="center"/>
        <w:rPr>
          <w:rFonts w:ascii="宋体" w:hAnsi="宋体"/>
          <w:b/>
          <w:color w:val="auto"/>
          <w:szCs w:val="21"/>
          <w:highlight w:val="none"/>
        </w:rPr>
        <w:sectPr>
          <w:footerReference r:id="rId12" w:type="default"/>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b/>
          <w:color w:val="auto"/>
          <w:szCs w:val="21"/>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pPr>
        <w:autoSpaceDE w:val="0"/>
        <w:autoSpaceDN w:val="0"/>
        <w:adjustRightInd w:val="0"/>
        <w:spacing w:line="300" w:lineRule="auto"/>
        <w:ind w:right="186"/>
        <w:rPr>
          <w:color w:val="auto"/>
          <w:sz w:val="44"/>
          <w:szCs w:val="44"/>
          <w:highlight w:val="none"/>
        </w:rPr>
      </w:pPr>
      <w:r>
        <w:rPr>
          <w:rFonts w:hint="eastAsia" w:ascii="宋体" w:hAnsi="宋体"/>
          <w:color w:val="auto"/>
          <w:kern w:val="0"/>
          <w:sz w:val="24"/>
          <w:highlight w:val="none"/>
        </w:rPr>
        <w:t xml:space="preserve">                       </w:t>
      </w:r>
    </w:p>
    <w:p>
      <w:pPr>
        <w:pStyle w:val="6"/>
        <w:jc w:val="center"/>
        <w:rPr>
          <w:color w:val="auto"/>
          <w:sz w:val="44"/>
          <w:szCs w:val="44"/>
          <w:highlight w:val="none"/>
        </w:rPr>
      </w:pPr>
      <w:bookmarkStart w:id="1287" w:name="_Toc419825433"/>
      <w:bookmarkStart w:id="1288" w:name="_Toc15737"/>
      <w:bookmarkStart w:id="1289" w:name="_Toc290198800"/>
      <w:bookmarkStart w:id="1290" w:name="_Toc463799112"/>
      <w:bookmarkStart w:id="1291" w:name="_Toc419825085"/>
      <w:bookmarkStart w:id="1292" w:name="_Toc490832370"/>
      <w:r>
        <w:rPr>
          <w:rFonts w:hint="eastAsia"/>
          <w:color w:val="auto"/>
          <w:sz w:val="44"/>
          <w:szCs w:val="44"/>
          <w:highlight w:val="none"/>
        </w:rPr>
        <w:t>目  录</w:t>
      </w:r>
      <w:bookmarkEnd w:id="1287"/>
      <w:bookmarkEnd w:id="1288"/>
      <w:bookmarkEnd w:id="1289"/>
      <w:bookmarkEnd w:id="1290"/>
      <w:bookmarkEnd w:id="1291"/>
      <w:bookmarkEnd w:id="1292"/>
    </w:p>
    <w:p>
      <w:pPr>
        <w:spacing w:line="360" w:lineRule="auto"/>
        <w:ind w:firstLine="420" w:firstLineChars="200"/>
        <w:rPr>
          <w:rFonts w:hint="eastAsia" w:ascii="宋体" w:hAnsi="宋体"/>
          <w:color w:val="auto"/>
          <w:szCs w:val="21"/>
          <w:highlight w:val="none"/>
        </w:rPr>
      </w:pP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pPr>
        <w:spacing w:line="400" w:lineRule="exact"/>
        <w:ind w:firstLine="359" w:firstLineChars="171"/>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pPr>
        <w:spacing w:line="400" w:lineRule="exact"/>
        <w:ind w:firstLine="359" w:firstLineChars="171"/>
        <w:rPr>
          <w:color w:val="auto"/>
          <w:highlight w:val="none"/>
        </w:rPr>
      </w:pPr>
      <w:r>
        <w:rPr>
          <w:rFonts w:hint="eastAsia"/>
          <w:color w:val="auto"/>
          <w:highlight w:val="none"/>
        </w:rPr>
        <w:t>（5）投标保证金；</w:t>
      </w:r>
    </w:p>
    <w:p>
      <w:pPr>
        <w:spacing w:line="400" w:lineRule="exact"/>
        <w:ind w:firstLine="359" w:firstLineChars="171"/>
        <w:rPr>
          <w:color w:val="auto"/>
          <w:highlight w:val="none"/>
        </w:rPr>
      </w:pPr>
      <w:r>
        <w:rPr>
          <w:rFonts w:hint="eastAsia"/>
          <w:color w:val="auto"/>
          <w:highlight w:val="none"/>
        </w:rPr>
        <w:t>（6）项目管理机构；</w:t>
      </w:r>
    </w:p>
    <w:p>
      <w:pPr>
        <w:spacing w:line="400" w:lineRule="exact"/>
        <w:ind w:firstLine="359" w:firstLineChars="171"/>
        <w:rPr>
          <w:color w:val="auto"/>
          <w:highlight w:val="none"/>
        </w:rPr>
      </w:pPr>
      <w:r>
        <w:rPr>
          <w:rFonts w:hint="eastAsia"/>
          <w:color w:val="auto"/>
          <w:highlight w:val="none"/>
        </w:rPr>
        <w:t>（7）资格审查资料；</w:t>
      </w:r>
    </w:p>
    <w:p>
      <w:pPr>
        <w:spacing w:line="400" w:lineRule="exact"/>
        <w:ind w:firstLine="359" w:firstLineChars="171"/>
        <w:rPr>
          <w:color w:val="auto"/>
          <w:highlight w:val="none"/>
        </w:rPr>
      </w:pPr>
      <w:r>
        <w:rPr>
          <w:rFonts w:hint="eastAsia"/>
          <w:color w:val="auto"/>
          <w:highlight w:val="none"/>
        </w:rPr>
        <w:t>（8）承诺函；</w:t>
      </w:r>
    </w:p>
    <w:p>
      <w:pPr>
        <w:spacing w:line="400" w:lineRule="exact"/>
        <w:ind w:firstLine="359" w:firstLineChars="171"/>
        <w:rPr>
          <w:rFonts w:hint="eastAsia"/>
          <w:color w:val="auto"/>
          <w:highlight w:val="none"/>
        </w:rPr>
      </w:pPr>
      <w:r>
        <w:rPr>
          <w:rFonts w:hint="eastAsia"/>
          <w:color w:val="auto"/>
          <w:highlight w:val="none"/>
        </w:rPr>
        <w:t>（9）已标价工程量清单</w:t>
      </w:r>
    </w:p>
    <w:p>
      <w:pPr>
        <w:spacing w:line="400" w:lineRule="exact"/>
        <w:ind w:firstLine="359" w:firstLineChars="171"/>
        <w:rPr>
          <w:rFonts w:hint="eastAsia"/>
          <w:color w:val="auto"/>
          <w:highlight w:val="none"/>
        </w:rPr>
      </w:pPr>
      <w:r>
        <w:rPr>
          <w:rFonts w:hint="eastAsia"/>
          <w:color w:val="auto"/>
          <w:highlight w:val="none"/>
        </w:rPr>
        <w:t>（10）定标要素情况表</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1）其他材料。</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color w:val="auto"/>
          <w:highlight w:val="none"/>
        </w:rPr>
      </w:pPr>
      <w:bookmarkStart w:id="1293" w:name="_Toc7401"/>
      <w:bookmarkStart w:id="1294" w:name="_Toc290198801"/>
      <w:bookmarkStart w:id="1295" w:name="_Toc419825434"/>
      <w:bookmarkStart w:id="1296" w:name="_Toc490832371"/>
      <w:bookmarkStart w:id="1297" w:name="_Toc463799113"/>
      <w:bookmarkStart w:id="1298" w:name="_Toc419825086"/>
      <w:r>
        <w:rPr>
          <w:rFonts w:hint="eastAsia"/>
          <w:color w:val="auto"/>
          <w:highlight w:val="none"/>
        </w:rPr>
        <w:t>一、投标函及投标函附录</w:t>
      </w:r>
      <w:bookmarkEnd w:id="1293"/>
      <w:bookmarkEnd w:id="1294"/>
      <w:bookmarkEnd w:id="1295"/>
      <w:bookmarkEnd w:id="1296"/>
      <w:bookmarkEnd w:id="1297"/>
      <w:bookmarkEnd w:id="1298"/>
    </w:p>
    <w:p>
      <w:pPr>
        <w:pStyle w:val="7"/>
        <w:jc w:val="center"/>
        <w:rPr>
          <w:rFonts w:hint="eastAsia"/>
          <w:color w:val="auto"/>
          <w:highlight w:val="none"/>
        </w:rPr>
      </w:pPr>
      <w:r>
        <w:rPr>
          <w:rFonts w:hint="eastAsia"/>
          <w:color w:val="auto"/>
          <w:highlight w:val="none"/>
        </w:rPr>
        <w:t>（一）投标函</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（招标人名称）: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施工招标文件的全部内容，愿意以人民币（大写）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）的投标总报价，工期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，按合同约定实施和完成承包工程，修补工程中的任何缺陷，工程质量达到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2．我方承诺在投标有效期内不修改、撤销投标文件。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3．□随同本投标函提交投标保证金一份，金额为人民币（大写）          元（¥            元）</w:t>
      </w:r>
      <w:r>
        <w:rPr>
          <w:rFonts w:hint="eastAsia" w:ascii="宋体" w:hAnsi="宋体"/>
          <w:color w:val="auto"/>
          <w:szCs w:val="21"/>
          <w:highlight w:val="none"/>
          <w:lang w:eastAsia="zh-CN"/>
        </w:rPr>
        <w:t>（符合招标文件规定的投标保证金优惠情形的，此处按实际金额填写）</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□我方按招标文件规定免缴投标保证金。</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4．如我方中标：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(l）我方承诺在收到中标通知书后，在中标通知书规定的期限内与你方签订合同。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(2）随同本投标函递交的投标函附录属于合同文件的组成部分。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(3）我方承诺按照招标文件规定向你方递交履约担保。</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(4）我方承诺在合同约定的期限内完成并移交全部合同工程。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5．我方在此声明，所递交的投标文件及有关资料内容完整、真实和准确，且不存在第二章“投标人须知”第1.4.3 项规定的任何一种情形。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7.如我方为满足投标保证金优惠规定的投标人，出现法律法规规定的没收投标保证金情形的，我方承诺按招标文件要求的金额缴足投标保证金。</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7"/>
        <w:jc w:val="center"/>
        <w:rPr>
          <w:color w:val="auto"/>
          <w:highlight w:val="none"/>
        </w:rPr>
      </w:pPr>
      <w:r>
        <w:rPr>
          <w:rFonts w:hint="eastAsia"/>
          <w:color w:val="auto"/>
          <w:highlight w:val="none"/>
        </w:rPr>
        <w:t>（二）投标函附录</w:t>
      </w:r>
    </w:p>
    <w:p>
      <w:pPr>
        <w:spacing w:line="360" w:lineRule="auto"/>
        <w:ind w:firstLine="420" w:firstLineChars="200"/>
        <w:rPr>
          <w:rFonts w:hint="eastAsia" w:ascii="宋体" w:hAnsi="宋体"/>
          <w:color w:val="auto"/>
          <w:szCs w:val="21"/>
          <w:highlight w:val="none"/>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73"/>
        <w:gridCol w:w="1417"/>
        <w:gridCol w:w="327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257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条款名称</w:t>
            </w:r>
          </w:p>
        </w:tc>
        <w:tc>
          <w:tcPr>
            <w:tcW w:w="141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合同条款号</w:t>
            </w:r>
          </w:p>
        </w:tc>
        <w:tc>
          <w:tcPr>
            <w:tcW w:w="3270"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约定内容</w:t>
            </w:r>
          </w:p>
        </w:tc>
        <w:tc>
          <w:tcPr>
            <w:tcW w:w="100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项目经理</w:t>
            </w:r>
          </w:p>
        </w:tc>
        <w:tc>
          <w:tcPr>
            <w:tcW w:w="141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1.1.2.4</w:t>
            </w:r>
          </w:p>
        </w:tc>
        <w:tc>
          <w:tcPr>
            <w:tcW w:w="3270" w:type="dxa"/>
            <w:noWrap w:val="0"/>
            <w:vAlign w:val="center"/>
          </w:tcPr>
          <w:p>
            <w:pPr>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r>
              <w:rPr>
                <w:rFonts w:hint="eastAsia" w:ascii="宋体" w:hAnsi="宋体"/>
                <w:color w:val="auto"/>
                <w:szCs w:val="21"/>
                <w:highlight w:val="none"/>
              </w:rPr>
              <w:t>职称证书及编号：</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r>
              <w:rPr>
                <w:rFonts w:hint="eastAsia" w:ascii="宋体" w:hAnsi="宋体"/>
                <w:color w:val="auto"/>
                <w:szCs w:val="21"/>
                <w:highlight w:val="none"/>
              </w:rPr>
              <w:t>执业资格证书及编号：</w:t>
            </w:r>
            <w:r>
              <w:rPr>
                <w:rFonts w:hint="eastAsia" w:ascii="宋体" w:hAnsi="宋体"/>
                <w:color w:val="auto"/>
                <w:szCs w:val="21"/>
                <w:highlight w:val="none"/>
                <w:u w:val="single"/>
              </w:rPr>
              <w:t xml:space="preserve">         </w:t>
            </w: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noWrap w:val="0"/>
            <w:vAlign w:val="center"/>
          </w:tcPr>
          <w:p>
            <w:pPr>
              <w:jc w:val="center"/>
              <w:rPr>
                <w:rFonts w:hint="eastAsia" w:ascii="宋体" w:hAnsi="宋体"/>
                <w:color w:val="auto"/>
                <w:szCs w:val="21"/>
                <w:highlight w:val="none"/>
              </w:rPr>
            </w:pP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技术负责人</w:t>
            </w:r>
          </w:p>
        </w:tc>
        <w:tc>
          <w:tcPr>
            <w:tcW w:w="1417" w:type="dxa"/>
            <w:noWrap w:val="0"/>
            <w:vAlign w:val="center"/>
          </w:tcPr>
          <w:p>
            <w:pPr>
              <w:rPr>
                <w:rFonts w:hint="eastAsia" w:ascii="宋体" w:hAnsi="宋体"/>
                <w:color w:val="auto"/>
                <w:szCs w:val="21"/>
                <w:highlight w:val="none"/>
              </w:rPr>
            </w:pPr>
          </w:p>
        </w:tc>
        <w:tc>
          <w:tcPr>
            <w:tcW w:w="3270" w:type="dxa"/>
            <w:noWrap w:val="0"/>
            <w:vAlign w:val="center"/>
          </w:tcPr>
          <w:p>
            <w:pPr>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pPr>
              <w:rPr>
                <w:rFonts w:hint="eastAsia" w:ascii="宋体" w:hAnsi="宋体"/>
                <w:color w:val="auto"/>
                <w:szCs w:val="21"/>
                <w:highlight w:val="none"/>
              </w:rPr>
            </w:pPr>
            <w:r>
              <w:rPr>
                <w:rFonts w:hint="eastAsia" w:ascii="宋体" w:hAnsi="宋体"/>
                <w:color w:val="auto"/>
                <w:szCs w:val="21"/>
                <w:highlight w:val="none"/>
              </w:rPr>
              <w:t xml:space="preserve">职称证书及编号：           </w:t>
            </w: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工期</w:t>
            </w:r>
          </w:p>
        </w:tc>
        <w:tc>
          <w:tcPr>
            <w:tcW w:w="141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1.1.4.3</w:t>
            </w:r>
          </w:p>
        </w:tc>
        <w:tc>
          <w:tcPr>
            <w:tcW w:w="3270" w:type="dxa"/>
            <w:noWrap w:val="0"/>
            <w:vAlign w:val="center"/>
          </w:tcPr>
          <w:p>
            <w:pPr>
              <w:rPr>
                <w:rFonts w:hint="eastAsia" w:ascii="宋体" w:hAnsi="宋体"/>
                <w:color w:val="auto"/>
                <w:szCs w:val="21"/>
                <w:highlight w:val="none"/>
              </w:rPr>
            </w:pP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u w:val="single"/>
              </w:rPr>
              <w:t xml:space="preserve">      </w:t>
            </w: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1.1.4.5</w:t>
            </w:r>
          </w:p>
        </w:tc>
        <w:tc>
          <w:tcPr>
            <w:tcW w:w="3270" w:type="dxa"/>
            <w:noWrap w:val="0"/>
            <w:vAlign w:val="center"/>
          </w:tcPr>
          <w:p>
            <w:pPr>
              <w:rPr>
                <w:rFonts w:hint="eastAsia" w:ascii="宋体" w:hAnsi="宋体"/>
                <w:color w:val="auto"/>
                <w:szCs w:val="21"/>
                <w:highlight w:val="none"/>
              </w:rPr>
            </w:pP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分包</w:t>
            </w:r>
          </w:p>
        </w:tc>
        <w:tc>
          <w:tcPr>
            <w:tcW w:w="141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4.3.4</w:t>
            </w:r>
          </w:p>
        </w:tc>
        <w:tc>
          <w:tcPr>
            <w:tcW w:w="3270" w:type="dxa"/>
            <w:noWrap w:val="0"/>
            <w:vAlign w:val="center"/>
          </w:tcPr>
          <w:p>
            <w:pPr>
              <w:rPr>
                <w:rFonts w:hint="eastAsia" w:ascii="宋体" w:hAnsi="宋体"/>
                <w:color w:val="auto"/>
                <w:szCs w:val="21"/>
                <w:highlight w:val="none"/>
              </w:rPr>
            </w:pP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投标有效期</w:t>
            </w:r>
          </w:p>
        </w:tc>
        <w:tc>
          <w:tcPr>
            <w:tcW w:w="1417" w:type="dxa"/>
            <w:noWrap w:val="0"/>
            <w:vAlign w:val="top"/>
          </w:tcPr>
          <w:p>
            <w:pPr>
              <w:rPr>
                <w:rFonts w:hint="eastAsia" w:ascii="宋体" w:hAnsi="宋体"/>
                <w:color w:val="auto"/>
                <w:szCs w:val="21"/>
                <w:highlight w:val="none"/>
              </w:rPr>
            </w:pPr>
          </w:p>
        </w:tc>
        <w:tc>
          <w:tcPr>
            <w:tcW w:w="327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 xml:space="preserve">      天</w:t>
            </w: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投标保证金</w:t>
            </w:r>
          </w:p>
        </w:tc>
        <w:tc>
          <w:tcPr>
            <w:tcW w:w="1417" w:type="dxa"/>
            <w:noWrap w:val="0"/>
            <w:vAlign w:val="center"/>
          </w:tcPr>
          <w:p>
            <w:pPr>
              <w:rPr>
                <w:rFonts w:hint="eastAsia" w:ascii="宋体" w:hAnsi="宋体"/>
                <w:color w:val="auto"/>
                <w:szCs w:val="21"/>
                <w:highlight w:val="none"/>
              </w:rPr>
            </w:pPr>
          </w:p>
        </w:tc>
        <w:tc>
          <w:tcPr>
            <w:tcW w:w="327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 xml:space="preserve">       元</w:t>
            </w:r>
          </w:p>
        </w:tc>
        <w:tc>
          <w:tcPr>
            <w:tcW w:w="1004"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权利义务</w:t>
            </w:r>
          </w:p>
        </w:tc>
        <w:tc>
          <w:tcPr>
            <w:tcW w:w="1417" w:type="dxa"/>
            <w:noWrap w:val="0"/>
            <w:vAlign w:val="top"/>
          </w:tcPr>
          <w:p>
            <w:pPr>
              <w:rPr>
                <w:rFonts w:hint="eastAsia" w:ascii="宋体" w:hAnsi="宋体"/>
                <w:color w:val="auto"/>
                <w:szCs w:val="21"/>
                <w:highlight w:val="none"/>
              </w:rPr>
            </w:pPr>
          </w:p>
        </w:tc>
        <w:tc>
          <w:tcPr>
            <w:tcW w:w="3270" w:type="dxa"/>
            <w:noWrap w:val="0"/>
            <w:vAlign w:val="top"/>
          </w:tcPr>
          <w:p>
            <w:pPr>
              <w:rPr>
                <w:rFonts w:hint="eastAsia"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第五章“合同条款及格式”规定</w:t>
            </w:r>
          </w:p>
        </w:tc>
        <w:tc>
          <w:tcPr>
            <w:tcW w:w="1004"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技术标准和要求</w:t>
            </w:r>
          </w:p>
        </w:tc>
        <w:tc>
          <w:tcPr>
            <w:tcW w:w="1417" w:type="dxa"/>
            <w:noWrap w:val="0"/>
            <w:vAlign w:val="top"/>
          </w:tcPr>
          <w:p>
            <w:pPr>
              <w:rPr>
                <w:rFonts w:hint="eastAsia" w:ascii="宋体" w:hAnsi="宋体"/>
                <w:color w:val="auto"/>
                <w:szCs w:val="21"/>
                <w:highlight w:val="none"/>
              </w:rPr>
            </w:pPr>
          </w:p>
        </w:tc>
        <w:tc>
          <w:tcPr>
            <w:tcW w:w="3270" w:type="dxa"/>
            <w:noWrap w:val="0"/>
            <w:vAlign w:val="top"/>
          </w:tcPr>
          <w:p>
            <w:pPr>
              <w:rPr>
                <w:rFonts w:hint="eastAsia"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第八章“技术标准和要求”规定</w:t>
            </w:r>
          </w:p>
        </w:tc>
        <w:tc>
          <w:tcPr>
            <w:tcW w:w="1004"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信誉承诺</w:t>
            </w:r>
          </w:p>
        </w:tc>
        <w:tc>
          <w:tcPr>
            <w:tcW w:w="1417" w:type="dxa"/>
            <w:noWrap w:val="0"/>
            <w:vAlign w:val="center"/>
          </w:tcPr>
          <w:p>
            <w:pPr>
              <w:rPr>
                <w:rFonts w:hint="eastAsia" w:ascii="宋体" w:hAnsi="宋体"/>
                <w:color w:val="auto"/>
                <w:szCs w:val="21"/>
                <w:highlight w:val="none"/>
              </w:rPr>
            </w:pPr>
          </w:p>
        </w:tc>
        <w:tc>
          <w:tcPr>
            <w:tcW w:w="3270" w:type="dxa"/>
            <w:noWrap w:val="0"/>
            <w:vAlign w:val="top"/>
          </w:tcPr>
          <w:p>
            <w:pPr>
              <w:rPr>
                <w:rFonts w:hint="eastAsia" w:ascii="宋体" w:hAnsi="宋体"/>
                <w:color w:val="auto"/>
                <w:szCs w:val="21"/>
                <w:highlight w:val="none"/>
              </w:rPr>
            </w:pPr>
          </w:p>
        </w:tc>
        <w:tc>
          <w:tcPr>
            <w:tcW w:w="1004"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其他主要人员配置</w:t>
            </w:r>
          </w:p>
        </w:tc>
        <w:tc>
          <w:tcPr>
            <w:tcW w:w="1417" w:type="dxa"/>
            <w:noWrap w:val="0"/>
            <w:vAlign w:val="center"/>
          </w:tcPr>
          <w:p>
            <w:pPr>
              <w:rPr>
                <w:rFonts w:hint="eastAsia" w:ascii="宋体" w:hAnsi="宋体"/>
                <w:color w:val="auto"/>
                <w:szCs w:val="21"/>
                <w:highlight w:val="none"/>
              </w:rPr>
            </w:pPr>
          </w:p>
        </w:tc>
        <w:tc>
          <w:tcPr>
            <w:tcW w:w="3270" w:type="dxa"/>
            <w:noWrap w:val="0"/>
            <w:vAlign w:val="center"/>
          </w:tcPr>
          <w:p>
            <w:pPr>
              <w:rPr>
                <w:rFonts w:hint="eastAsia"/>
                <w:color w:val="auto"/>
                <w:highlight w:val="none"/>
              </w:rPr>
            </w:pPr>
            <w:r>
              <w:rPr>
                <w:rFonts w:hint="eastAsia"/>
                <w:color w:val="auto"/>
                <w:highlight w:val="none"/>
              </w:rPr>
              <w:t>按招标文件中“其他主要管理人员和技术人员最低要求”配置。</w:t>
            </w:r>
          </w:p>
        </w:tc>
        <w:tc>
          <w:tcPr>
            <w:tcW w:w="1004"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企业财务</w:t>
            </w:r>
          </w:p>
        </w:tc>
        <w:tc>
          <w:tcPr>
            <w:tcW w:w="1417" w:type="dxa"/>
            <w:noWrap w:val="0"/>
            <w:vAlign w:val="center"/>
          </w:tcPr>
          <w:p>
            <w:pPr>
              <w:rPr>
                <w:rFonts w:hint="eastAsia" w:ascii="宋体" w:hAnsi="宋体"/>
                <w:color w:val="auto"/>
                <w:szCs w:val="21"/>
                <w:highlight w:val="none"/>
              </w:rPr>
            </w:pPr>
          </w:p>
        </w:tc>
        <w:tc>
          <w:tcPr>
            <w:tcW w:w="3270" w:type="dxa"/>
            <w:noWrap w:val="0"/>
            <w:vAlign w:val="center"/>
          </w:tcPr>
          <w:p>
            <w:pPr>
              <w:rPr>
                <w:rFonts w:hint="eastAsia"/>
                <w:color w:val="auto"/>
                <w:highlight w:val="none"/>
              </w:rPr>
            </w:pPr>
          </w:p>
        </w:tc>
        <w:tc>
          <w:tcPr>
            <w:tcW w:w="1004"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257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41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3270" w:type="dxa"/>
            <w:noWrap w:val="0"/>
            <w:vAlign w:val="top"/>
          </w:tcPr>
          <w:p>
            <w:pPr>
              <w:rPr>
                <w:rFonts w:hint="eastAsia"/>
                <w:color w:val="auto"/>
                <w:highlight w:val="none"/>
              </w:rPr>
            </w:pPr>
            <w:r>
              <w:rPr>
                <w:rFonts w:hint="eastAsia" w:ascii="宋体" w:hAnsi="宋体"/>
                <w:color w:val="auto"/>
                <w:szCs w:val="21"/>
                <w:highlight w:val="none"/>
              </w:rPr>
              <w:t>…</w:t>
            </w:r>
          </w:p>
        </w:tc>
        <w:tc>
          <w:tcPr>
            <w:tcW w:w="1004" w:type="dxa"/>
            <w:noWrap w:val="0"/>
            <w:vAlign w:val="center"/>
          </w:tcPr>
          <w:p>
            <w:pPr>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color w:val="auto"/>
          <w:highlight w:val="none"/>
        </w:rPr>
      </w:pPr>
      <w:bookmarkStart w:id="1299" w:name="_Toc419825087"/>
      <w:bookmarkStart w:id="1300" w:name="_Toc290198802"/>
      <w:bookmarkStart w:id="1301" w:name="_Toc419825435"/>
      <w:bookmarkStart w:id="1302" w:name="_Toc463799114"/>
      <w:bookmarkStart w:id="1303" w:name="_Toc490832372"/>
      <w:bookmarkStart w:id="1304" w:name="_Toc18176"/>
      <w:r>
        <w:rPr>
          <w:rFonts w:hint="eastAsia"/>
          <w:color w:val="auto"/>
          <w:highlight w:val="none"/>
        </w:rPr>
        <w:t>二、法定代表人身份证明</w:t>
      </w:r>
      <w:bookmarkEnd w:id="1299"/>
      <w:bookmarkEnd w:id="1300"/>
      <w:bookmarkEnd w:id="1301"/>
      <w:bookmarkEnd w:id="1302"/>
      <w:bookmarkEnd w:id="1303"/>
      <w:bookmarkEnd w:id="1304"/>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_____________________________</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________________________________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______________________________________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_______________________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附：法定代表人身份证正反面扫描件。</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ind w:firstLine="4515" w:firstLineChars="21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firstLineChars="200"/>
        <w:rPr>
          <w:rFonts w:hint="eastAsia" w:ascii="宋体" w:hAnsi="宋体"/>
          <w:color w:val="auto"/>
          <w:szCs w:val="21"/>
          <w:highlight w:val="none"/>
        </w:rPr>
      </w:pPr>
      <w:r>
        <w:rPr>
          <w:rFonts w:hint="eastAsia" w:ascii="宋体" w:hAnsi="宋体"/>
          <w:snapToGrid w:val="0"/>
          <w:color w:val="auto"/>
          <w:kern w:val="0"/>
          <w:sz w:val="24"/>
          <w:highlight w:val="none"/>
        </w:rPr>
        <w:t>（注：联合体投标，非牵头人方可采用盖章彩色扫描件上传）</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color w:val="auto"/>
          <w:highlight w:val="none"/>
        </w:rPr>
      </w:pPr>
      <w:bookmarkStart w:id="1305" w:name="_Toc419825088"/>
      <w:bookmarkStart w:id="1306" w:name="_Toc463799115"/>
      <w:bookmarkStart w:id="1307" w:name="_Toc7930"/>
      <w:bookmarkStart w:id="1308" w:name="_Toc419825436"/>
      <w:bookmarkStart w:id="1309" w:name="_Toc290198803"/>
      <w:bookmarkStart w:id="1310" w:name="_Toc490832373"/>
      <w:r>
        <w:rPr>
          <w:rFonts w:hint="eastAsia"/>
          <w:color w:val="auto"/>
          <w:highlight w:val="none"/>
        </w:rPr>
        <w:t>三、授权委托书</w:t>
      </w:r>
      <w:bookmarkEnd w:id="1305"/>
      <w:bookmarkEnd w:id="1306"/>
      <w:bookmarkEnd w:id="1307"/>
      <w:bookmarkEnd w:id="1308"/>
      <w:bookmarkEnd w:id="1309"/>
      <w:r>
        <w:rPr>
          <w:rFonts w:hint="eastAsia" w:ascii="宋体" w:hAnsi="宋体"/>
          <w:color w:val="auto"/>
          <w:szCs w:val="21"/>
          <w:highlight w:val="none"/>
        </w:rPr>
        <w:t>（若有授权）</w:t>
      </w:r>
      <w:bookmarkEnd w:id="1310"/>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附：委托代理人身份证正反面扫描件</w:t>
      </w:r>
    </w:p>
    <w:p>
      <w:pPr>
        <w:spacing w:line="360" w:lineRule="auto"/>
        <w:ind w:firstLine="420" w:firstLineChars="200"/>
        <w:rPr>
          <w:rFonts w:hint="eastAsia" w:ascii="宋体" w:hAnsi="宋体"/>
          <w:color w:val="auto"/>
          <w:szCs w:val="21"/>
          <w:highlight w:val="none"/>
        </w:rPr>
      </w:pP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725" w:firstLineChars="2250"/>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ind w:left="1050" w:leftChars="200" w:hanging="630" w:hangingChars="300"/>
        <w:rPr>
          <w:rFonts w:hint="eastAsia" w:ascii="宋体" w:hAnsi="宋体"/>
          <w:color w:val="auto"/>
          <w:szCs w:val="21"/>
          <w:highlight w:val="none"/>
        </w:rPr>
      </w:pPr>
    </w:p>
    <w:p>
      <w:pPr>
        <w:spacing w:line="400" w:lineRule="exact"/>
        <w:ind w:left="1050" w:leftChars="200" w:hanging="630" w:hangingChars="300"/>
        <w:rPr>
          <w:rFonts w:ascii="宋体" w:hAnsi="宋体"/>
          <w:color w:val="auto"/>
          <w:szCs w:val="21"/>
          <w:highlight w:val="none"/>
        </w:rPr>
      </w:pPr>
      <w:r>
        <w:rPr>
          <w:rFonts w:hint="eastAsia" w:ascii="宋体" w:hAnsi="宋体"/>
          <w:color w:val="auto"/>
          <w:szCs w:val="21"/>
          <w:highlight w:val="none"/>
        </w:rPr>
        <w:t>（联合体投标，联合体各方可采用盖章彩色扫描件上传）</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color w:val="auto"/>
          <w:highlight w:val="none"/>
        </w:rPr>
      </w:pPr>
      <w:bookmarkStart w:id="1311" w:name="_Toc463799116"/>
      <w:bookmarkStart w:id="1312" w:name="_Toc290198804"/>
      <w:bookmarkStart w:id="1313" w:name="_Toc419825437"/>
      <w:bookmarkStart w:id="1314" w:name="_Toc17913"/>
      <w:bookmarkStart w:id="1315" w:name="_Toc419825089"/>
      <w:bookmarkStart w:id="1316" w:name="_Toc490832374"/>
      <w:r>
        <w:rPr>
          <w:rFonts w:hint="eastAsia"/>
          <w:color w:val="auto"/>
          <w:highlight w:val="none"/>
        </w:rPr>
        <w:t>四、联合体协议书</w:t>
      </w:r>
      <w:bookmarkEnd w:id="1311"/>
      <w:bookmarkEnd w:id="1312"/>
      <w:bookmarkEnd w:id="1313"/>
      <w:bookmarkEnd w:id="1314"/>
      <w:bookmarkEnd w:id="1315"/>
      <w:r>
        <w:rPr>
          <w:rFonts w:hint="eastAsia" w:ascii="宋体" w:hAnsi="宋体"/>
          <w:color w:val="auto"/>
          <w:szCs w:val="21"/>
          <w:highlight w:val="none"/>
        </w:rPr>
        <w:t>（若有）</w:t>
      </w:r>
      <w:bookmarkEnd w:id="1316"/>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（所有成员单位名称）自愿组成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（项目名称）施工投标。现就联合体投标事宜订立如下协议。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3、联合体将严格按照招标文件的各项要求，递交投标文件，履行合同，并对外承担连带责任。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5、本协议书自签署之日起生效，合同履行完毕后自动失效。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注：本协议书由委托代理人签字的，应附法定代表人签字的授权委托书。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（可采用扫描件上传）</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成员一名称：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hint="eastAsia" w:ascii="宋体" w:hAnsi="宋体"/>
          <w:color w:val="auto"/>
          <w:szCs w:val="21"/>
          <w:highlight w:val="none"/>
          <w:u w:val="single"/>
        </w:rPr>
      </w:pPr>
    </w:p>
    <w:p>
      <w:pPr>
        <w:spacing w:line="360" w:lineRule="auto"/>
        <w:ind w:firstLine="4410" w:firstLineChars="2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color w:val="auto"/>
          <w:highlight w:val="none"/>
        </w:rPr>
      </w:pPr>
      <w:bookmarkStart w:id="1317" w:name="_Toc419825438"/>
      <w:bookmarkStart w:id="1318" w:name="_Toc28452"/>
      <w:bookmarkStart w:id="1319" w:name="_Toc463799117"/>
      <w:bookmarkStart w:id="1320" w:name="_Toc419825090"/>
      <w:bookmarkStart w:id="1321" w:name="_Toc290198805"/>
      <w:bookmarkStart w:id="1322" w:name="_Toc490832375"/>
      <w:r>
        <w:rPr>
          <w:rFonts w:hint="eastAsia"/>
          <w:color w:val="auto"/>
          <w:highlight w:val="none"/>
        </w:rPr>
        <w:t>五、投标保证金</w:t>
      </w:r>
      <w:bookmarkEnd w:id="1317"/>
      <w:bookmarkEnd w:id="1318"/>
      <w:bookmarkEnd w:id="1319"/>
      <w:bookmarkEnd w:id="1320"/>
      <w:bookmarkEnd w:id="1321"/>
      <w:bookmarkEnd w:id="1322"/>
    </w:p>
    <w:p>
      <w:pPr>
        <w:spacing w:line="360" w:lineRule="auto"/>
        <w:ind w:firstLine="420" w:firstLineChars="200"/>
        <w:rPr>
          <w:rFonts w:hint="eastAsia" w:ascii="宋体" w:hAnsi="宋体"/>
          <w:color w:val="auto"/>
          <w:szCs w:val="21"/>
          <w:highlight w:val="none"/>
        </w:rPr>
      </w:pPr>
    </w:p>
    <w:tbl>
      <w:tblPr>
        <w:tblStyle w:val="3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9401" w:type="dxa"/>
            <w:noWrap w:val="0"/>
            <w:vAlign w:val="center"/>
          </w:tcPr>
          <w:p>
            <w:pPr>
              <w:spacing w:line="400" w:lineRule="exact"/>
              <w:jc w:val="center"/>
              <w:rPr>
                <w:rFonts w:hint="eastAsia"/>
                <w:color w:val="auto"/>
                <w:sz w:val="24"/>
                <w:highlight w:val="none"/>
              </w:rPr>
            </w:pPr>
            <w:r>
              <w:rPr>
                <w:rFonts w:hint="eastAsia"/>
                <w:color w:val="auto"/>
                <w:sz w:val="24"/>
                <w:highlight w:val="none"/>
              </w:rPr>
              <w:t>本项目投标保证金汇款凭证 (或《建筑龙头企业年度投标保证金》收讫证明、或银行保函) 扫描件</w:t>
            </w:r>
          </w:p>
          <w:p>
            <w:pPr>
              <w:spacing w:line="400" w:lineRule="exact"/>
              <w:jc w:val="center"/>
              <w:rPr>
                <w:rFonts w:hint="eastAsia" w:ascii="宋体" w:hAnsi="宋体"/>
                <w:color w:val="auto"/>
                <w:szCs w:val="21"/>
                <w:highlight w:val="none"/>
              </w:rPr>
            </w:pPr>
          </w:p>
          <w:p>
            <w:pPr>
              <w:spacing w:line="400" w:lineRule="exact"/>
              <w:jc w:val="center"/>
              <w:rPr>
                <w:rFonts w:hint="eastAsia" w:ascii="宋体" w:hAnsi="宋体"/>
                <w:color w:val="auto"/>
                <w:szCs w:val="21"/>
                <w:highlight w:val="none"/>
              </w:rPr>
            </w:pPr>
          </w:p>
          <w:p>
            <w:pPr>
              <w:spacing w:line="400" w:lineRule="exact"/>
              <w:jc w:val="center"/>
              <w:rPr>
                <w:color w:val="auto"/>
                <w:sz w:val="24"/>
                <w:highlight w:val="none"/>
              </w:rPr>
            </w:pPr>
          </w:p>
          <w:p>
            <w:pPr>
              <w:spacing w:line="400" w:lineRule="exact"/>
              <w:jc w:val="center"/>
              <w:rPr>
                <w:color w:val="auto"/>
                <w:sz w:val="24"/>
                <w:highlight w:val="none"/>
              </w:rPr>
            </w:pPr>
          </w:p>
        </w:tc>
      </w:tr>
    </w:tbl>
    <w:p>
      <w:pPr>
        <w:spacing w:line="400" w:lineRule="exact"/>
        <w:ind w:firstLine="480" w:firstLineChars="200"/>
        <w:rPr>
          <w:color w:val="auto"/>
          <w:sz w:val="24"/>
          <w:highlight w:val="none"/>
        </w:rPr>
      </w:pPr>
    </w:p>
    <w:p>
      <w:pPr>
        <w:spacing w:line="400" w:lineRule="exact"/>
        <w:ind w:firstLine="480" w:firstLineChars="200"/>
        <w:rPr>
          <w:color w:val="auto"/>
          <w:sz w:val="24"/>
          <w:highlight w:val="none"/>
        </w:rPr>
      </w:pPr>
    </w:p>
    <w:tbl>
      <w:tblPr>
        <w:tblStyle w:val="3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46" w:hRule="atLeast"/>
        </w:trPr>
        <w:tc>
          <w:tcPr>
            <w:tcW w:w="9401" w:type="dxa"/>
            <w:noWrap w:val="0"/>
            <w:vAlign w:val="center"/>
          </w:tcPr>
          <w:p>
            <w:pPr>
              <w:spacing w:line="400" w:lineRule="exact"/>
              <w:jc w:val="center"/>
              <w:rPr>
                <w:rFonts w:hint="eastAsia"/>
                <w:color w:val="auto"/>
                <w:sz w:val="24"/>
                <w:highlight w:val="none"/>
              </w:rPr>
            </w:pPr>
            <w:r>
              <w:rPr>
                <w:rFonts w:hint="eastAsia"/>
                <w:color w:val="auto"/>
                <w:sz w:val="24"/>
                <w:highlight w:val="none"/>
              </w:rPr>
              <w:t>投标人工商注册所在地开户银行的基本账户开户许可证或基本存款账户信息扫描件</w:t>
            </w:r>
          </w:p>
          <w:p>
            <w:pPr>
              <w:spacing w:line="400" w:lineRule="exact"/>
              <w:jc w:val="center"/>
              <w:rPr>
                <w:color w:val="auto"/>
                <w:sz w:val="24"/>
                <w:highlight w:val="none"/>
              </w:rPr>
            </w:pPr>
          </w:p>
        </w:tc>
      </w:tr>
    </w:tbl>
    <w:p>
      <w:pPr>
        <w:spacing w:line="480" w:lineRule="auto"/>
        <w:rPr>
          <w:rFonts w:hint="eastAsia" w:ascii="宋体" w:hAnsi="宋体"/>
          <w:color w:val="auto"/>
          <w:sz w:val="28"/>
          <w:szCs w:val="28"/>
          <w:highlight w:val="none"/>
        </w:rPr>
      </w:pPr>
      <w:r>
        <w:rPr>
          <w:rFonts w:hint="eastAsia" w:ascii="宋体" w:hAnsi="宋体"/>
          <w:color w:val="auto"/>
          <w:sz w:val="28"/>
          <w:szCs w:val="28"/>
          <w:highlight w:val="none"/>
        </w:rPr>
        <w:t xml:space="preserve">注：采用电子保函的，投标人提交的电子保函文件应符合《福建省公共资源电子保函文件格式标准（试行）》要求，以及在电子保函文件中应有担保人对电子保函真实性和承担责任等的承诺、查验保函网址。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br w:type="page"/>
      </w:r>
    </w:p>
    <w:p>
      <w:pPr>
        <w:rPr>
          <w:color w:val="auto"/>
          <w:highlight w:val="none"/>
        </w:rPr>
      </w:pPr>
    </w:p>
    <w:p>
      <w:pPr>
        <w:jc w:val="left"/>
        <w:rPr>
          <w:rFonts w:ascii="黑体" w:hAnsi="黑体" w:eastAsia="黑体" w:cs="Times New Roman"/>
          <w:color w:val="auto"/>
          <w:kern w:val="1"/>
          <w:sz w:val="21"/>
          <w:szCs w:val="24"/>
          <w:highlight w:val="none"/>
        </w:rPr>
      </w:pPr>
      <w:r>
        <w:rPr>
          <w:rFonts w:hint="eastAsia" w:ascii="黑体" w:hAnsi="黑体" w:eastAsia="黑体" w:cs="Times New Roman"/>
          <w:color w:val="auto"/>
          <w:kern w:val="1"/>
          <w:sz w:val="21"/>
          <w:szCs w:val="24"/>
          <w:highlight w:val="none"/>
        </w:rPr>
        <w:t>免缴投标保证金承诺函附件</w:t>
      </w:r>
    </w:p>
    <w:p>
      <w:pPr>
        <w:rPr>
          <w:rFonts w:ascii="宋体" w:hAnsi="宋体" w:cs="宋体"/>
          <w:color w:val="auto"/>
          <w:kern w:val="2"/>
          <w:sz w:val="21"/>
          <w:szCs w:val="21"/>
          <w:highlight w:val="none"/>
        </w:rPr>
      </w:pPr>
    </w:p>
    <w:p>
      <w:pPr>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符合免缴投标保证金形式规定的证明材料</w:t>
      </w: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widowControl w:val="0"/>
        <w:spacing w:before="480" w:beforeLines="200" w:after="240" w:afterLines="100"/>
        <w:jc w:val="right"/>
        <w:outlineLvl w:val="0"/>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val="en-US" w:eastAsia="zh-CN" w:bidi="ar-SA"/>
        </w:rPr>
        <w:t>投标人：</w:t>
      </w:r>
      <w:r>
        <w:rPr>
          <w:rFonts w:hint="eastAsia" w:ascii="宋体" w:hAnsi="宋体" w:eastAsia="黑体" w:cs="宋体"/>
          <w:color w:val="auto"/>
          <w:kern w:val="0"/>
          <w:sz w:val="21"/>
          <w:szCs w:val="21"/>
          <w:highlight w:val="none"/>
          <w:u w:val="single"/>
          <w:lang w:val="en-US" w:eastAsia="zh-CN" w:bidi="ar-SA"/>
        </w:rPr>
        <w:t xml:space="preserve">             </w:t>
      </w:r>
      <w:r>
        <w:rPr>
          <w:rFonts w:hint="eastAsia" w:ascii="宋体" w:hAnsi="宋体" w:eastAsia="黑体" w:cs="宋体"/>
          <w:color w:val="auto"/>
          <w:kern w:val="0"/>
          <w:sz w:val="21"/>
          <w:szCs w:val="21"/>
          <w:highlight w:val="none"/>
          <w:lang w:val="en-US" w:eastAsia="zh-CN" w:bidi="ar-SA"/>
        </w:rPr>
        <w:t>（盖单位公章）</w:t>
      </w:r>
    </w:p>
    <w:p>
      <w:pPr>
        <w:widowControl w:val="0"/>
        <w:spacing w:before="480" w:beforeLines="200" w:after="240" w:afterLines="100"/>
        <w:jc w:val="right"/>
        <w:outlineLvl w:val="0"/>
        <w:rPr>
          <w:rFonts w:hint="eastAsia" w:ascii="宋体" w:hAnsi="宋体" w:eastAsia="黑体" w:cs="宋体"/>
          <w:color w:val="auto"/>
          <w:kern w:val="0"/>
          <w:sz w:val="21"/>
          <w:szCs w:val="21"/>
          <w:highlight w:val="none"/>
          <w:lang w:val="en-US" w:eastAsia="zh-CN" w:bidi="ar-SA"/>
        </w:rPr>
      </w:pPr>
    </w:p>
    <w:p>
      <w:pPr>
        <w:pStyle w:val="2"/>
        <w:rPr>
          <w:color w:val="auto"/>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snapToGrid w:val="0"/>
          <w:color w:val="auto"/>
          <w:kern w:val="0"/>
          <w:sz w:val="24"/>
          <w:highlight w:val="none"/>
        </w:rPr>
        <w:t>（注：联合体投标，联合体各方可采用盖章彩色扫描件上传）</w:t>
      </w:r>
    </w:p>
    <w:p>
      <w:pPr>
        <w:pStyle w:val="6"/>
        <w:jc w:val="center"/>
        <w:rPr>
          <w:rFonts w:hint="eastAsia"/>
          <w:color w:val="auto"/>
          <w:highlight w:val="none"/>
        </w:rPr>
      </w:pPr>
      <w:bookmarkStart w:id="1323" w:name="_Toc28047"/>
      <w:bookmarkStart w:id="1324" w:name="_Toc290198808"/>
      <w:bookmarkStart w:id="1325" w:name="_Toc419825093"/>
      <w:bookmarkStart w:id="1326" w:name="_Toc419825441"/>
      <w:bookmarkStart w:id="1327" w:name="_Toc463799121"/>
      <w:bookmarkStart w:id="1328" w:name="_Toc490832376"/>
      <w:r>
        <w:rPr>
          <w:rFonts w:hint="eastAsia"/>
          <w:color w:val="auto"/>
          <w:highlight w:val="none"/>
        </w:rPr>
        <w:t>六、项目管理机构</w:t>
      </w:r>
      <w:bookmarkEnd w:id="1323"/>
      <w:bookmarkEnd w:id="1324"/>
      <w:bookmarkEnd w:id="1325"/>
      <w:bookmarkEnd w:id="1326"/>
      <w:bookmarkEnd w:id="1327"/>
      <w:bookmarkEnd w:id="1328"/>
    </w:p>
    <w:p>
      <w:pPr>
        <w:rPr>
          <w:rFonts w:hint="eastAsia"/>
          <w:color w:val="auto"/>
          <w:highlight w:val="none"/>
        </w:rPr>
      </w:pPr>
    </w:p>
    <w:p>
      <w:pPr>
        <w:pStyle w:val="7"/>
        <w:jc w:val="center"/>
        <w:rPr>
          <w:color w:val="auto"/>
          <w:highlight w:val="none"/>
        </w:rPr>
      </w:pPr>
      <w:r>
        <w:rPr>
          <w:rFonts w:hint="eastAsia"/>
          <w:color w:val="auto"/>
          <w:highlight w:val="none"/>
          <w:lang w:eastAsia="zh-CN"/>
        </w:rPr>
        <w:t>主要人员简历</w:t>
      </w:r>
      <w:r>
        <w:rPr>
          <w:rFonts w:hint="eastAsia"/>
          <w:color w:val="auto"/>
          <w:highlight w:val="none"/>
        </w:rPr>
        <w:t>表</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28"/>
        <w:gridCol w:w="1516"/>
        <w:gridCol w:w="1029"/>
        <w:gridCol w:w="841"/>
        <w:gridCol w:w="507"/>
        <w:gridCol w:w="1180"/>
        <w:gridCol w:w="68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4"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姓名</w:t>
            </w:r>
          </w:p>
        </w:tc>
        <w:tc>
          <w:tcPr>
            <w:tcW w:w="1516" w:type="dxa"/>
            <w:noWrap w:val="0"/>
            <w:vAlign w:val="center"/>
          </w:tcPr>
          <w:p>
            <w:pPr>
              <w:rPr>
                <w:rFonts w:hint="eastAsia" w:ascii="宋体" w:hAnsi="宋体"/>
                <w:color w:val="auto"/>
                <w:szCs w:val="21"/>
                <w:highlight w:val="none"/>
              </w:rPr>
            </w:pPr>
          </w:p>
        </w:tc>
        <w:tc>
          <w:tcPr>
            <w:tcW w:w="1029"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年龄</w:t>
            </w:r>
          </w:p>
        </w:tc>
        <w:tc>
          <w:tcPr>
            <w:tcW w:w="1348" w:type="dxa"/>
            <w:gridSpan w:val="2"/>
            <w:noWrap w:val="0"/>
            <w:vAlign w:val="center"/>
          </w:tcPr>
          <w:p>
            <w:pPr>
              <w:rPr>
                <w:rFonts w:hint="eastAsia" w:ascii="宋体" w:hAnsi="宋体"/>
                <w:color w:val="auto"/>
                <w:szCs w:val="21"/>
                <w:highlight w:val="none"/>
              </w:rPr>
            </w:pPr>
          </w:p>
        </w:tc>
        <w:tc>
          <w:tcPr>
            <w:tcW w:w="1865"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学          历</w:t>
            </w:r>
          </w:p>
        </w:tc>
        <w:tc>
          <w:tcPr>
            <w:tcW w:w="1670"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4"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职称</w:t>
            </w:r>
          </w:p>
        </w:tc>
        <w:tc>
          <w:tcPr>
            <w:tcW w:w="1516" w:type="dxa"/>
            <w:noWrap w:val="0"/>
            <w:vAlign w:val="center"/>
          </w:tcPr>
          <w:p>
            <w:pPr>
              <w:rPr>
                <w:rFonts w:hint="eastAsia" w:ascii="宋体" w:hAnsi="宋体"/>
                <w:color w:val="auto"/>
                <w:szCs w:val="21"/>
                <w:highlight w:val="none"/>
              </w:rPr>
            </w:pPr>
          </w:p>
        </w:tc>
        <w:tc>
          <w:tcPr>
            <w:tcW w:w="1029"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职务</w:t>
            </w:r>
          </w:p>
        </w:tc>
        <w:tc>
          <w:tcPr>
            <w:tcW w:w="1348" w:type="dxa"/>
            <w:gridSpan w:val="2"/>
            <w:noWrap w:val="0"/>
            <w:vAlign w:val="center"/>
          </w:tcPr>
          <w:p>
            <w:pPr>
              <w:rPr>
                <w:rFonts w:hint="eastAsia" w:ascii="宋体" w:hAnsi="宋体"/>
                <w:color w:val="auto"/>
                <w:szCs w:val="21"/>
                <w:highlight w:val="none"/>
              </w:rPr>
            </w:pPr>
          </w:p>
        </w:tc>
        <w:tc>
          <w:tcPr>
            <w:tcW w:w="1865"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拟在本合同任职</w:t>
            </w:r>
          </w:p>
        </w:tc>
        <w:tc>
          <w:tcPr>
            <w:tcW w:w="1670"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4"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毕业学校</w:t>
            </w:r>
          </w:p>
        </w:tc>
        <w:tc>
          <w:tcPr>
            <w:tcW w:w="7428" w:type="dxa"/>
            <w:gridSpan w:val="7"/>
            <w:noWrap w:val="0"/>
            <w:vAlign w:val="center"/>
          </w:tcPr>
          <w:p>
            <w:pPr>
              <w:ind w:firstLine="525"/>
              <w:rPr>
                <w:rFonts w:hint="eastAsia"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8952" w:type="dxa"/>
            <w:gridSpan w:val="9"/>
            <w:noWrap w:val="0"/>
            <w:vAlign w:val="center"/>
          </w:tcPr>
          <w:p>
            <w:pPr>
              <w:rPr>
                <w:rFonts w:hint="eastAsia" w:ascii="宋体" w:hAnsi="宋体"/>
                <w:color w:val="auto"/>
                <w:szCs w:val="21"/>
                <w:highlight w:val="none"/>
              </w:rPr>
            </w:pPr>
            <w:r>
              <w:rPr>
                <w:rFonts w:hint="eastAsia" w:ascii="宋体" w:hAnsi="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时间</w:t>
            </w:r>
          </w:p>
        </w:tc>
        <w:tc>
          <w:tcPr>
            <w:tcW w:w="3714" w:type="dxa"/>
            <w:gridSpan w:val="4"/>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参加过的类似项目</w:t>
            </w:r>
          </w:p>
        </w:tc>
        <w:tc>
          <w:tcPr>
            <w:tcW w:w="1687"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担任职务</w:t>
            </w:r>
          </w:p>
        </w:tc>
        <w:tc>
          <w:tcPr>
            <w:tcW w:w="2355" w:type="dxa"/>
            <w:gridSpan w:val="2"/>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noWrap w:val="0"/>
            <w:vAlign w:val="top"/>
          </w:tcPr>
          <w:p>
            <w:pPr>
              <w:spacing w:line="360" w:lineRule="auto"/>
              <w:rPr>
                <w:rFonts w:hint="eastAsia" w:ascii="宋体" w:hAnsi="宋体"/>
                <w:color w:val="auto"/>
                <w:szCs w:val="21"/>
                <w:highlight w:val="none"/>
              </w:rPr>
            </w:pPr>
          </w:p>
        </w:tc>
        <w:tc>
          <w:tcPr>
            <w:tcW w:w="3714" w:type="dxa"/>
            <w:gridSpan w:val="4"/>
            <w:noWrap w:val="0"/>
            <w:vAlign w:val="top"/>
          </w:tcPr>
          <w:p>
            <w:pPr>
              <w:spacing w:line="360" w:lineRule="auto"/>
              <w:rPr>
                <w:rFonts w:hint="eastAsia" w:ascii="宋体" w:hAnsi="宋体"/>
                <w:color w:val="auto"/>
                <w:szCs w:val="21"/>
                <w:highlight w:val="none"/>
              </w:rPr>
            </w:pPr>
          </w:p>
        </w:tc>
        <w:tc>
          <w:tcPr>
            <w:tcW w:w="1687" w:type="dxa"/>
            <w:gridSpan w:val="2"/>
            <w:noWrap w:val="0"/>
            <w:vAlign w:val="top"/>
          </w:tcPr>
          <w:p>
            <w:pPr>
              <w:spacing w:line="360" w:lineRule="auto"/>
              <w:rPr>
                <w:rFonts w:hint="eastAsia" w:ascii="宋体" w:hAnsi="宋体"/>
                <w:color w:val="auto"/>
                <w:szCs w:val="21"/>
                <w:highlight w:val="none"/>
              </w:rPr>
            </w:pPr>
          </w:p>
        </w:tc>
        <w:tc>
          <w:tcPr>
            <w:tcW w:w="2355" w:type="dxa"/>
            <w:gridSpan w:val="2"/>
            <w:noWrap w:val="0"/>
            <w:vAlign w:val="top"/>
          </w:tcPr>
          <w:p>
            <w:pPr>
              <w:spacing w:line="360" w:lineRule="auto"/>
              <w:rPr>
                <w:rFonts w:hint="eastAsia" w:ascii="宋体" w:hAnsi="宋体"/>
                <w:color w:val="auto"/>
                <w:szCs w:val="21"/>
                <w:highlight w:val="none"/>
              </w:rPr>
            </w:pPr>
          </w:p>
        </w:tc>
      </w:tr>
    </w:tbl>
    <w:p>
      <w:pPr>
        <w:spacing w:line="360" w:lineRule="auto"/>
        <w:ind w:firstLine="630" w:firstLineChars="300"/>
        <w:rPr>
          <w:rFonts w:hint="eastAsia" w:ascii="宋体" w:hAnsi="宋体"/>
          <w:bCs/>
          <w:color w:val="auto"/>
          <w:szCs w:val="21"/>
          <w:highlight w:val="none"/>
        </w:rPr>
      </w:pPr>
      <w:r>
        <w:rPr>
          <w:rFonts w:hint="eastAsia" w:ascii="宋体" w:hAnsi="宋体"/>
          <w:color w:val="auto"/>
          <w:szCs w:val="21"/>
          <w:highlight w:val="none"/>
        </w:rPr>
        <w:t>注：项目经理应附注册建造师证、身份证、职称证、</w:t>
      </w:r>
      <w:r>
        <w:rPr>
          <w:rFonts w:ascii="宋体" w:hAnsi="宋体"/>
          <w:color w:val="auto"/>
          <w:szCs w:val="21"/>
          <w:highlight w:val="none"/>
        </w:rPr>
        <w:t>安全生产考核合格证书B证</w:t>
      </w:r>
      <w:r>
        <w:rPr>
          <w:rFonts w:hint="eastAsia" w:ascii="宋体" w:hAnsi="宋体"/>
          <w:color w:val="auto"/>
          <w:szCs w:val="21"/>
          <w:highlight w:val="none"/>
        </w:rPr>
        <w:t>、连续六月</w:t>
      </w:r>
      <w:r>
        <w:rPr>
          <w:rFonts w:ascii="宋体" w:hAnsi="宋体"/>
          <w:color w:val="auto"/>
          <w:szCs w:val="21"/>
          <w:highlight w:val="none"/>
        </w:rPr>
        <w:t>社保缴费</w:t>
      </w:r>
      <w:r>
        <w:rPr>
          <w:rFonts w:hint="eastAsia" w:ascii="宋体" w:hAnsi="宋体"/>
          <w:color w:val="auto"/>
          <w:szCs w:val="21"/>
          <w:highlight w:val="none"/>
        </w:rPr>
        <w:t>证明扫描件；技术负责人应附身份证、职称证、连续六个月</w:t>
      </w:r>
      <w:r>
        <w:rPr>
          <w:rFonts w:ascii="宋体" w:hAnsi="宋体"/>
          <w:color w:val="auto"/>
          <w:szCs w:val="21"/>
          <w:highlight w:val="none"/>
        </w:rPr>
        <w:t>社保缴费</w:t>
      </w:r>
      <w:r>
        <w:rPr>
          <w:rFonts w:hint="eastAsia" w:ascii="宋体" w:hAnsi="宋体"/>
          <w:color w:val="auto"/>
          <w:szCs w:val="21"/>
          <w:highlight w:val="none"/>
        </w:rPr>
        <w:t>证明</w:t>
      </w:r>
      <w:r>
        <w:rPr>
          <w:rFonts w:ascii="宋体" w:hAnsi="宋体"/>
          <w:b/>
          <w:color w:val="auto"/>
          <w:sz w:val="20"/>
          <w:szCs w:val="20"/>
          <w:highlight w:val="none"/>
        </w:rPr>
        <w:t>（</w:t>
      </w:r>
      <w:r>
        <w:rPr>
          <w:rFonts w:hint="eastAsia" w:ascii="宋体" w:hAnsi="宋体"/>
          <w:bCs/>
          <w:color w:val="auto"/>
          <w:sz w:val="20"/>
          <w:szCs w:val="20"/>
          <w:highlight w:val="none"/>
        </w:rPr>
        <w:t>社保缴费证明：其证明资料可以是社保部门或税务机关开具的资料，也可以是社会劳动保险或税务机关公共服务平台的附带二维码及校验码的社保权益记录信息资料</w:t>
      </w:r>
      <w:r>
        <w:rPr>
          <w:rFonts w:ascii="宋体" w:hAnsi="宋体"/>
          <w:bCs/>
          <w:color w:val="auto"/>
          <w:sz w:val="20"/>
          <w:szCs w:val="20"/>
          <w:highlight w:val="none"/>
        </w:rPr>
        <w:t>）</w:t>
      </w:r>
      <w:r>
        <w:rPr>
          <w:rFonts w:hint="eastAsia" w:ascii="宋体" w:hAnsi="宋体"/>
          <w:bCs/>
          <w:color w:val="auto"/>
          <w:szCs w:val="21"/>
          <w:highlight w:val="none"/>
        </w:rPr>
        <w:t>。</w:t>
      </w:r>
      <w:r>
        <w:rPr>
          <w:rFonts w:hint="eastAsia" w:ascii="宋体" w:hAnsi="宋体"/>
          <w:bCs/>
          <w:color w:val="auto"/>
          <w:sz w:val="20"/>
          <w:szCs w:val="20"/>
          <w:highlight w:val="none"/>
        </w:rPr>
        <w:t>注册建造师证书的专业以建造师证书上注明的专业为准，职称的专业以职称证书上注明的专业为准。</w:t>
      </w:r>
    </w:p>
    <w:p>
      <w:pPr>
        <w:pStyle w:val="6"/>
        <w:jc w:val="center"/>
        <w:rPr>
          <w:rFonts w:hint="eastAsia" w:ascii="宋体" w:hAnsi="宋体"/>
          <w:color w:val="auto"/>
          <w:szCs w:val="21"/>
          <w:highlight w:val="none"/>
        </w:rPr>
      </w:pPr>
    </w:p>
    <w:p>
      <w:pPr>
        <w:spacing w:line="360" w:lineRule="auto"/>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p>
    <w:p>
      <w:pPr>
        <w:pStyle w:val="6"/>
        <w:jc w:val="center"/>
        <w:rPr>
          <w:rFonts w:hint="eastAsia"/>
          <w:color w:val="auto"/>
          <w:highlight w:val="none"/>
        </w:rPr>
      </w:pPr>
      <w:bookmarkStart w:id="1329" w:name="_Toc290198810"/>
      <w:bookmarkStart w:id="1330" w:name="_Toc463799123"/>
      <w:bookmarkStart w:id="1331" w:name="_Toc490832378"/>
      <w:bookmarkStart w:id="1332" w:name="_Toc419825095"/>
      <w:bookmarkStart w:id="1333" w:name="_Toc419825443"/>
      <w:bookmarkStart w:id="1334" w:name="_Toc13227"/>
      <w:r>
        <w:rPr>
          <w:rFonts w:hint="eastAsia"/>
          <w:color w:val="auto"/>
          <w:highlight w:val="none"/>
        </w:rPr>
        <w:t>七、</w:t>
      </w:r>
      <w:bookmarkStart w:id="1335" w:name="_Toc215537424"/>
      <w:bookmarkStart w:id="1336" w:name="_Toc200777825"/>
      <w:bookmarkStart w:id="1337" w:name="_Toc215308997"/>
      <w:r>
        <w:rPr>
          <w:rFonts w:hint="eastAsia"/>
          <w:color w:val="auto"/>
          <w:highlight w:val="none"/>
        </w:rPr>
        <w:t>资格审查资料</w:t>
      </w:r>
      <w:bookmarkEnd w:id="1329"/>
      <w:bookmarkEnd w:id="1330"/>
      <w:bookmarkEnd w:id="1331"/>
      <w:bookmarkEnd w:id="1332"/>
      <w:bookmarkEnd w:id="1333"/>
      <w:bookmarkEnd w:id="1334"/>
      <w:bookmarkEnd w:id="1335"/>
      <w:bookmarkEnd w:id="1336"/>
      <w:bookmarkEnd w:id="1337"/>
    </w:p>
    <w:p>
      <w:pPr>
        <w:pStyle w:val="7"/>
        <w:jc w:val="center"/>
        <w:rPr>
          <w:color w:val="auto"/>
          <w:highlight w:val="none"/>
        </w:rPr>
      </w:pPr>
      <w:bookmarkStart w:id="1338" w:name="_Toc200777826"/>
      <w:r>
        <w:rPr>
          <w:rFonts w:hint="eastAsia"/>
          <w:color w:val="auto"/>
          <w:highlight w:val="none"/>
        </w:rPr>
        <w:t>（一）投标人基本情况表</w:t>
      </w:r>
    </w:p>
    <w:p>
      <w:pPr>
        <w:spacing w:line="360" w:lineRule="auto"/>
        <w:rPr>
          <w:rFonts w:hint="eastAsia" w:ascii="宋体" w:hAnsi="宋体"/>
          <w:color w:val="auto"/>
          <w:szCs w:val="21"/>
          <w:highlight w:val="none"/>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投标人名称</w:t>
            </w:r>
          </w:p>
        </w:tc>
        <w:tc>
          <w:tcPr>
            <w:tcW w:w="7550" w:type="dxa"/>
            <w:gridSpan w:val="8"/>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注册地址</w:t>
            </w:r>
          </w:p>
        </w:tc>
        <w:tc>
          <w:tcPr>
            <w:tcW w:w="4132" w:type="dxa"/>
            <w:gridSpan w:val="4"/>
            <w:noWrap w:val="0"/>
            <w:vAlign w:val="top"/>
          </w:tcPr>
          <w:p>
            <w:pPr>
              <w:spacing w:line="360" w:lineRule="auto"/>
              <w:rPr>
                <w:rFonts w:hint="eastAsia" w:ascii="宋体" w:hAnsi="宋体"/>
                <w:color w:val="auto"/>
                <w:szCs w:val="21"/>
                <w:highlight w:val="none"/>
              </w:rPr>
            </w:pPr>
          </w:p>
        </w:tc>
        <w:tc>
          <w:tcPr>
            <w:tcW w:w="108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329" w:type="dxa"/>
            <w:gridSpan w:val="3"/>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联系方式</w:t>
            </w:r>
          </w:p>
        </w:tc>
        <w:tc>
          <w:tcPr>
            <w:tcW w:w="107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3055" w:type="dxa"/>
            <w:gridSpan w:val="3"/>
            <w:noWrap w:val="0"/>
            <w:vAlign w:val="top"/>
          </w:tcPr>
          <w:p>
            <w:pPr>
              <w:spacing w:line="360" w:lineRule="auto"/>
              <w:rPr>
                <w:rFonts w:hint="eastAsia" w:ascii="宋体" w:hAnsi="宋体"/>
                <w:color w:val="auto"/>
                <w:szCs w:val="21"/>
                <w:highlight w:val="none"/>
              </w:rPr>
            </w:pPr>
          </w:p>
        </w:tc>
        <w:tc>
          <w:tcPr>
            <w:tcW w:w="108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2329" w:type="dxa"/>
            <w:gridSpan w:val="3"/>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top"/>
          </w:tcPr>
          <w:p>
            <w:pPr>
              <w:spacing w:line="360" w:lineRule="auto"/>
              <w:rPr>
                <w:rFonts w:hint="eastAsia" w:ascii="宋体" w:hAnsi="宋体"/>
                <w:color w:val="auto"/>
                <w:szCs w:val="21"/>
                <w:highlight w:val="none"/>
              </w:rPr>
            </w:pPr>
          </w:p>
        </w:tc>
        <w:tc>
          <w:tcPr>
            <w:tcW w:w="107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传真</w:t>
            </w:r>
          </w:p>
        </w:tc>
        <w:tc>
          <w:tcPr>
            <w:tcW w:w="3055" w:type="dxa"/>
            <w:gridSpan w:val="3"/>
            <w:noWrap w:val="0"/>
            <w:vAlign w:val="top"/>
          </w:tcPr>
          <w:p>
            <w:pPr>
              <w:spacing w:line="360" w:lineRule="auto"/>
              <w:rPr>
                <w:rFonts w:hint="eastAsia" w:ascii="宋体" w:hAnsi="宋体"/>
                <w:color w:val="auto"/>
                <w:szCs w:val="21"/>
                <w:highlight w:val="none"/>
              </w:rPr>
            </w:pPr>
          </w:p>
        </w:tc>
        <w:tc>
          <w:tcPr>
            <w:tcW w:w="108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网址</w:t>
            </w:r>
          </w:p>
        </w:tc>
        <w:tc>
          <w:tcPr>
            <w:tcW w:w="2329" w:type="dxa"/>
            <w:gridSpan w:val="3"/>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组织结构</w:t>
            </w:r>
          </w:p>
        </w:tc>
        <w:tc>
          <w:tcPr>
            <w:tcW w:w="7550" w:type="dxa"/>
            <w:gridSpan w:val="8"/>
            <w:noWrap w:val="0"/>
            <w:vAlign w:val="top"/>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法定代表人</w:t>
            </w:r>
          </w:p>
        </w:tc>
        <w:tc>
          <w:tcPr>
            <w:tcW w:w="107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803" w:type="dxa"/>
            <w:noWrap w:val="0"/>
            <w:vAlign w:val="top"/>
          </w:tcPr>
          <w:p>
            <w:pPr>
              <w:spacing w:line="360" w:lineRule="auto"/>
              <w:rPr>
                <w:rFonts w:hint="eastAsia" w:ascii="宋体" w:hAnsi="宋体"/>
                <w:color w:val="auto"/>
                <w:szCs w:val="21"/>
                <w:highlight w:val="none"/>
              </w:rPr>
            </w:pPr>
          </w:p>
        </w:tc>
        <w:tc>
          <w:tcPr>
            <w:tcW w:w="1252"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技术职称</w:t>
            </w:r>
          </w:p>
        </w:tc>
        <w:tc>
          <w:tcPr>
            <w:tcW w:w="1265" w:type="dxa"/>
            <w:gridSpan w:val="2"/>
            <w:noWrap w:val="0"/>
            <w:vAlign w:val="top"/>
          </w:tcPr>
          <w:p>
            <w:pPr>
              <w:spacing w:line="360" w:lineRule="auto"/>
              <w:rPr>
                <w:rFonts w:hint="eastAsia" w:ascii="宋体" w:hAnsi="宋体"/>
                <w:color w:val="auto"/>
                <w:szCs w:val="21"/>
                <w:highlight w:val="none"/>
              </w:rPr>
            </w:pPr>
          </w:p>
        </w:tc>
        <w:tc>
          <w:tcPr>
            <w:tcW w:w="7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电话</w:t>
            </w:r>
          </w:p>
        </w:tc>
        <w:tc>
          <w:tcPr>
            <w:tcW w:w="1430"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技术负责人</w:t>
            </w:r>
          </w:p>
        </w:tc>
        <w:tc>
          <w:tcPr>
            <w:tcW w:w="1077"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803" w:type="dxa"/>
            <w:noWrap w:val="0"/>
            <w:vAlign w:val="top"/>
          </w:tcPr>
          <w:p>
            <w:pPr>
              <w:spacing w:line="360" w:lineRule="auto"/>
              <w:rPr>
                <w:rFonts w:hint="eastAsia" w:ascii="宋体" w:hAnsi="宋体"/>
                <w:color w:val="auto"/>
                <w:szCs w:val="21"/>
                <w:highlight w:val="none"/>
              </w:rPr>
            </w:pPr>
          </w:p>
        </w:tc>
        <w:tc>
          <w:tcPr>
            <w:tcW w:w="1252"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技术职称</w:t>
            </w:r>
          </w:p>
        </w:tc>
        <w:tc>
          <w:tcPr>
            <w:tcW w:w="1265" w:type="dxa"/>
            <w:gridSpan w:val="2"/>
            <w:noWrap w:val="0"/>
            <w:vAlign w:val="top"/>
          </w:tcPr>
          <w:p>
            <w:pPr>
              <w:spacing w:line="360" w:lineRule="auto"/>
              <w:rPr>
                <w:rFonts w:hint="eastAsia" w:ascii="宋体" w:hAnsi="宋体"/>
                <w:color w:val="auto"/>
                <w:szCs w:val="21"/>
                <w:highlight w:val="none"/>
              </w:rPr>
            </w:pPr>
          </w:p>
        </w:tc>
        <w:tc>
          <w:tcPr>
            <w:tcW w:w="72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电话</w:t>
            </w:r>
          </w:p>
        </w:tc>
        <w:tc>
          <w:tcPr>
            <w:tcW w:w="1430"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成立时间</w:t>
            </w:r>
          </w:p>
        </w:tc>
        <w:tc>
          <w:tcPr>
            <w:tcW w:w="2880" w:type="dxa"/>
            <w:gridSpan w:val="2"/>
            <w:noWrap w:val="0"/>
            <w:vAlign w:val="top"/>
          </w:tcPr>
          <w:p>
            <w:pPr>
              <w:spacing w:line="360" w:lineRule="auto"/>
              <w:rPr>
                <w:rFonts w:hint="eastAsia" w:ascii="宋体" w:hAnsi="宋体"/>
                <w:color w:val="auto"/>
                <w:szCs w:val="21"/>
                <w:highlight w:val="none"/>
              </w:rPr>
            </w:pPr>
          </w:p>
        </w:tc>
        <w:tc>
          <w:tcPr>
            <w:tcW w:w="4670" w:type="dxa"/>
            <w:gridSpan w:val="6"/>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企业资质等级</w:t>
            </w:r>
          </w:p>
        </w:tc>
        <w:tc>
          <w:tcPr>
            <w:tcW w:w="2880" w:type="dxa"/>
            <w:gridSpan w:val="2"/>
            <w:noWrap w:val="0"/>
            <w:vAlign w:val="top"/>
          </w:tcPr>
          <w:p>
            <w:pPr>
              <w:spacing w:line="360" w:lineRule="auto"/>
              <w:rPr>
                <w:rFonts w:hint="eastAsia" w:ascii="宋体" w:hAnsi="宋体"/>
                <w:color w:val="auto"/>
                <w:szCs w:val="21"/>
                <w:highlight w:val="none"/>
              </w:rPr>
            </w:pPr>
          </w:p>
        </w:tc>
        <w:tc>
          <w:tcPr>
            <w:tcW w:w="714"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其中</w:t>
            </w:r>
          </w:p>
        </w:tc>
        <w:tc>
          <w:tcPr>
            <w:tcW w:w="1803" w:type="dxa"/>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项目经理</w:t>
            </w:r>
          </w:p>
        </w:tc>
        <w:tc>
          <w:tcPr>
            <w:tcW w:w="2153"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营业执照号</w:t>
            </w:r>
          </w:p>
        </w:tc>
        <w:tc>
          <w:tcPr>
            <w:tcW w:w="2880" w:type="dxa"/>
            <w:gridSpan w:val="2"/>
            <w:noWrap w:val="0"/>
            <w:vAlign w:val="top"/>
          </w:tcPr>
          <w:p>
            <w:pPr>
              <w:spacing w:line="360" w:lineRule="auto"/>
              <w:rPr>
                <w:rFonts w:hint="eastAsia" w:ascii="宋体" w:hAnsi="宋体"/>
                <w:color w:val="auto"/>
                <w:szCs w:val="21"/>
                <w:highlight w:val="none"/>
              </w:rPr>
            </w:pPr>
          </w:p>
        </w:tc>
        <w:tc>
          <w:tcPr>
            <w:tcW w:w="714" w:type="dxa"/>
            <w:vMerge w:val="continue"/>
            <w:noWrap w:val="0"/>
            <w:vAlign w:val="top"/>
          </w:tcPr>
          <w:p>
            <w:pPr>
              <w:spacing w:line="360" w:lineRule="auto"/>
              <w:rPr>
                <w:rFonts w:hint="eastAsia" w:ascii="宋体" w:hAnsi="宋体"/>
                <w:color w:val="auto"/>
                <w:szCs w:val="21"/>
                <w:highlight w:val="none"/>
              </w:rPr>
            </w:pPr>
          </w:p>
        </w:tc>
        <w:tc>
          <w:tcPr>
            <w:tcW w:w="1803" w:type="dxa"/>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高级职称人员</w:t>
            </w:r>
          </w:p>
        </w:tc>
        <w:tc>
          <w:tcPr>
            <w:tcW w:w="2153"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注册资金</w:t>
            </w:r>
          </w:p>
        </w:tc>
        <w:tc>
          <w:tcPr>
            <w:tcW w:w="2880" w:type="dxa"/>
            <w:gridSpan w:val="2"/>
            <w:noWrap w:val="0"/>
            <w:vAlign w:val="top"/>
          </w:tcPr>
          <w:p>
            <w:pPr>
              <w:spacing w:line="360" w:lineRule="auto"/>
              <w:rPr>
                <w:rFonts w:hint="eastAsia" w:ascii="宋体" w:hAnsi="宋体"/>
                <w:color w:val="auto"/>
                <w:szCs w:val="21"/>
                <w:highlight w:val="none"/>
              </w:rPr>
            </w:pPr>
          </w:p>
        </w:tc>
        <w:tc>
          <w:tcPr>
            <w:tcW w:w="714" w:type="dxa"/>
            <w:vMerge w:val="continue"/>
            <w:noWrap w:val="0"/>
            <w:vAlign w:val="top"/>
          </w:tcPr>
          <w:p>
            <w:pPr>
              <w:spacing w:line="360" w:lineRule="auto"/>
              <w:rPr>
                <w:rFonts w:hint="eastAsia" w:ascii="宋体" w:hAnsi="宋体"/>
                <w:color w:val="auto"/>
                <w:szCs w:val="21"/>
                <w:highlight w:val="none"/>
              </w:rPr>
            </w:pPr>
          </w:p>
        </w:tc>
        <w:tc>
          <w:tcPr>
            <w:tcW w:w="1803" w:type="dxa"/>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中级职称人员</w:t>
            </w:r>
          </w:p>
        </w:tc>
        <w:tc>
          <w:tcPr>
            <w:tcW w:w="2153"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开户银行</w:t>
            </w:r>
          </w:p>
        </w:tc>
        <w:tc>
          <w:tcPr>
            <w:tcW w:w="2880" w:type="dxa"/>
            <w:gridSpan w:val="2"/>
            <w:noWrap w:val="0"/>
            <w:vAlign w:val="top"/>
          </w:tcPr>
          <w:p>
            <w:pPr>
              <w:spacing w:line="360" w:lineRule="auto"/>
              <w:rPr>
                <w:rFonts w:hint="eastAsia" w:ascii="宋体" w:hAnsi="宋体"/>
                <w:color w:val="auto"/>
                <w:szCs w:val="21"/>
                <w:highlight w:val="none"/>
              </w:rPr>
            </w:pPr>
          </w:p>
        </w:tc>
        <w:tc>
          <w:tcPr>
            <w:tcW w:w="714" w:type="dxa"/>
            <w:vMerge w:val="continue"/>
            <w:noWrap w:val="0"/>
            <w:vAlign w:val="top"/>
          </w:tcPr>
          <w:p>
            <w:pPr>
              <w:spacing w:line="360" w:lineRule="auto"/>
              <w:rPr>
                <w:rFonts w:hint="eastAsia" w:ascii="宋体" w:hAnsi="宋体"/>
                <w:color w:val="auto"/>
                <w:szCs w:val="21"/>
                <w:highlight w:val="none"/>
              </w:rPr>
            </w:pPr>
          </w:p>
        </w:tc>
        <w:tc>
          <w:tcPr>
            <w:tcW w:w="1803" w:type="dxa"/>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初级职称人员</w:t>
            </w:r>
          </w:p>
        </w:tc>
        <w:tc>
          <w:tcPr>
            <w:tcW w:w="2153"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账号</w:t>
            </w:r>
          </w:p>
        </w:tc>
        <w:tc>
          <w:tcPr>
            <w:tcW w:w="2880" w:type="dxa"/>
            <w:gridSpan w:val="2"/>
            <w:noWrap w:val="0"/>
            <w:vAlign w:val="top"/>
          </w:tcPr>
          <w:p>
            <w:pPr>
              <w:spacing w:line="360" w:lineRule="auto"/>
              <w:rPr>
                <w:rFonts w:hint="eastAsia" w:ascii="宋体" w:hAnsi="宋体"/>
                <w:color w:val="auto"/>
                <w:szCs w:val="21"/>
                <w:highlight w:val="none"/>
              </w:rPr>
            </w:pPr>
          </w:p>
        </w:tc>
        <w:tc>
          <w:tcPr>
            <w:tcW w:w="714" w:type="dxa"/>
            <w:vMerge w:val="continue"/>
            <w:noWrap w:val="0"/>
            <w:vAlign w:val="top"/>
          </w:tcPr>
          <w:p>
            <w:pPr>
              <w:spacing w:line="360" w:lineRule="auto"/>
              <w:rPr>
                <w:rFonts w:hint="eastAsia" w:ascii="宋体" w:hAnsi="宋体"/>
                <w:color w:val="auto"/>
                <w:szCs w:val="21"/>
                <w:highlight w:val="none"/>
              </w:rPr>
            </w:pPr>
          </w:p>
        </w:tc>
        <w:tc>
          <w:tcPr>
            <w:tcW w:w="1803" w:type="dxa"/>
            <w:gridSpan w:val="3"/>
            <w:noWrap w:val="0"/>
            <w:vAlign w:val="center"/>
          </w:tcPr>
          <w:p>
            <w:pPr>
              <w:rPr>
                <w:rFonts w:hint="eastAsia" w:ascii="宋体" w:hAnsi="宋体"/>
                <w:color w:val="auto"/>
                <w:szCs w:val="21"/>
                <w:highlight w:val="none"/>
              </w:rPr>
            </w:pPr>
            <w:r>
              <w:rPr>
                <w:rFonts w:hint="eastAsia" w:ascii="宋体" w:hAnsi="宋体"/>
                <w:color w:val="auto"/>
                <w:szCs w:val="21"/>
                <w:highlight w:val="none"/>
              </w:rPr>
              <w:t>技工</w:t>
            </w:r>
          </w:p>
        </w:tc>
        <w:tc>
          <w:tcPr>
            <w:tcW w:w="2153" w:type="dxa"/>
            <w:gridSpan w:val="2"/>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经营范围</w:t>
            </w:r>
          </w:p>
        </w:tc>
        <w:tc>
          <w:tcPr>
            <w:tcW w:w="7550" w:type="dxa"/>
            <w:gridSpan w:val="8"/>
            <w:noWrap w:val="0"/>
            <w:vAlign w:val="top"/>
          </w:tcPr>
          <w:p>
            <w:pPr>
              <w:spacing w:line="360" w:lineRule="auto"/>
              <w:ind w:firstLine="420" w:firstLineChars="20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80"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备注</w:t>
            </w:r>
          </w:p>
        </w:tc>
        <w:tc>
          <w:tcPr>
            <w:tcW w:w="7550" w:type="dxa"/>
            <w:gridSpan w:val="8"/>
            <w:noWrap w:val="0"/>
            <w:vAlign w:val="top"/>
          </w:tcPr>
          <w:p>
            <w:pPr>
              <w:spacing w:line="360" w:lineRule="auto"/>
              <w:ind w:firstLine="420" w:firstLineChars="200"/>
              <w:rPr>
                <w:rFonts w:hint="eastAsia"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注：在本表后附企业法人营业执照副本、施工资质证书副本、安全生产许可证副本的扫描件（均含变更记录）。</w:t>
      </w:r>
    </w:p>
    <w:p>
      <w:pPr>
        <w:spacing w:line="360" w:lineRule="auto"/>
        <w:rPr>
          <w:rFonts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color w:val="auto"/>
          <w:szCs w:val="21"/>
          <w:highlight w:val="none"/>
        </w:rPr>
        <w:t>联合体投标的，联合体各方应分别填写本表。</w:t>
      </w:r>
    </w:p>
    <w:p>
      <w:pPr>
        <w:pStyle w:val="7"/>
        <w:jc w:val="center"/>
        <w:rPr>
          <w:color w:val="auto"/>
          <w:highlight w:val="none"/>
        </w:rPr>
      </w:pPr>
      <w:r>
        <w:rPr>
          <w:rFonts w:hint="eastAsia"/>
          <w:color w:val="auto"/>
          <w:highlight w:val="none"/>
        </w:rPr>
        <w:t>（二）</w:t>
      </w:r>
      <w:bookmarkStart w:id="1339" w:name="_Toc419825098"/>
      <w:bookmarkStart w:id="1340" w:name="_Toc463799126"/>
      <w:bookmarkStart w:id="1341" w:name="_Toc419825446"/>
      <w:r>
        <w:rPr>
          <w:rFonts w:hint="eastAsia"/>
          <w:color w:val="auto"/>
          <w:highlight w:val="none"/>
        </w:rPr>
        <w:t>投标人与其他单位资产隶属关系框图</w:t>
      </w:r>
      <w:bookmarkEnd w:id="1339"/>
      <w:bookmarkEnd w:id="1340"/>
      <w:bookmarkEnd w:id="1341"/>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（公章） </w:t>
      </w:r>
      <w:r>
        <w:rPr>
          <w:rFonts w:hint="eastAsia" w:ascii="宋体" w:hAnsi="宋体"/>
          <w:color w:val="auto"/>
          <w:szCs w:val="21"/>
          <w:highlight w:val="none"/>
        </w:rPr>
        <w:t xml:space="preserve">     </w:t>
      </w:r>
    </w:p>
    <w:tbl>
      <w:tblPr>
        <w:tblStyle w:val="3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6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959" w:hRule="atLeast"/>
        </w:trPr>
        <w:tc>
          <w:tcPr>
            <w:tcW w:w="9060" w:type="dxa"/>
            <w:tcBorders>
              <w:top w:val="single" w:color="000000" w:sz="12" w:space="0"/>
              <w:left w:val="single" w:color="000000" w:sz="12" w:space="0"/>
              <w:bottom w:val="single" w:color="000000" w:sz="12" w:space="0"/>
              <w:right w:val="single" w:color="000000" w:sz="12" w:space="0"/>
            </w:tcBorders>
            <w:noWrap w:val="0"/>
            <w:vAlign w:val="top"/>
          </w:tcPr>
          <w:p>
            <w:pPr>
              <w:spacing w:line="360" w:lineRule="auto"/>
              <w:ind w:firstLine="480"/>
              <w:rPr>
                <w:rFonts w:ascii="宋体" w:hAnsi="宋体" w:cs="宋体"/>
                <w:color w:val="auto"/>
                <w:highlight w:val="none"/>
              </w:rPr>
            </w:pPr>
          </w:p>
          <w:p>
            <w:pPr>
              <w:spacing w:line="400" w:lineRule="exact"/>
              <w:ind w:firstLine="420" w:firstLineChars="200"/>
              <w:rPr>
                <w:rFonts w:ascii="宋体" w:hAnsi="宋体"/>
                <w:color w:val="auto"/>
                <w:spacing w:val="-8"/>
                <w:highlight w:val="none"/>
              </w:rPr>
            </w:pPr>
            <w:r>
              <w:rPr>
                <w:rFonts w:hint="eastAsia" w:ascii="宋体" w:hAnsi="宋体"/>
                <w:color w:val="auto"/>
                <w:szCs w:val="21"/>
                <w:highlight w:val="none"/>
              </w:rPr>
              <w:t>以框图方式表示。</w:t>
            </w:r>
          </w:p>
        </w:tc>
      </w:tr>
    </w:tbl>
    <w:p>
      <w:pPr>
        <w:spacing w:before="158" w:beforeLines="50" w:line="300" w:lineRule="exact"/>
        <w:rPr>
          <w:rFonts w:hint="eastAsia" w:ascii="宋体" w:hAnsi="宋体"/>
          <w:strike/>
          <w:color w:val="auto"/>
          <w:szCs w:val="21"/>
          <w:highlight w:val="none"/>
        </w:rPr>
      </w:pPr>
      <w:r>
        <w:rPr>
          <w:rFonts w:hint="eastAsia" w:ascii="宋体" w:hAnsi="宋体"/>
          <w:color w:val="auto"/>
          <w:szCs w:val="21"/>
          <w:highlight w:val="none"/>
        </w:rPr>
        <w:t>注：1.本框图用于表示投标人具有直接管理和被管理关系的母子公司之间的隶属关联情况。</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2.应在本框图明确显示投标人的母公司、子公司、分公司及其控股。</w:t>
      </w:r>
    </w:p>
    <w:p>
      <w:pPr>
        <w:ind w:firstLine="420" w:firstLineChars="200"/>
        <w:rPr>
          <w:rFonts w:hint="eastAsia" w:ascii="宋体" w:hAnsi="宋体" w:eastAsia="宋体"/>
          <w:strike/>
          <w:color w:val="auto"/>
          <w:szCs w:val="21"/>
          <w:highlight w:val="none"/>
          <w:lang w:eastAsia="zh-CN"/>
        </w:rPr>
      </w:pPr>
      <w:r>
        <w:rPr>
          <w:rFonts w:hint="eastAsia" w:ascii="宋体" w:hAnsi="宋体"/>
          <w:color w:val="auto"/>
          <w:szCs w:val="21"/>
          <w:highlight w:val="none"/>
        </w:rPr>
        <w:t>联合体投标的，联合体各方应分别填写本表</w:t>
      </w:r>
      <w:r>
        <w:rPr>
          <w:rFonts w:hint="eastAsia" w:ascii="宋体" w:hAnsi="宋体"/>
          <w:color w:val="auto"/>
          <w:szCs w:val="21"/>
          <w:highlight w:val="none"/>
          <w:lang w:eastAsia="zh-CN"/>
        </w:rPr>
        <w:t>。</w:t>
      </w:r>
    </w:p>
    <w:p>
      <w:pPr>
        <w:spacing w:line="360" w:lineRule="auto"/>
        <w:rPr>
          <w:rFonts w:hint="eastAsia" w:ascii="宋体" w:hAnsi="宋体"/>
          <w:color w:val="auto"/>
          <w:szCs w:val="21"/>
          <w:highlight w:val="non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color w:val="auto"/>
          <w:highlight w:val="none"/>
        </w:rPr>
        <w:br w:type="page"/>
      </w:r>
    </w:p>
    <w:p>
      <w:pPr>
        <w:pStyle w:val="7"/>
        <w:jc w:val="center"/>
        <w:rPr>
          <w:color w:val="auto"/>
          <w:highlight w:val="none"/>
        </w:rPr>
      </w:pPr>
      <w:r>
        <w:rPr>
          <w:rFonts w:hint="eastAsia"/>
          <w:color w:val="auto"/>
          <w:highlight w:val="none"/>
        </w:rPr>
        <w:t>（</w:t>
      </w:r>
      <w:r>
        <w:rPr>
          <w:rFonts w:hint="eastAsia"/>
          <w:color w:val="auto"/>
          <w:highlight w:val="none"/>
          <w:lang w:eastAsia="zh-CN"/>
        </w:rPr>
        <w:t>三</w:t>
      </w:r>
      <w:r>
        <w:rPr>
          <w:rFonts w:hint="eastAsia"/>
          <w:color w:val="auto"/>
          <w:highlight w:val="none"/>
        </w:rPr>
        <w:t>）近年完成的项目情况表</w:t>
      </w:r>
    </w:p>
    <w:tbl>
      <w:tblPr>
        <w:tblStyle w:val="38"/>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项目名称</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项目所在地</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发包人名称</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发包人地址</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发包人电话</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合同价格</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开工日期</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交（竣）工日期</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承担的工作</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工程质量</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项目经理</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技术负责人</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总监理工程师及电话</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5" w:hRule="atLeast"/>
        </w:trPr>
        <w:tc>
          <w:tcPr>
            <w:tcW w:w="259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项目描述</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98"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w:t>
            </w:r>
          </w:p>
        </w:tc>
        <w:tc>
          <w:tcPr>
            <w:tcW w:w="609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20" w:firstLineChars="200"/>
              <w:rPr>
                <w:rFonts w:ascii="宋体" w:hAnsi="宋体"/>
                <w:color w:val="auto"/>
                <w:szCs w:val="21"/>
                <w:highlight w:val="none"/>
              </w:rPr>
            </w:pPr>
          </w:p>
        </w:tc>
      </w:tr>
    </w:tbl>
    <w:p>
      <w:pPr>
        <w:spacing w:line="360" w:lineRule="auto"/>
        <w:ind w:firstLine="420" w:firstLineChars="200"/>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注：1、每张表格只填写一个项目，并标明序号。</w:t>
      </w:r>
    </w:p>
    <w:p>
      <w:pPr>
        <w:rPr>
          <w:rFonts w:hint="eastAsia" w:ascii="宋体" w:hAnsi="宋体"/>
          <w:snapToGrid w:val="0"/>
          <w:color w:val="auto"/>
          <w:kern w:val="0"/>
          <w:szCs w:val="21"/>
          <w:highlight w:val="none"/>
        </w:rPr>
      </w:pPr>
      <w:r>
        <w:rPr>
          <w:rFonts w:hint="eastAsia" w:ascii="宋体" w:hAnsi="宋体"/>
          <w:color w:val="auto"/>
          <w:szCs w:val="21"/>
          <w:highlight w:val="none"/>
        </w:rPr>
        <w:t>2、本表后须附应附在交通运输部“全国水运建设市场信用信息管理系统”（https://wtis.mot.gov.cn/credit/index.html）中查询到的企业“业绩信息”相关项目网页截图扫描件，或附在“福建省交通公路水运建设与运输市场信用信息管理系统（信用交通·福建）”（</w:t>
      </w:r>
      <w:r>
        <w:rPr>
          <w:rFonts w:hint="eastAsia" w:ascii="宋体" w:hAnsi="宋体"/>
          <w:color w:val="auto"/>
          <w:szCs w:val="21"/>
          <w:highlight w:val="none"/>
          <w:lang w:eastAsia="zh-CN"/>
        </w:rPr>
        <w:t>http://220.160.53.3:30050/gzwz/</w:t>
      </w:r>
      <w:r>
        <w:rPr>
          <w:rFonts w:hint="eastAsia" w:ascii="宋体" w:hAnsi="宋体"/>
          <w:color w:val="auto"/>
          <w:szCs w:val="21"/>
          <w:highlight w:val="none"/>
        </w:rPr>
        <w:t>）中查询到的网页截图（并注明查询路径）；并提供①合同文件扫描件，②交(竣)工验收证书或交工验收表、竣工验收现场核查报告（均同时附上质量鉴定意见）的扫描件，航道工程还需提供单独立项的工可批复文件扫描件。</w:t>
      </w:r>
    </w:p>
    <w:p>
      <w:pPr>
        <w:spacing w:line="360" w:lineRule="auto"/>
        <w:ind w:firstLine="420" w:firstLineChars="200"/>
        <w:rPr>
          <w:rFonts w:hint="eastAsia" w:ascii="宋体" w:hAnsi="宋体"/>
          <w:color w:val="auto"/>
          <w:szCs w:val="21"/>
          <w:highlight w:val="none"/>
        </w:rPr>
      </w:pPr>
    </w:p>
    <w:p>
      <w:pPr>
        <w:pStyle w:val="10"/>
        <w:spacing w:line="360" w:lineRule="auto"/>
        <w:jc w:val="right"/>
        <w:rPr>
          <w:rFonts w:hAnsi="宋体"/>
          <w:color w:val="auto"/>
          <w:sz w:val="24"/>
          <w:szCs w:val="24"/>
          <w:highlight w:val="none"/>
          <w:u w:val="single"/>
        </w:rPr>
        <w:sectPr>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pPr>
      <w:r>
        <w:rPr>
          <w:rFonts w:hint="eastAsia" w:hAnsi="宋体"/>
          <w:color w:val="auto"/>
          <w:sz w:val="24"/>
          <w:szCs w:val="24"/>
          <w:highlight w:val="none"/>
        </w:rPr>
        <w:t>投标人：</w:t>
      </w:r>
      <w:r>
        <w:rPr>
          <w:rFonts w:hint="eastAsia" w:hAnsi="宋体"/>
          <w:color w:val="auto"/>
          <w:sz w:val="24"/>
          <w:szCs w:val="24"/>
          <w:highlight w:val="none"/>
          <w:u w:val="single"/>
        </w:rPr>
        <w:t xml:space="preserve">                  (盖单位电子章)</w:t>
      </w:r>
    </w:p>
    <w:p>
      <w:pPr>
        <w:pStyle w:val="7"/>
        <w:jc w:val="center"/>
        <w:rPr>
          <w:rFonts w:hint="eastAsia"/>
          <w:color w:val="auto"/>
          <w:highlight w:val="none"/>
        </w:rPr>
      </w:pPr>
      <w:r>
        <w:rPr>
          <w:rFonts w:hint="eastAsia"/>
          <w:color w:val="auto"/>
          <w:highlight w:val="none"/>
        </w:rPr>
        <w:t>（</w:t>
      </w:r>
      <w:r>
        <w:rPr>
          <w:rFonts w:hint="eastAsia"/>
          <w:color w:val="auto"/>
          <w:highlight w:val="none"/>
          <w:lang w:eastAsia="zh-CN"/>
        </w:rPr>
        <w:t>四</w:t>
      </w:r>
      <w:r>
        <w:rPr>
          <w:rFonts w:hint="eastAsia"/>
          <w:color w:val="auto"/>
          <w:highlight w:val="none"/>
        </w:rPr>
        <w:t>）近</w:t>
      </w:r>
      <w:r>
        <w:rPr>
          <w:rFonts w:hint="eastAsia"/>
          <w:color w:val="auto"/>
          <w:highlight w:val="none"/>
          <w:lang w:eastAsia="zh-CN"/>
        </w:rPr>
        <w:t>三</w:t>
      </w:r>
      <w:r>
        <w:rPr>
          <w:rFonts w:hint="eastAsia"/>
          <w:color w:val="auto"/>
          <w:highlight w:val="none"/>
        </w:rPr>
        <w:t>年发生的诉讼及仲裁情况</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color w:val="auto"/>
          <w:highlight w:val="none"/>
        </w:rPr>
      </w:pPr>
      <w:r>
        <w:rPr>
          <w:rFonts w:hint="eastAsia"/>
          <w:color w:val="auto"/>
          <w:highlight w:val="none"/>
        </w:rPr>
        <w:br w:type="page"/>
      </w:r>
    </w:p>
    <w:p>
      <w:pPr>
        <w:pStyle w:val="7"/>
        <w:jc w:val="center"/>
        <w:rPr>
          <w:rFonts w:hint="eastAsia" w:ascii="宋体" w:hAnsi="宋体"/>
          <w:color w:val="auto"/>
          <w:szCs w:val="21"/>
          <w:highlight w:val="none"/>
          <w:lang w:eastAsia="zh-CN"/>
        </w:rPr>
      </w:pPr>
      <w:r>
        <w:rPr>
          <w:rFonts w:hint="eastAsia"/>
          <w:color w:val="auto"/>
          <w:highlight w:val="none"/>
        </w:rPr>
        <w:t>（</w:t>
      </w:r>
      <w:r>
        <w:rPr>
          <w:rFonts w:hint="eastAsia"/>
          <w:color w:val="auto"/>
          <w:highlight w:val="none"/>
          <w:lang w:eastAsia="zh-CN"/>
        </w:rPr>
        <w:t>五</w:t>
      </w:r>
      <w:r>
        <w:rPr>
          <w:rFonts w:hint="eastAsia"/>
          <w:color w:val="auto"/>
          <w:highlight w:val="none"/>
        </w:rPr>
        <w:t>）拟投入本合同工程的</w:t>
      </w:r>
      <w:r>
        <w:rPr>
          <w:rFonts w:hint="eastAsia" w:ascii="宋体" w:hAnsi="宋体"/>
          <w:color w:val="auto"/>
          <w:szCs w:val="21"/>
          <w:highlight w:val="none"/>
        </w:rPr>
        <w:t>关键控制设备</w:t>
      </w:r>
    </w:p>
    <w:p>
      <w:pPr>
        <w:rPr>
          <w:rFonts w:hint="eastAsia"/>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50"/>
        <w:gridCol w:w="956"/>
        <w:gridCol w:w="2681"/>
        <w:gridCol w:w="148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91" w:type="dxa"/>
            <w:noWrap w:val="0"/>
            <w:vAlign w:val="center"/>
          </w:tcPr>
          <w:p>
            <w:pPr>
              <w:jc w:val="center"/>
              <w:rPr>
                <w:color w:val="auto"/>
                <w:highlight w:val="none"/>
              </w:rPr>
            </w:pPr>
            <w:r>
              <w:rPr>
                <w:rFonts w:hint="eastAsia"/>
                <w:color w:val="auto"/>
                <w:highlight w:val="none"/>
              </w:rPr>
              <w:t>序号</w:t>
            </w:r>
          </w:p>
        </w:tc>
        <w:tc>
          <w:tcPr>
            <w:tcW w:w="2150" w:type="dxa"/>
            <w:noWrap w:val="0"/>
            <w:vAlign w:val="center"/>
          </w:tcPr>
          <w:p>
            <w:pPr>
              <w:jc w:val="center"/>
              <w:rPr>
                <w:color w:val="auto"/>
                <w:highlight w:val="none"/>
              </w:rPr>
            </w:pPr>
            <w:r>
              <w:rPr>
                <w:rFonts w:hint="eastAsia" w:ascii="宋体" w:hAnsi="宋体"/>
                <w:color w:val="auto"/>
                <w:szCs w:val="21"/>
                <w:highlight w:val="none"/>
              </w:rPr>
              <w:t>关键控制设备名称</w:t>
            </w:r>
          </w:p>
        </w:tc>
        <w:tc>
          <w:tcPr>
            <w:tcW w:w="956" w:type="dxa"/>
            <w:noWrap w:val="0"/>
            <w:vAlign w:val="center"/>
          </w:tcPr>
          <w:p>
            <w:pPr>
              <w:jc w:val="center"/>
              <w:rPr>
                <w:color w:val="auto"/>
                <w:highlight w:val="none"/>
              </w:rPr>
            </w:pPr>
            <w:r>
              <w:rPr>
                <w:rFonts w:hint="eastAsia"/>
                <w:color w:val="auto"/>
                <w:highlight w:val="none"/>
              </w:rPr>
              <w:t>数量</w:t>
            </w:r>
          </w:p>
        </w:tc>
        <w:tc>
          <w:tcPr>
            <w:tcW w:w="2681" w:type="dxa"/>
            <w:noWrap w:val="0"/>
            <w:vAlign w:val="center"/>
          </w:tcPr>
          <w:p>
            <w:pPr>
              <w:jc w:val="center"/>
              <w:rPr>
                <w:color w:val="auto"/>
                <w:highlight w:val="none"/>
              </w:rPr>
            </w:pPr>
            <w:r>
              <w:rPr>
                <w:rFonts w:hint="eastAsia"/>
                <w:color w:val="auto"/>
                <w:highlight w:val="none"/>
              </w:rPr>
              <w:t>技术参数</w:t>
            </w:r>
          </w:p>
        </w:tc>
        <w:tc>
          <w:tcPr>
            <w:tcW w:w="1487" w:type="dxa"/>
            <w:noWrap w:val="0"/>
            <w:vAlign w:val="center"/>
          </w:tcPr>
          <w:p>
            <w:pPr>
              <w:jc w:val="center"/>
              <w:rPr>
                <w:color w:val="auto"/>
                <w:highlight w:val="none"/>
              </w:rPr>
            </w:pPr>
            <w:r>
              <w:rPr>
                <w:rFonts w:hint="eastAsia"/>
                <w:color w:val="auto"/>
                <w:highlight w:val="none"/>
              </w:rPr>
              <w:t>拥有情况</w:t>
            </w:r>
          </w:p>
        </w:tc>
        <w:tc>
          <w:tcPr>
            <w:tcW w:w="1221" w:type="dxa"/>
            <w:noWrap w:val="0"/>
            <w:vAlign w:val="center"/>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91" w:type="dxa"/>
            <w:noWrap w:val="0"/>
            <w:vAlign w:val="center"/>
          </w:tcPr>
          <w:p>
            <w:pPr>
              <w:jc w:val="center"/>
              <w:rPr>
                <w:color w:val="auto"/>
                <w:highlight w:val="none"/>
              </w:rPr>
            </w:pPr>
            <w:r>
              <w:rPr>
                <w:rFonts w:hint="eastAsia"/>
                <w:color w:val="auto"/>
                <w:highlight w:val="none"/>
              </w:rPr>
              <w:t>1</w:t>
            </w: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1" w:type="dxa"/>
            <w:noWrap w:val="0"/>
            <w:vAlign w:val="center"/>
          </w:tcPr>
          <w:p>
            <w:pPr>
              <w:jc w:val="center"/>
              <w:rPr>
                <w:color w:val="auto"/>
                <w:highlight w:val="none"/>
              </w:rPr>
            </w:pPr>
            <w:r>
              <w:rPr>
                <w:rFonts w:hint="eastAsia"/>
                <w:color w:val="auto"/>
                <w:highlight w:val="none"/>
              </w:rPr>
              <w:t>2</w:t>
            </w: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91" w:type="dxa"/>
            <w:noWrap w:val="0"/>
            <w:vAlign w:val="center"/>
          </w:tcPr>
          <w:p>
            <w:pPr>
              <w:jc w:val="center"/>
              <w:rPr>
                <w:color w:val="auto"/>
                <w:highlight w:val="none"/>
              </w:rPr>
            </w:pPr>
            <w:r>
              <w:rPr>
                <w:rFonts w:hint="eastAsia"/>
                <w:color w:val="auto"/>
                <w:highlight w:val="none"/>
              </w:rPr>
              <w:t>3</w:t>
            </w: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1" w:type="dxa"/>
            <w:noWrap w:val="0"/>
            <w:vAlign w:val="center"/>
          </w:tcPr>
          <w:p>
            <w:pPr>
              <w:jc w:val="center"/>
              <w:rPr>
                <w:color w:val="auto"/>
                <w:highlight w:val="none"/>
              </w:rPr>
            </w:pPr>
            <w:r>
              <w:rPr>
                <w:color w:val="auto"/>
                <w:highlight w:val="none"/>
              </w:rPr>
              <w:t>…</w:t>
            </w: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1" w:type="dxa"/>
            <w:noWrap w:val="0"/>
            <w:vAlign w:val="center"/>
          </w:tcPr>
          <w:p>
            <w:pPr>
              <w:jc w:val="center"/>
              <w:rPr>
                <w:color w:val="auto"/>
                <w:highlight w:val="none"/>
              </w:rPr>
            </w:pP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1" w:type="dxa"/>
            <w:noWrap w:val="0"/>
            <w:vAlign w:val="center"/>
          </w:tcPr>
          <w:p>
            <w:pPr>
              <w:jc w:val="center"/>
              <w:rPr>
                <w:color w:val="auto"/>
                <w:highlight w:val="none"/>
              </w:rPr>
            </w:pP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91" w:type="dxa"/>
            <w:noWrap w:val="0"/>
            <w:vAlign w:val="center"/>
          </w:tcPr>
          <w:p>
            <w:pPr>
              <w:jc w:val="center"/>
              <w:rPr>
                <w:color w:val="auto"/>
                <w:highlight w:val="none"/>
              </w:rPr>
            </w:pP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1" w:type="dxa"/>
            <w:noWrap w:val="0"/>
            <w:vAlign w:val="center"/>
          </w:tcPr>
          <w:p>
            <w:pPr>
              <w:jc w:val="center"/>
              <w:rPr>
                <w:color w:val="auto"/>
                <w:highlight w:val="none"/>
              </w:rPr>
            </w:pPr>
          </w:p>
        </w:tc>
        <w:tc>
          <w:tcPr>
            <w:tcW w:w="2150" w:type="dxa"/>
            <w:noWrap w:val="0"/>
            <w:vAlign w:val="center"/>
          </w:tcPr>
          <w:p>
            <w:pPr>
              <w:jc w:val="center"/>
              <w:rPr>
                <w:color w:val="auto"/>
                <w:highlight w:val="none"/>
              </w:rPr>
            </w:pPr>
          </w:p>
        </w:tc>
        <w:tc>
          <w:tcPr>
            <w:tcW w:w="956" w:type="dxa"/>
            <w:noWrap w:val="0"/>
            <w:vAlign w:val="center"/>
          </w:tcPr>
          <w:p>
            <w:pPr>
              <w:jc w:val="center"/>
              <w:rPr>
                <w:color w:val="auto"/>
                <w:highlight w:val="none"/>
              </w:rPr>
            </w:pPr>
          </w:p>
        </w:tc>
        <w:tc>
          <w:tcPr>
            <w:tcW w:w="2681" w:type="dxa"/>
            <w:noWrap w:val="0"/>
            <w:vAlign w:val="center"/>
          </w:tcPr>
          <w:p>
            <w:pPr>
              <w:jc w:val="center"/>
              <w:rPr>
                <w:color w:val="auto"/>
                <w:highlight w:val="none"/>
              </w:rPr>
            </w:pPr>
          </w:p>
        </w:tc>
        <w:tc>
          <w:tcPr>
            <w:tcW w:w="1487" w:type="dxa"/>
            <w:noWrap w:val="0"/>
            <w:vAlign w:val="center"/>
          </w:tcPr>
          <w:p>
            <w:pPr>
              <w:jc w:val="center"/>
              <w:rPr>
                <w:color w:val="auto"/>
                <w:highlight w:val="none"/>
              </w:rPr>
            </w:pPr>
          </w:p>
        </w:tc>
        <w:tc>
          <w:tcPr>
            <w:tcW w:w="1221" w:type="dxa"/>
            <w:noWrap w:val="0"/>
            <w:vAlign w:val="center"/>
          </w:tcPr>
          <w:p>
            <w:pPr>
              <w:jc w:val="center"/>
              <w:rPr>
                <w:color w:val="auto"/>
                <w:highlight w:val="none"/>
              </w:rPr>
            </w:pPr>
          </w:p>
        </w:tc>
      </w:tr>
    </w:tbl>
    <w:p>
      <w:pPr>
        <w:rPr>
          <w:rFonts w:hint="eastAsia"/>
          <w:color w:val="auto"/>
          <w:highlight w:val="none"/>
        </w:rPr>
      </w:pPr>
      <w:r>
        <w:rPr>
          <w:rFonts w:hint="eastAsia"/>
          <w:color w:val="auto"/>
          <w:highlight w:val="none"/>
        </w:rPr>
        <w:t>注：</w:t>
      </w:r>
      <w:r>
        <w:rPr>
          <w:rFonts w:hint="eastAsia" w:ascii="宋体" w:hAnsi="宋体"/>
          <w:color w:val="auto"/>
          <w:szCs w:val="21"/>
          <w:highlight w:val="none"/>
        </w:rPr>
        <w:t>应附船舶所有权登记证书、国籍证书、海上船舶检验证书簿、适航证书、船舶吨位证书、船舶载重线证书等，如前述材料尚不能体现该船舶的的舱容、总装机功率、生产能力等主要技术参数的，还应补充提供有权部门出具的证明文件，否则视为不满足招标文件要求；“有权部门”是指：中国船级社、船舶检验局等部门及其分支机构；如系租赁，还须补充提供租赁协议书或租赁意向书或合作协议书，否则无效。</w:t>
      </w: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p>
      <w:pPr>
        <w:spacing w:line="440" w:lineRule="exact"/>
        <w:ind w:firstLine="205" w:firstLineChars="98"/>
        <w:jc w:val="left"/>
        <w:rPr>
          <w:rFonts w:hint="eastAsia" w:ascii="宋体" w:hAnsi="宋体"/>
          <w:color w:val="auto"/>
          <w:szCs w:val="21"/>
          <w:highlight w:val="none"/>
        </w:rPr>
      </w:pPr>
    </w:p>
    <w:bookmarkEnd w:id="1338"/>
    <w:p>
      <w:pPr>
        <w:pStyle w:val="6"/>
        <w:jc w:val="center"/>
        <w:rPr>
          <w:color w:val="auto"/>
          <w:highlight w:val="none"/>
        </w:rPr>
      </w:pPr>
      <w:bookmarkStart w:id="1342" w:name="_Toc234382989"/>
      <w:bookmarkStart w:id="1343" w:name="_Toc243924035"/>
      <w:bookmarkStart w:id="1344" w:name="_Toc490832379"/>
      <w:bookmarkStart w:id="1345" w:name="_Toc245379354"/>
      <w:bookmarkStart w:id="1346" w:name="_Toc353456420"/>
      <w:bookmarkStart w:id="1347" w:name="_Toc243796199"/>
      <w:bookmarkStart w:id="1348" w:name="_Toc418065430"/>
      <w:r>
        <w:rPr>
          <w:rFonts w:hint="eastAsia"/>
          <w:color w:val="auto"/>
          <w:highlight w:val="none"/>
        </w:rPr>
        <w:t>八、承诺函</w:t>
      </w:r>
      <w:bookmarkEnd w:id="1342"/>
      <w:bookmarkEnd w:id="1343"/>
      <w:bookmarkEnd w:id="1344"/>
      <w:bookmarkEnd w:id="1345"/>
      <w:bookmarkEnd w:id="1346"/>
      <w:bookmarkEnd w:id="1347"/>
    </w:p>
    <w:p>
      <w:pPr>
        <w:spacing w:before="240" w:after="240" w:line="400" w:lineRule="exact"/>
        <w:rPr>
          <w:color w:val="auto"/>
          <w:szCs w:val="21"/>
          <w:highlight w:val="none"/>
        </w:rPr>
      </w:pPr>
      <w:r>
        <w:rPr>
          <w:rFonts w:hint="eastAsia"/>
          <w:color w:val="auto"/>
          <w:szCs w:val="21"/>
          <w:highlight w:val="none"/>
          <w:u w:val="single"/>
        </w:rPr>
        <w:t xml:space="preserve">                  （招标人）</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我方参加了</w:t>
      </w:r>
      <w:r>
        <w:rPr>
          <w:rFonts w:hint="eastAsia"/>
          <w:color w:val="auto"/>
          <w:szCs w:val="21"/>
          <w:highlight w:val="none"/>
          <w:u w:val="single"/>
        </w:rPr>
        <w:t xml:space="preserve">      </w:t>
      </w:r>
      <w:r>
        <w:rPr>
          <w:rFonts w:hint="eastAsia"/>
          <w:bCs/>
          <w:color w:val="auto"/>
          <w:kern w:val="0"/>
          <w:szCs w:val="21"/>
          <w:highlight w:val="none"/>
          <w:u w:val="single"/>
        </w:rPr>
        <w:t>（项目名称）</w:t>
      </w:r>
      <w:r>
        <w:rPr>
          <w:color w:val="auto"/>
          <w:szCs w:val="21"/>
          <w:highlight w:val="none"/>
        </w:rPr>
        <w:t>施工投标，</w:t>
      </w:r>
      <w:r>
        <w:rPr>
          <w:rFonts w:ascii="宋体" w:hAnsi="宋体"/>
          <w:color w:val="auto"/>
          <w:szCs w:val="21"/>
          <w:highlight w:val="none"/>
        </w:rPr>
        <w:t>若我方中标</w:t>
      </w:r>
      <w:r>
        <w:rPr>
          <w:color w:val="auto"/>
          <w:szCs w:val="21"/>
          <w:highlight w:val="none"/>
        </w:rPr>
        <w:t>，我方在此承诺：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在</w:t>
      </w:r>
      <w:r>
        <w:rPr>
          <w:rFonts w:hint="eastAsia" w:ascii="宋体" w:hAnsi="宋体"/>
          <w:color w:val="auto"/>
          <w:szCs w:val="21"/>
          <w:highlight w:val="none"/>
        </w:rPr>
        <w:t>合同签订</w:t>
      </w:r>
      <w:r>
        <w:rPr>
          <w:rFonts w:ascii="宋体" w:hAnsi="宋体"/>
          <w:color w:val="auto"/>
          <w:szCs w:val="21"/>
          <w:highlight w:val="none"/>
        </w:rPr>
        <w:t>之前，我方将按照</w:t>
      </w:r>
      <w:r>
        <w:rPr>
          <w:rFonts w:hint="eastAsia" w:ascii="宋体" w:hAnsi="宋体"/>
          <w:color w:val="auto"/>
          <w:szCs w:val="21"/>
          <w:highlight w:val="none"/>
        </w:rPr>
        <w:t>项目需要配足其他主要项目管理人员和</w:t>
      </w:r>
      <w:r>
        <w:rPr>
          <w:rFonts w:ascii="宋体" w:hAnsi="宋体"/>
          <w:color w:val="auto"/>
          <w:szCs w:val="21"/>
          <w:highlight w:val="none"/>
        </w:rPr>
        <w:t>主要</w:t>
      </w:r>
      <w:r>
        <w:rPr>
          <w:rFonts w:hint="eastAsia" w:ascii="宋体" w:hAnsi="宋体"/>
          <w:color w:val="auto"/>
          <w:szCs w:val="21"/>
          <w:highlight w:val="none"/>
        </w:rPr>
        <w:t>船</w:t>
      </w:r>
      <w:r>
        <w:rPr>
          <w:rFonts w:ascii="宋体" w:hAnsi="宋体"/>
          <w:color w:val="auto"/>
          <w:szCs w:val="21"/>
          <w:highlight w:val="none"/>
        </w:rPr>
        <w:t>机</w:t>
      </w:r>
      <w:r>
        <w:rPr>
          <w:rFonts w:hint="eastAsia" w:ascii="宋体" w:hAnsi="宋体"/>
          <w:color w:val="auto"/>
          <w:szCs w:val="21"/>
          <w:highlight w:val="none"/>
        </w:rPr>
        <w:t>设备，</w:t>
      </w:r>
      <w:r>
        <w:rPr>
          <w:rFonts w:ascii="宋体" w:hAnsi="宋体"/>
          <w:color w:val="auto"/>
          <w:szCs w:val="21"/>
          <w:highlight w:val="none"/>
        </w:rPr>
        <w:t>在经审批后作为派驻本</w:t>
      </w:r>
      <w:r>
        <w:rPr>
          <w:rFonts w:hint="eastAsia" w:ascii="宋体" w:hAnsi="宋体"/>
          <w:color w:val="auto"/>
          <w:szCs w:val="21"/>
          <w:highlight w:val="none"/>
        </w:rPr>
        <w:t>工程</w:t>
      </w:r>
      <w:r>
        <w:rPr>
          <w:rFonts w:ascii="宋体" w:hAnsi="宋体"/>
          <w:color w:val="auto"/>
          <w:szCs w:val="21"/>
          <w:highlight w:val="none"/>
        </w:rPr>
        <w:t>的项目管理机构主要</w:t>
      </w:r>
      <w:r>
        <w:rPr>
          <w:rFonts w:hint="eastAsia" w:ascii="宋体" w:hAnsi="宋体"/>
          <w:color w:val="auto"/>
          <w:szCs w:val="21"/>
          <w:highlight w:val="none"/>
        </w:rPr>
        <w:t>施工管理</w:t>
      </w:r>
      <w:r>
        <w:rPr>
          <w:rFonts w:ascii="宋体" w:hAnsi="宋体"/>
          <w:color w:val="auto"/>
          <w:szCs w:val="21"/>
          <w:highlight w:val="none"/>
        </w:rPr>
        <w:t>人员和主要机械设备不进行更换。</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1、工程开工前，我方承诺按投标时填报的项目经理、技术负责人组建项目管理机构，并按要求到岗到位。</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2、工程开工后，除不可抗力外，我方变更项目经理、技术负责人和其他主要施工管理人员的，按专用合同条款规定的数额向招标人交纳违约金。</w:t>
      </w:r>
    </w:p>
    <w:p>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为保证本项目按时开工，我方保证至少按照合同签订前批准的主要机械设备及进场计划时间到达指定海域并展开施工，未按承诺到场进行施工的，视为违约行为，按专用合同条款规定的数额向招标人交纳违约金。</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4、在工程实施期间，未经监理工程师批准，承包人应确保满足施工需要的施工船舶机械设备不得撤离现场，否则，按专用合同条款规定的数额向招标人交纳违约金。</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我方也承诺，在合同实施期间，若有人员、机械设备不能满足要求，随时应招标人的要求予以增加或更换，直至</w:t>
      </w:r>
      <w:r>
        <w:rPr>
          <w:rFonts w:hint="eastAsia" w:ascii="宋体" w:hAnsi="宋体"/>
          <w:color w:val="auto"/>
          <w:szCs w:val="21"/>
          <w:highlight w:val="none"/>
        </w:rPr>
        <w:t>满足招标项目要求</w:t>
      </w:r>
      <w:r>
        <w:rPr>
          <w:rFonts w:ascii="宋体" w:hAnsi="宋体"/>
          <w:color w:val="auto"/>
          <w:szCs w:val="21"/>
          <w:highlight w:val="none"/>
        </w:rPr>
        <w:t>为止。</w:t>
      </w:r>
    </w:p>
    <w:p>
      <w:pPr>
        <w:spacing w:line="400" w:lineRule="exact"/>
        <w:ind w:firstLine="420" w:firstLineChars="200"/>
        <w:rPr>
          <w:rFonts w:hint="eastAsia" w:ascii="宋体" w:hAnsi="宋体"/>
          <w:color w:val="auto"/>
          <w:szCs w:val="21"/>
          <w:highlight w:val="none"/>
          <w:lang w:bidi="en-US"/>
        </w:rPr>
      </w:pPr>
      <w:r>
        <w:rPr>
          <w:rFonts w:hint="eastAsia" w:ascii="宋体" w:hAnsi="宋体"/>
          <w:color w:val="auto"/>
          <w:szCs w:val="21"/>
          <w:highlight w:val="none"/>
          <w:lang w:bidi="en-US"/>
        </w:rPr>
        <w:t>三、如我方违背了上述承诺，招标人有权取消我方的中标资格，并由招标人将我方的违约行为上报省级交通主管部门，作为不良记录纳入交通建设市场信息管理系统；合同实施期间，如我方违背了上述承诺，愿意接受项目发包人按合同有关规定课以违约金、没收履约担保、切割工程、清退出场、终止合同等处理，并承担一切经济和法律责任；愿意接受相关行政主管部门作出的降低信用等级、直接定级、限制投标、禁止投标等市场准入与清出的处罚，并承担由此造成的一切后果。</w:t>
      </w: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pPr>
        <w:spacing w:line="400" w:lineRule="exact"/>
        <w:rPr>
          <w:color w:val="auto"/>
          <w:szCs w:val="21"/>
          <w:highlight w:val="none"/>
        </w:rPr>
      </w:pPr>
      <w:r>
        <w:rPr>
          <w:color w:val="auto"/>
          <w:szCs w:val="21"/>
          <w:highlight w:val="none"/>
        </w:rPr>
        <w:t xml:space="preserve">                                      </w:t>
      </w:r>
    </w:p>
    <w:p>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pStyle w:val="6"/>
        <w:jc w:val="center"/>
        <w:rPr>
          <w:rFonts w:hint="eastAsia"/>
          <w:color w:val="auto"/>
          <w:highlight w:val="none"/>
        </w:rPr>
      </w:pPr>
      <w:r>
        <w:rPr>
          <w:rFonts w:hint="eastAsia" w:ascii="宋体" w:hAnsi="宋体"/>
          <w:color w:val="auto"/>
          <w:sz w:val="24"/>
          <w:highlight w:val="none"/>
        </w:rPr>
        <w:br w:type="page"/>
      </w:r>
      <w:bookmarkEnd w:id="1348"/>
      <w:bookmarkStart w:id="1349" w:name="_Toc490832380"/>
      <w:bookmarkStart w:id="1350" w:name="_Toc468869241"/>
      <w:r>
        <w:rPr>
          <w:rFonts w:hint="eastAsia"/>
          <w:color w:val="auto"/>
          <w:highlight w:val="none"/>
        </w:rPr>
        <w:t>九、已标价工程量清单</w:t>
      </w:r>
      <w:bookmarkEnd w:id="1349"/>
      <w:bookmarkEnd w:id="1350"/>
    </w:p>
    <w:p>
      <w:pPr>
        <w:pStyle w:val="7"/>
        <w:spacing w:before="0" w:after="0" w:line="240" w:lineRule="auto"/>
        <w:ind w:firstLine="210" w:firstLineChars="100"/>
        <w:rPr>
          <w:rFonts w:hint="eastAsia"/>
          <w:color w:val="auto"/>
          <w:sz w:val="21"/>
          <w:szCs w:val="21"/>
          <w:highlight w:val="none"/>
        </w:rPr>
      </w:pPr>
      <w:r>
        <w:rPr>
          <w:rFonts w:hint="eastAsia"/>
          <w:color w:val="auto"/>
          <w:sz w:val="21"/>
          <w:szCs w:val="21"/>
          <w:highlight w:val="none"/>
          <w:lang w:eastAsia="zh-CN"/>
        </w:rPr>
        <w:t>9</w:t>
      </w:r>
      <w:r>
        <w:rPr>
          <w:rFonts w:hint="eastAsia"/>
          <w:color w:val="auto"/>
          <w:sz w:val="21"/>
          <w:szCs w:val="21"/>
          <w:highlight w:val="none"/>
        </w:rPr>
        <w:t>. 1投标报价说明</w:t>
      </w:r>
    </w:p>
    <w:p>
      <w:pPr>
        <w:rPr>
          <w:rFonts w:hint="eastAsia"/>
          <w:color w:val="auto"/>
          <w:szCs w:val="21"/>
          <w:highlight w:val="none"/>
        </w:rPr>
      </w:pPr>
      <w:r>
        <w:rPr>
          <w:rFonts w:hint="eastAsia"/>
          <w:color w:val="auto"/>
          <w:szCs w:val="21"/>
          <w:highlight w:val="none"/>
        </w:rPr>
        <w:t>（由投标人自行编制）</w:t>
      </w:r>
    </w:p>
    <w:p>
      <w:pPr>
        <w:pStyle w:val="7"/>
        <w:spacing w:before="0" w:after="0" w:line="240" w:lineRule="auto"/>
        <w:ind w:firstLine="103" w:firstLineChars="49"/>
        <w:rPr>
          <w:rFonts w:hint="eastAsia"/>
          <w:color w:val="auto"/>
          <w:sz w:val="21"/>
          <w:szCs w:val="21"/>
          <w:highlight w:val="none"/>
        </w:rPr>
      </w:pPr>
      <w:r>
        <w:rPr>
          <w:rFonts w:hint="eastAsia"/>
          <w:color w:val="auto"/>
          <w:sz w:val="21"/>
          <w:szCs w:val="21"/>
          <w:highlight w:val="none"/>
          <w:lang w:eastAsia="zh-CN"/>
        </w:rPr>
        <w:t>9</w:t>
      </w:r>
      <w:r>
        <w:rPr>
          <w:rFonts w:hint="eastAsia"/>
          <w:color w:val="auto"/>
          <w:sz w:val="21"/>
          <w:szCs w:val="21"/>
          <w:highlight w:val="none"/>
        </w:rPr>
        <w:t xml:space="preserve"> . 2</w:t>
      </w:r>
      <w:r>
        <w:rPr>
          <w:rFonts w:hint="eastAsia"/>
          <w:color w:val="auto"/>
          <w:sz w:val="21"/>
          <w:szCs w:val="21"/>
          <w:highlight w:val="none"/>
          <w:lang w:eastAsia="zh-CN"/>
        </w:rPr>
        <w:t>工程量清单项目</w:t>
      </w:r>
      <w:r>
        <w:rPr>
          <w:rFonts w:hint="eastAsia"/>
          <w:color w:val="auto"/>
          <w:sz w:val="21"/>
          <w:szCs w:val="21"/>
          <w:highlight w:val="none"/>
        </w:rPr>
        <w:t>总</w:t>
      </w:r>
      <w:r>
        <w:rPr>
          <w:rFonts w:hint="eastAsia"/>
          <w:color w:val="auto"/>
          <w:sz w:val="21"/>
          <w:szCs w:val="21"/>
          <w:highlight w:val="none"/>
          <w:lang w:eastAsia="zh-CN"/>
        </w:rPr>
        <w:t>价</w:t>
      </w:r>
      <w:r>
        <w:rPr>
          <w:rFonts w:hint="eastAsia"/>
          <w:color w:val="auto"/>
          <w:sz w:val="21"/>
          <w:szCs w:val="21"/>
          <w:highlight w:val="none"/>
        </w:rPr>
        <w:t>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34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828" w:type="dxa"/>
            <w:tcBorders>
              <w:bottom w:val="single" w:color="auto" w:sz="4" w:space="0"/>
            </w:tcBorders>
            <w:noWrap w:val="0"/>
            <w:vAlign w:val="center"/>
          </w:tcPr>
          <w:p>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60" w:type="dxa"/>
            <w:tcBorders>
              <w:bottom w:val="single" w:color="auto" w:sz="4" w:space="0"/>
            </w:tcBorders>
            <w:noWrap w:val="0"/>
            <w:vAlign w:val="center"/>
          </w:tcPr>
          <w:p>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单位工程名称</w:t>
            </w:r>
          </w:p>
        </w:tc>
        <w:tc>
          <w:tcPr>
            <w:tcW w:w="3450" w:type="dxa"/>
            <w:tcBorders>
              <w:bottom w:val="single" w:color="auto" w:sz="4"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金 额（元）</w:t>
            </w:r>
          </w:p>
        </w:tc>
        <w:tc>
          <w:tcPr>
            <w:tcW w:w="1950" w:type="dxa"/>
            <w:tcBorders>
              <w:bottom w:val="single" w:color="auto" w:sz="4"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jc w:val="center"/>
        </w:trPr>
        <w:tc>
          <w:tcPr>
            <w:tcW w:w="828" w:type="dxa"/>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3060" w:type="dxa"/>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工程项目</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jc w:val="center"/>
        </w:trPr>
        <w:tc>
          <w:tcPr>
            <w:tcW w:w="828" w:type="dxa"/>
            <w:noWrap w:val="0"/>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1</w:t>
            </w:r>
          </w:p>
        </w:tc>
        <w:tc>
          <w:tcPr>
            <w:tcW w:w="3060" w:type="dxa"/>
            <w:noWrap w:val="0"/>
            <w:vAlign w:val="center"/>
          </w:tcPr>
          <w:p>
            <w:pPr>
              <w:autoSpaceDE w:val="0"/>
              <w:autoSpaceDN w:val="0"/>
              <w:adjustRightInd w:val="0"/>
              <w:jc w:val="center"/>
              <w:rPr>
                <w:rFonts w:hint="eastAsia" w:ascii="宋体" w:hAnsi="宋体"/>
                <w:color w:val="auto"/>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jc w:val="center"/>
        </w:trPr>
        <w:tc>
          <w:tcPr>
            <w:tcW w:w="828" w:type="dxa"/>
            <w:noWrap w:val="0"/>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2</w:t>
            </w:r>
          </w:p>
        </w:tc>
        <w:tc>
          <w:tcPr>
            <w:tcW w:w="3060" w:type="dxa"/>
            <w:noWrap w:val="0"/>
            <w:vAlign w:val="center"/>
          </w:tcPr>
          <w:p>
            <w:pPr>
              <w:pStyle w:val="12"/>
              <w:autoSpaceDE w:val="0"/>
              <w:autoSpaceDN w:val="0"/>
              <w:adjustRightInd w:val="0"/>
              <w:spacing w:before="0"/>
              <w:jc w:val="center"/>
              <w:rPr>
                <w:rFonts w:hint="eastAsia" w:ascii="宋体" w:hAnsi="宋体" w:cs="Times New Roman"/>
                <w:color w:val="auto"/>
                <w:sz w:val="21"/>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828" w:type="dxa"/>
            <w:noWrap w:val="0"/>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3</w:t>
            </w:r>
          </w:p>
        </w:tc>
        <w:tc>
          <w:tcPr>
            <w:tcW w:w="3060" w:type="dxa"/>
            <w:noWrap w:val="0"/>
            <w:vAlign w:val="center"/>
          </w:tcPr>
          <w:p>
            <w:pPr>
              <w:pStyle w:val="12"/>
              <w:autoSpaceDE w:val="0"/>
              <w:autoSpaceDN w:val="0"/>
              <w:adjustRightInd w:val="0"/>
              <w:spacing w:before="0"/>
              <w:jc w:val="center"/>
              <w:rPr>
                <w:rFonts w:hint="eastAsia" w:ascii="宋体" w:hAnsi="宋体" w:cs="Times New Roman"/>
                <w:color w:val="auto"/>
                <w:sz w:val="21"/>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28" w:type="dxa"/>
            <w:noWrap w:val="0"/>
            <w:vAlign w:val="center"/>
          </w:tcPr>
          <w:p>
            <w:pPr>
              <w:autoSpaceDE w:val="0"/>
              <w:autoSpaceDN w:val="0"/>
              <w:adjustRightInd w:val="0"/>
              <w:jc w:val="center"/>
              <w:rPr>
                <w:rFonts w:hint="eastAsia" w:ascii="宋体" w:hAnsi="宋体"/>
                <w:color w:val="auto"/>
                <w:spacing w:val="-20"/>
                <w:szCs w:val="21"/>
                <w:highlight w:val="none"/>
              </w:rPr>
            </w:pPr>
          </w:p>
        </w:tc>
        <w:tc>
          <w:tcPr>
            <w:tcW w:w="3060" w:type="dxa"/>
            <w:noWrap w:val="0"/>
            <w:vAlign w:val="center"/>
          </w:tcPr>
          <w:p>
            <w:pPr>
              <w:autoSpaceDE w:val="0"/>
              <w:autoSpaceDN w:val="0"/>
              <w:adjustRightInd w:val="0"/>
              <w:jc w:val="center"/>
              <w:rPr>
                <w:rFonts w:hint="eastAsia" w:ascii="宋体" w:hAnsi="宋体"/>
                <w:color w:val="auto"/>
                <w:szCs w:val="21"/>
                <w:highlight w:val="none"/>
              </w:rPr>
            </w:pPr>
            <w:r>
              <w:rPr>
                <w:rFonts w:hint="eastAsia" w:ascii="宋体" w:hAnsi="宋体"/>
                <w:color w:val="auto"/>
                <w:szCs w:val="21"/>
                <w:highlight w:val="none"/>
              </w:rPr>
              <w:t>…</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二</w:t>
            </w:r>
          </w:p>
        </w:tc>
        <w:tc>
          <w:tcPr>
            <w:tcW w:w="3060" w:type="dxa"/>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一般项目</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hint="eastAsia" w:ascii="宋体" w:hAnsi="宋体"/>
                <w:color w:val="auto"/>
                <w:spacing w:val="-20"/>
                <w:szCs w:val="21"/>
                <w:highlight w:val="none"/>
              </w:rPr>
            </w:pPr>
            <w:r>
              <w:rPr>
                <w:rFonts w:hint="eastAsia" w:ascii="宋体" w:hAnsi="宋体"/>
                <w:color w:val="auto"/>
                <w:spacing w:val="-20"/>
                <w:szCs w:val="21"/>
                <w:highlight w:val="none"/>
              </w:rPr>
              <w:t>1</w:t>
            </w:r>
          </w:p>
        </w:tc>
        <w:tc>
          <w:tcPr>
            <w:tcW w:w="3060" w:type="dxa"/>
            <w:noWrap w:val="0"/>
            <w:vAlign w:val="center"/>
          </w:tcPr>
          <w:p>
            <w:pPr>
              <w:autoSpaceDE w:val="0"/>
              <w:autoSpaceDN w:val="0"/>
              <w:adjustRightInd w:val="0"/>
              <w:jc w:val="center"/>
              <w:rPr>
                <w:rFonts w:hint="eastAsia" w:ascii="宋体" w:hAnsi="宋体"/>
                <w:color w:val="auto"/>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hint="eastAsia" w:ascii="宋体" w:hAnsi="宋体"/>
                <w:color w:val="auto"/>
                <w:spacing w:val="-20"/>
                <w:szCs w:val="21"/>
                <w:highlight w:val="none"/>
              </w:rPr>
            </w:pPr>
            <w:r>
              <w:rPr>
                <w:rFonts w:hint="eastAsia" w:ascii="宋体" w:hAnsi="宋体"/>
                <w:color w:val="auto"/>
                <w:spacing w:val="-20"/>
                <w:szCs w:val="21"/>
                <w:highlight w:val="none"/>
              </w:rPr>
              <w:t>2</w:t>
            </w:r>
          </w:p>
        </w:tc>
        <w:tc>
          <w:tcPr>
            <w:tcW w:w="3060" w:type="dxa"/>
            <w:noWrap w:val="0"/>
            <w:vAlign w:val="center"/>
          </w:tcPr>
          <w:p>
            <w:pPr>
              <w:autoSpaceDE w:val="0"/>
              <w:autoSpaceDN w:val="0"/>
              <w:adjustRightInd w:val="0"/>
              <w:jc w:val="center"/>
              <w:rPr>
                <w:rFonts w:hint="eastAsia" w:ascii="宋体" w:hAnsi="宋体"/>
                <w:color w:val="auto"/>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hint="eastAsia" w:ascii="宋体" w:hAnsi="宋体"/>
                <w:color w:val="auto"/>
                <w:spacing w:val="-20"/>
                <w:szCs w:val="21"/>
                <w:highlight w:val="none"/>
              </w:rPr>
            </w:pPr>
          </w:p>
        </w:tc>
        <w:tc>
          <w:tcPr>
            <w:tcW w:w="3060" w:type="dxa"/>
            <w:noWrap w:val="0"/>
            <w:vAlign w:val="center"/>
          </w:tcPr>
          <w:p>
            <w:pPr>
              <w:autoSpaceDE w:val="0"/>
              <w:autoSpaceDN w:val="0"/>
              <w:adjustRightInd w:val="0"/>
              <w:jc w:val="center"/>
              <w:rPr>
                <w:rFonts w:hint="eastAsia" w:ascii="宋体" w:hAnsi="宋体"/>
                <w:color w:val="auto"/>
                <w:szCs w:val="21"/>
                <w:highlight w:val="none"/>
              </w:rPr>
            </w:pPr>
            <w:r>
              <w:rPr>
                <w:rFonts w:hint="eastAsia" w:ascii="宋体" w:hAnsi="宋体"/>
                <w:color w:val="auto"/>
                <w:szCs w:val="21"/>
                <w:highlight w:val="none"/>
              </w:rPr>
              <w:t>…</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hint="eastAsia" w:ascii="宋体" w:hAnsi="宋体"/>
                <w:color w:val="auto"/>
                <w:spacing w:val="-20"/>
                <w:szCs w:val="21"/>
                <w:highlight w:val="none"/>
              </w:rPr>
            </w:pPr>
            <w:r>
              <w:rPr>
                <w:rFonts w:hint="eastAsia" w:ascii="宋体" w:hAnsi="宋体"/>
                <w:color w:val="auto"/>
                <w:spacing w:val="-20"/>
                <w:szCs w:val="21"/>
                <w:highlight w:val="none"/>
              </w:rPr>
              <w:t>三</w:t>
            </w:r>
          </w:p>
        </w:tc>
        <w:tc>
          <w:tcPr>
            <w:tcW w:w="3060" w:type="dxa"/>
            <w:noWrap w:val="0"/>
            <w:vAlign w:val="center"/>
          </w:tcPr>
          <w:p>
            <w:pPr>
              <w:autoSpaceDE w:val="0"/>
              <w:autoSpaceDN w:val="0"/>
              <w:adjustRightInd w:val="0"/>
              <w:jc w:val="center"/>
              <w:rPr>
                <w:rFonts w:hint="eastAsia" w:ascii="宋体" w:hAnsi="宋体"/>
                <w:color w:val="auto"/>
                <w:szCs w:val="21"/>
                <w:highlight w:val="none"/>
              </w:rPr>
            </w:pPr>
            <w:r>
              <w:rPr>
                <w:rFonts w:hint="eastAsia" w:ascii="宋体" w:hAnsi="宋体"/>
                <w:color w:val="auto"/>
                <w:szCs w:val="21"/>
                <w:highlight w:val="none"/>
              </w:rPr>
              <w:t>暂列金额</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固定价，由招标人支配并按发生的实际费用支出。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28" w:type="dxa"/>
            <w:noWrap w:val="0"/>
            <w:vAlign w:val="center"/>
          </w:tcPr>
          <w:p>
            <w:pPr>
              <w:autoSpaceDE w:val="0"/>
              <w:autoSpaceDN w:val="0"/>
              <w:adjustRightInd w:val="0"/>
              <w:jc w:val="center"/>
              <w:rPr>
                <w:rFonts w:hint="eastAsia" w:ascii="宋体" w:hAnsi="宋体"/>
                <w:color w:val="auto"/>
                <w:szCs w:val="21"/>
                <w:highlight w:val="none"/>
              </w:rPr>
            </w:pPr>
          </w:p>
        </w:tc>
        <w:tc>
          <w:tcPr>
            <w:tcW w:w="3060" w:type="dxa"/>
            <w:noWrap w:val="0"/>
            <w:vAlign w:val="center"/>
          </w:tcPr>
          <w:p>
            <w:pPr>
              <w:autoSpaceDE w:val="0"/>
              <w:autoSpaceDN w:val="0"/>
              <w:adjustRightInd w:val="0"/>
              <w:jc w:val="center"/>
              <w:rPr>
                <w:rFonts w:hint="eastAsia" w:ascii="宋体" w:hAnsi="宋体"/>
                <w:b/>
                <w:color w:val="auto"/>
                <w:szCs w:val="21"/>
                <w:highlight w:val="none"/>
              </w:rPr>
            </w:pP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828" w:type="dxa"/>
            <w:noWrap w:val="0"/>
            <w:vAlign w:val="center"/>
          </w:tcPr>
          <w:p>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四</w:t>
            </w:r>
          </w:p>
        </w:tc>
        <w:tc>
          <w:tcPr>
            <w:tcW w:w="3060" w:type="dxa"/>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总计</w:t>
            </w:r>
          </w:p>
        </w:tc>
        <w:tc>
          <w:tcPr>
            <w:tcW w:w="3450" w:type="dxa"/>
            <w:noWrap w:val="0"/>
            <w:vAlign w:val="center"/>
          </w:tcPr>
          <w:p>
            <w:pPr>
              <w:autoSpaceDE w:val="0"/>
              <w:autoSpaceDN w:val="0"/>
              <w:adjustRightInd w:val="0"/>
              <w:jc w:val="center"/>
              <w:rPr>
                <w:rFonts w:ascii="宋体" w:hAnsi="宋体"/>
                <w:color w:val="auto"/>
                <w:szCs w:val="21"/>
                <w:highlight w:val="none"/>
              </w:rPr>
            </w:pPr>
          </w:p>
        </w:tc>
        <w:tc>
          <w:tcPr>
            <w:tcW w:w="1950" w:type="dxa"/>
            <w:noWrap w:val="0"/>
            <w:vAlign w:val="center"/>
          </w:tcPr>
          <w:p>
            <w:pPr>
              <w:autoSpaceDE w:val="0"/>
              <w:autoSpaceDN w:val="0"/>
              <w:adjustRightInd w:val="0"/>
              <w:jc w:val="center"/>
              <w:rPr>
                <w:rFonts w:ascii="宋体" w:hAnsi="宋体"/>
                <w:color w:val="auto"/>
                <w:szCs w:val="21"/>
                <w:highlight w:val="none"/>
              </w:rPr>
            </w:pPr>
          </w:p>
        </w:tc>
      </w:tr>
    </w:tbl>
    <w:p>
      <w:pPr>
        <w:autoSpaceDE w:val="0"/>
        <w:autoSpaceDN w:val="0"/>
        <w:adjustRightInd w:val="0"/>
        <w:spacing w:before="120" w:beforeLines="50"/>
        <w:rPr>
          <w:rFonts w:ascii="宋体" w:hAnsi="宋体"/>
          <w:color w:val="auto"/>
          <w:szCs w:val="21"/>
          <w:highlight w:val="none"/>
        </w:rPr>
      </w:pPr>
      <w:r>
        <w:rPr>
          <w:rFonts w:hint="eastAsia" w:ascii="宋体" w:hAnsi="宋体"/>
          <w:color w:val="auto"/>
          <w:szCs w:val="21"/>
          <w:highlight w:val="none"/>
        </w:rPr>
        <w:t>报价总价（大写）：</w:t>
      </w:r>
    </w:p>
    <w:p>
      <w:pPr>
        <w:autoSpaceDE w:val="0"/>
        <w:autoSpaceDN w:val="0"/>
        <w:adjustRightInd w:val="0"/>
        <w:rPr>
          <w:rFonts w:ascii="宋体" w:hAnsi="宋体"/>
          <w:color w:val="auto"/>
          <w:szCs w:val="21"/>
          <w:highlight w:val="none"/>
        </w:rPr>
      </w:pPr>
    </w:p>
    <w:p>
      <w:pPr>
        <w:spacing w:line="40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pStyle w:val="7"/>
        <w:rPr>
          <w:rFonts w:ascii="宋体" w:hAnsi="宋体"/>
          <w:color w:val="auto"/>
          <w:szCs w:val="21"/>
          <w:highlight w:val="none"/>
        </w:rPr>
      </w:pPr>
    </w:p>
    <w:p>
      <w:pPr>
        <w:keepNext/>
        <w:keepLines/>
        <w:spacing w:line="360" w:lineRule="auto"/>
        <w:outlineLvl w:val="3"/>
        <w:rPr>
          <w:rFonts w:hint="eastAsia" w:ascii="Arial" w:hAnsi="Arial"/>
          <w:b/>
          <w:bCs/>
          <w:color w:val="auto"/>
          <w:szCs w:val="28"/>
          <w:highlight w:val="none"/>
        </w:rPr>
      </w:pPr>
      <w:r>
        <w:rPr>
          <w:rFonts w:ascii="宋体" w:hAnsi="宋体"/>
          <w:color w:val="auto"/>
          <w:szCs w:val="21"/>
          <w:highlight w:val="none"/>
        </w:rPr>
        <w:br w:type="page"/>
      </w:r>
      <w:r>
        <w:rPr>
          <w:rFonts w:hint="eastAsia" w:ascii="Arial" w:hAnsi="Arial"/>
          <w:b/>
          <w:bCs/>
          <w:color w:val="auto"/>
          <w:szCs w:val="28"/>
          <w:highlight w:val="none"/>
        </w:rPr>
        <w:t>9 .3其它附表</w:t>
      </w:r>
    </w:p>
    <w:p>
      <w:pPr>
        <w:pStyle w:val="7"/>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9.3.1投标报</w:t>
      </w:r>
      <w:r>
        <w:rPr>
          <w:rFonts w:hint="eastAsia" w:ascii="宋体" w:hAnsi="宋体" w:eastAsia="宋体"/>
          <w:color w:val="auto"/>
          <w:sz w:val="21"/>
          <w:szCs w:val="21"/>
          <w:highlight w:val="none"/>
        </w:rPr>
        <w:t>价表</w:t>
      </w:r>
      <w:r>
        <w:rPr>
          <w:rFonts w:hint="eastAsia" w:ascii="宋体" w:hAnsi="宋体" w:eastAsia="宋体"/>
          <w:color w:val="auto"/>
          <w:sz w:val="21"/>
          <w:szCs w:val="21"/>
          <w:highlight w:val="none"/>
          <w:lang w:eastAsia="zh-CN"/>
        </w:rPr>
        <w:t xml:space="preserve"> </w:t>
      </w:r>
    </w:p>
    <w:p>
      <w:pPr>
        <w:pStyle w:val="7"/>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9.3.2 单位工程取费汇总表</w:t>
      </w:r>
    </w:p>
    <w:p>
      <w:pPr>
        <w:pStyle w:val="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9.3.3 取费费率表</w:t>
      </w:r>
    </w:p>
    <w:p>
      <w:pPr>
        <w:pStyle w:val="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9</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 xml:space="preserve">3.4 </w:t>
      </w:r>
      <w:r>
        <w:rPr>
          <w:rFonts w:hint="eastAsia" w:ascii="宋体" w:hAnsi="宋体" w:eastAsia="宋体" w:cs="宋体"/>
          <w:color w:val="auto"/>
          <w:sz w:val="21"/>
          <w:szCs w:val="21"/>
          <w:highlight w:val="none"/>
          <w:lang w:eastAsia="zh-CN"/>
        </w:rPr>
        <w:t>单位估价分析表</w:t>
      </w:r>
    </w:p>
    <w:p>
      <w:pPr>
        <w:keepNext/>
        <w:keepLines/>
        <w:spacing w:line="360" w:lineRule="auto"/>
        <w:outlineLvl w:val="3"/>
        <w:rPr>
          <w:rFonts w:hint="eastAsia" w:ascii="宋体" w:hAnsi="宋体" w:cs="宋体"/>
          <w:b/>
          <w:bCs/>
          <w:color w:val="auto"/>
          <w:szCs w:val="21"/>
          <w:highlight w:val="none"/>
        </w:rPr>
      </w:pPr>
      <w:r>
        <w:rPr>
          <w:rFonts w:hint="eastAsia" w:ascii="宋体" w:hAnsi="宋体"/>
          <w:b/>
          <w:bCs/>
          <w:color w:val="auto"/>
          <w:szCs w:val="21"/>
          <w:highlight w:val="none"/>
        </w:rPr>
        <w:t>9.3.5</w:t>
      </w:r>
      <w:r>
        <w:rPr>
          <w:rStyle w:val="51"/>
          <w:rFonts w:hint="eastAsia" w:ascii="宋体" w:hAnsi="宋体" w:eastAsia="宋体"/>
          <w:color w:val="auto"/>
          <w:sz w:val="21"/>
          <w:szCs w:val="21"/>
          <w:highlight w:val="none"/>
        </w:rPr>
        <w:t>人工、材料、船机数量及单价表</w:t>
      </w:r>
    </w:p>
    <w:p>
      <w:pPr>
        <w:pStyle w:val="7"/>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9</w:t>
      </w:r>
      <w:r>
        <w:rPr>
          <w:rFonts w:hint="eastAsia" w:ascii="宋体" w:hAnsi="宋体" w:eastAsia="宋体"/>
          <w:color w:val="auto"/>
          <w:sz w:val="21"/>
          <w:szCs w:val="21"/>
          <w:highlight w:val="none"/>
        </w:rPr>
        <w:t>.3.6其它</w:t>
      </w:r>
    </w:p>
    <w:p>
      <w:pPr>
        <w:autoSpaceDE w:val="0"/>
        <w:autoSpaceDN w:val="0"/>
        <w:adjustRightInd w:val="0"/>
        <w:spacing w:before="120" w:beforeLines="50"/>
        <w:rPr>
          <w:rFonts w:hint="eastAsia" w:ascii="宋体" w:hAnsi="宋体"/>
          <w:color w:val="auto"/>
          <w:szCs w:val="21"/>
          <w:highlight w:val="none"/>
        </w:rPr>
      </w:pPr>
      <w:r>
        <w:rPr>
          <w:rFonts w:hint="eastAsia" w:ascii="宋体" w:hAnsi="宋体"/>
          <w:color w:val="auto"/>
          <w:szCs w:val="21"/>
          <w:highlight w:val="none"/>
        </w:rPr>
        <w:t>注：水运工程报价至少应包含上述表格内容，土建、水电等专业项目按招标人提供的工程量清单格式填报。</w:t>
      </w:r>
    </w:p>
    <w:p>
      <w:pPr>
        <w:pStyle w:val="6"/>
        <w:jc w:val="center"/>
        <w:rPr>
          <w:rFonts w:hint="eastAsia" w:ascii="宋体" w:hAnsi="宋体"/>
          <w:color w:val="auto"/>
          <w:szCs w:val="21"/>
          <w:highlight w:val="none"/>
        </w:rPr>
      </w:pPr>
      <w:bookmarkStart w:id="1351" w:name="_Toc49083238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8"/>
        <w:spacing w:before="60"/>
        <w:ind w:left="424" w:right="191"/>
        <w:jc w:val="center"/>
        <w:rPr>
          <w:rFonts w:hint="eastAsia"/>
          <w:b w:val="0"/>
          <w:bCs w:val="0"/>
          <w:color w:val="auto"/>
          <w:sz w:val="28"/>
          <w:szCs w:val="28"/>
          <w:highlight w:val="none"/>
        </w:rPr>
      </w:pPr>
    </w:p>
    <w:p>
      <w:pPr>
        <w:pStyle w:val="8"/>
        <w:spacing w:before="60"/>
        <w:ind w:left="424" w:right="191"/>
        <w:jc w:val="center"/>
        <w:rPr>
          <w:b w:val="0"/>
          <w:bCs w:val="0"/>
          <w:color w:val="auto"/>
          <w:sz w:val="28"/>
          <w:szCs w:val="28"/>
          <w:highlight w:val="none"/>
        </w:rPr>
      </w:pPr>
      <w:r>
        <w:rPr>
          <w:rFonts w:hint="eastAsia"/>
          <w:b w:val="0"/>
          <w:bCs w:val="0"/>
          <w:color w:val="auto"/>
          <w:sz w:val="28"/>
          <w:szCs w:val="28"/>
          <w:highlight w:val="none"/>
        </w:rPr>
        <w:t>十、</w:t>
      </w:r>
      <w:r>
        <w:rPr>
          <w:b w:val="0"/>
          <w:bCs w:val="0"/>
          <w:color w:val="auto"/>
          <w:sz w:val="28"/>
          <w:szCs w:val="28"/>
          <w:highlight w:val="none"/>
        </w:rPr>
        <w:t>定标要素情况表</w:t>
      </w:r>
    </w:p>
    <w:p>
      <w:pPr>
        <w:pStyle w:val="15"/>
        <w:spacing w:before="7"/>
        <w:rPr>
          <w:rFonts w:ascii="黑体"/>
          <w:color w:val="auto"/>
          <w:sz w:val="15"/>
          <w:highlight w:val="none"/>
        </w:rPr>
      </w:pPr>
    </w:p>
    <w:p>
      <w:pPr>
        <w:ind w:left="766"/>
        <w:jc w:val="left"/>
        <w:rPr>
          <w:rFonts w:hint="eastAsia"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pPr>
        <w:pStyle w:val="15"/>
        <w:spacing w:before="10"/>
        <w:rPr>
          <w:rFonts w:ascii="黑体"/>
          <w:color w:val="auto"/>
          <w:sz w:val="13"/>
          <w:highlight w:val="none"/>
        </w:rPr>
      </w:pPr>
    </w:p>
    <w:tbl>
      <w:tblPr>
        <w:tblStyle w:val="38"/>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64" w:type="dxa"/>
            <w:noWrap w:val="0"/>
            <w:vAlign w:val="top"/>
          </w:tcPr>
          <w:p>
            <w:pPr>
              <w:pStyle w:val="96"/>
              <w:spacing w:before="107"/>
              <w:ind w:left="473"/>
              <w:rPr>
                <w:rFonts w:hint="eastAsia"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noWrap w:val="0"/>
            <w:vAlign w:val="top"/>
          </w:tcPr>
          <w:p>
            <w:pPr>
              <w:pStyle w:val="96"/>
              <w:spacing w:before="107"/>
              <w:ind w:left="1614"/>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64" w:type="dxa"/>
            <w:noWrap w:val="0"/>
            <w:vAlign w:val="top"/>
          </w:tcPr>
          <w:p>
            <w:pPr>
              <w:pStyle w:val="96"/>
              <w:rPr>
                <w:rFonts w:ascii="Times New Roman"/>
                <w:color w:val="auto"/>
                <w:sz w:val="18"/>
                <w:highlight w:val="none"/>
              </w:rPr>
            </w:pPr>
          </w:p>
        </w:tc>
        <w:tc>
          <w:tcPr>
            <w:tcW w:w="5753" w:type="dxa"/>
            <w:noWrap w:val="0"/>
            <w:vAlign w:val="top"/>
          </w:tcPr>
          <w:p>
            <w:pPr>
              <w:pStyle w:val="96"/>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96"/>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96"/>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pPr>
              <w:pStyle w:val="96"/>
              <w:spacing w:before="109"/>
              <w:ind w:left="107"/>
              <w:rPr>
                <w:color w:val="auto"/>
                <w:highlight w:val="none"/>
              </w:rPr>
            </w:pPr>
            <w:r>
              <w:rPr>
                <w:color w:val="auto"/>
                <w:highlight w:val="none"/>
              </w:rPr>
              <w:t>说明：投标人应根据招标文件第四章定标办法的前附表中定标要素编列内容的规定提供与信用子</w:t>
            </w:r>
          </w:p>
          <w:p>
            <w:pPr>
              <w:pStyle w:val="96"/>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spacing w:before="6"/>
        <w:rPr>
          <w:rFonts w:ascii="黑体"/>
          <w:color w:val="auto"/>
          <w:highlight w:val="none"/>
        </w:rPr>
      </w:pPr>
      <w:r>
        <w:rPr>
          <w:color w:val="auto"/>
          <w:highlight w:val="none"/>
        </w:rPr>
        <mc:AlternateContent>
          <mc:Choice Requires="wps">
            <w:drawing>
              <wp:anchor distT="0" distB="0" distL="114300" distR="114300" simplePos="0" relativeHeight="251664384" behindDoc="1" locked="0" layoutInCell="1" allowOverlap="1">
                <wp:simplePos x="0" y="0"/>
                <wp:positionH relativeFrom="page">
                  <wp:posOffset>1007745</wp:posOffset>
                </wp:positionH>
                <wp:positionV relativeFrom="paragraph">
                  <wp:posOffset>199390</wp:posOffset>
                </wp:positionV>
                <wp:extent cx="1828800" cy="0"/>
                <wp:effectExtent l="0" t="0" r="0" b="0"/>
                <wp:wrapTopAndBottom/>
                <wp:docPr id="6" name="直线 1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79.35pt;margin-top:15.7pt;height:0pt;width:144pt;mso-position-horizontal-relative:page;mso-wrap-distance-bottom:0pt;mso-wrap-distance-top:0pt;z-index:-251652096;mso-width-relative:page;mso-height-relative:page;" filled="f" stroked="t" coordsize="21600,21600" o:gfxdata="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e7pZw1gAAAAkBAAAP&#10;AAAAAAAAAAEAIAAAADgAAABkcnMvZG93bnJldi54bWxQSwECFAAUAAAACACHTuJAfIUjrssBAACO&#10;AwAADgAAAAAAAAABACAAAAA7AQAAZHJzL2Uyb0RvYy54bWxQSwUGAAAAAAYABgBZAQAAeAUAAAAA&#10;">
                <v:fill on="f" focussize="0,0"/>
                <v:stroke weight="0pt" color="#000000" joinstyle="round"/>
                <v:imagedata o:title=""/>
                <o:lock v:ext="edit" aspectratio="f"/>
                <w10:wrap type="topAndBottom"/>
              </v:line>
            </w:pict>
          </mc:Fallback>
        </mc:AlternateContent>
      </w:r>
    </w:p>
    <w:p>
      <w:pPr>
        <w:spacing w:before="101"/>
        <w:ind w:left="766"/>
        <w:jc w:val="left"/>
        <w:rPr>
          <w:color w:val="auto"/>
          <w:sz w:val="15"/>
          <w:highlight w:val="none"/>
        </w:rPr>
      </w:pPr>
      <w:r>
        <w:rPr>
          <w:color w:val="auto"/>
          <w:sz w:val="15"/>
          <w:highlight w:val="none"/>
        </w:rPr>
        <w:t>①投标人针对每一项信用子要素需分别单独编制情况表。</w:t>
      </w:r>
    </w:p>
    <w:p>
      <w:pPr>
        <w:spacing w:before="8"/>
        <w:ind w:left="766"/>
        <w:jc w:val="left"/>
        <w:rPr>
          <w:color w:val="auto"/>
          <w:sz w:val="15"/>
          <w:highlight w:val="none"/>
        </w:rPr>
      </w:pPr>
      <w:r>
        <w:rPr>
          <w:color w:val="auto"/>
          <w:sz w:val="15"/>
          <w:highlight w:val="none"/>
        </w:rPr>
        <w:t>②此处由投标人根据招标文件第四章定标办法规定的定标要素中的信用要素填入相应的子要素。</w:t>
      </w:r>
    </w:p>
    <w:p>
      <w:pPr>
        <w:jc w:val="left"/>
        <w:rPr>
          <w:color w:val="auto"/>
          <w:sz w:val="15"/>
          <w:highlight w:val="none"/>
        </w:rPr>
        <w:sectPr>
          <w:pgSz w:w="11910" w:h="16840"/>
          <w:pgMar w:top="1600" w:right="520" w:bottom="1180" w:left="820" w:header="0" w:footer="982" w:gutter="0"/>
          <w:pgBorders>
            <w:top w:val="none" w:sz="0" w:space="0"/>
            <w:left w:val="none" w:sz="0" w:space="0"/>
            <w:bottom w:val="none" w:sz="0" w:space="0"/>
            <w:right w:val="none" w:sz="0" w:space="0"/>
          </w:pgBorders>
          <w:cols w:space="720" w:num="1"/>
        </w:sectPr>
      </w:pPr>
    </w:p>
    <w:bookmarkEnd w:id="1351"/>
    <w:p>
      <w:pPr>
        <w:rPr>
          <w:rFonts w:hint="eastAsia"/>
          <w:color w:val="auto"/>
          <w:highlight w:val="none"/>
        </w:rPr>
      </w:pPr>
    </w:p>
    <w:p>
      <w:pPr>
        <w:spacing w:before="49"/>
        <w:ind w:left="767" w:hanging="767" w:hangingChars="364"/>
        <w:jc w:val="left"/>
        <w:rPr>
          <w:rFonts w:hint="eastAsia"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tbl>
      <w:tblPr>
        <w:tblStyle w:val="38"/>
        <w:tblpPr w:leftFromText="180" w:rightFromText="180" w:vertAnchor="text" w:horzAnchor="page" w:tblpX="1306" w:tblpY="508"/>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58" w:type="dxa"/>
            <w:noWrap w:val="0"/>
            <w:vAlign w:val="top"/>
          </w:tcPr>
          <w:p>
            <w:pPr>
              <w:pStyle w:val="96"/>
              <w:spacing w:before="107"/>
              <w:ind w:left="470"/>
              <w:rPr>
                <w:rFonts w:hint="eastAsia"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noWrap w:val="0"/>
            <w:vAlign w:val="top"/>
          </w:tcPr>
          <w:p>
            <w:pPr>
              <w:pStyle w:val="96"/>
              <w:spacing w:before="107"/>
              <w:ind w:left="1616"/>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58" w:type="dxa"/>
            <w:noWrap w:val="0"/>
            <w:vAlign w:val="top"/>
          </w:tcPr>
          <w:p>
            <w:pPr>
              <w:pStyle w:val="96"/>
              <w:rPr>
                <w:rFonts w:ascii="Times New Roman"/>
                <w:color w:val="auto"/>
                <w:sz w:val="18"/>
                <w:highlight w:val="none"/>
              </w:rPr>
            </w:pPr>
          </w:p>
        </w:tc>
        <w:tc>
          <w:tcPr>
            <w:tcW w:w="5759" w:type="dxa"/>
            <w:noWrap w:val="0"/>
            <w:vAlign w:val="top"/>
          </w:tcPr>
          <w:p>
            <w:pPr>
              <w:pStyle w:val="96"/>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96"/>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96"/>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pPr>
              <w:pStyle w:val="96"/>
              <w:spacing w:before="109"/>
              <w:ind w:left="107"/>
              <w:rPr>
                <w:color w:val="auto"/>
                <w:highlight w:val="none"/>
              </w:rPr>
            </w:pPr>
            <w:r>
              <w:rPr>
                <w:color w:val="auto"/>
                <w:highlight w:val="none"/>
              </w:rPr>
              <w:t>说明：投标人应根据招标文件第四章定标办法的前附表中定标要素编列内容的规定提供与实力子</w:t>
            </w:r>
          </w:p>
          <w:p>
            <w:pPr>
              <w:pStyle w:val="96"/>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rPr>
          <w:rFonts w:ascii="黑体"/>
          <w:color w:val="auto"/>
          <w:sz w:val="20"/>
          <w:highlight w:val="none"/>
        </w:rPr>
      </w:pPr>
    </w:p>
    <w:p>
      <w:pPr>
        <w:pStyle w:val="15"/>
        <w:spacing w:before="2"/>
        <w:rPr>
          <w:rFonts w:ascii="黑体"/>
          <w:color w:val="auto"/>
          <w:sz w:val="16"/>
          <w:highlight w:val="none"/>
        </w:rPr>
      </w:pPr>
      <w:r>
        <w:rPr>
          <w:color w:val="auto"/>
          <w:highlight w:val="none"/>
        </w:rPr>
        <mc:AlternateContent>
          <mc:Choice Requires="wps">
            <w:drawing>
              <wp:anchor distT="0" distB="0" distL="114300" distR="114300" simplePos="0" relativeHeight="251663360"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5" name="直线 1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79.35pt;margin-top:8.45pt;height:0pt;width:144pt;mso-position-horizontal-relative:page;mso-wrap-distance-bottom:0pt;mso-wrap-distance-top:0pt;z-index:-251653120;mso-width-relative:page;mso-height-relative:page;" filled="f" stroked="t" coordsize="21600,21600" o:gfxdata="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lw72vXAAAACQEA&#10;AA8AAAAAAAAAAQAgAAAAOAAAAGRycy9kb3ducmV2LnhtbFBLAQIUABQAAAAIAIdO4kC2vTUAzAEA&#10;AI4DAAAOAAAAAAAAAAEAIAAAADwBAABkcnMvZTJvRG9jLnhtbFBLBQYAAAAABgAGAFkBAAB6BQAA&#10;AAA=&#10;">
                <v:fill on="f" focussize="0,0"/>
                <v:stroke weight="0pt" color="#000000" joinstyle="round"/>
                <v:imagedata o:title=""/>
                <o:lock v:ext="edit" aspectratio="f"/>
                <w10:wrap type="topAndBottom"/>
              </v:line>
            </w:pict>
          </mc:Fallback>
        </mc:AlternateContent>
      </w:r>
    </w:p>
    <w:p>
      <w:pPr>
        <w:jc w:val="left"/>
        <w:rPr>
          <w:color w:val="auto"/>
          <w:sz w:val="15"/>
          <w:highlight w:val="none"/>
        </w:rPr>
      </w:pPr>
      <w:r>
        <w:rPr>
          <w:color w:val="auto"/>
          <w:sz w:val="15"/>
          <w:highlight w:val="none"/>
        </w:rPr>
        <w:t>①投标人针对每一项子要素需分别单独编制情况表。</w:t>
      </w:r>
    </w:p>
    <w:p>
      <w:pPr>
        <w:spacing w:before="12"/>
        <w:jc w:val="left"/>
        <w:rPr>
          <w:color w:val="auto"/>
          <w:sz w:val="15"/>
          <w:highlight w:val="none"/>
        </w:rPr>
      </w:pPr>
      <w:r>
        <w:rPr>
          <w:color w:val="auto"/>
          <w:sz w:val="15"/>
          <w:highlight w:val="none"/>
        </w:rPr>
        <w:t>②此处由投标人根据招标文件第四章定标办法规定的定标要素中的实力要素填入相应的子要素。</w:t>
      </w:r>
    </w:p>
    <w:p>
      <w:pPr>
        <w:pStyle w:val="6"/>
        <w:jc w:val="center"/>
        <w:rPr>
          <w:rFonts w:hint="eastAsia"/>
          <w:color w:val="auto"/>
          <w:highlight w:val="none"/>
        </w:rPr>
      </w:pPr>
      <w:r>
        <w:rPr>
          <w:rFonts w:hint="eastAsia"/>
          <w:color w:val="auto"/>
          <w:highlight w:val="none"/>
        </w:rPr>
        <w:t>十一、其他材料</w:t>
      </w:r>
    </w:p>
    <w:p>
      <w:pPr>
        <w:jc w:val="center"/>
        <w:rPr>
          <w:rFonts w:hint="eastAsia"/>
          <w:b/>
          <w:bCs/>
          <w:color w:val="auto"/>
          <w:sz w:val="24"/>
          <w:szCs w:val="32"/>
          <w:highlight w:val="none"/>
        </w:rPr>
      </w:pPr>
      <w:r>
        <w:rPr>
          <w:rFonts w:hint="eastAsia"/>
          <w:b/>
          <w:bCs/>
          <w:color w:val="auto"/>
          <w:sz w:val="24"/>
          <w:szCs w:val="32"/>
          <w:highlight w:val="none"/>
        </w:rPr>
        <w:t>1、企业信用声明</w:t>
      </w:r>
    </w:p>
    <w:p>
      <w:pPr>
        <w:rPr>
          <w:rFonts w:hint="eastAsia"/>
          <w:color w:val="auto"/>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noWrap w:val="0"/>
            <w:vAlign w:val="center"/>
          </w:tcPr>
          <w:p>
            <w:pPr>
              <w:jc w:val="center"/>
              <w:rPr>
                <w:rFonts w:hint="eastAsia" w:ascii="宋体" w:hAnsi="宋体" w:cs="Calibri"/>
                <w:bCs/>
                <w:color w:val="auto"/>
                <w:szCs w:val="21"/>
                <w:highlight w:val="none"/>
              </w:rPr>
            </w:pPr>
            <w:r>
              <w:rPr>
                <w:rFonts w:hint="eastAsia" w:ascii="宋体" w:hAnsi="宋体" w:cs="Calibri"/>
                <w:color w:val="auto"/>
                <w:szCs w:val="21"/>
                <w:highlight w:val="none"/>
              </w:rPr>
              <w:t>评标使用的等级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1</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2</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项目经理</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3</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技术负责人</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bl>
    <w:p>
      <w:pPr>
        <w:rPr>
          <w:rFonts w:hint="eastAsia"/>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w:t>
      </w: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lang w:eastAsia="zh-CN"/>
        </w:rPr>
        <w:t>水运项目：</w:t>
      </w:r>
      <w:r>
        <w:rPr>
          <w:rFonts w:hint="eastAsia" w:ascii="宋体" w:hAnsi="宋体"/>
          <w:color w:val="auto"/>
          <w:szCs w:val="21"/>
          <w:highlight w:val="none"/>
        </w:rPr>
        <w:t>1.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pPr>
        <w:rPr>
          <w:rFonts w:hint="eastAsia" w:ascii="宋体" w:hAnsi="宋体"/>
          <w:color w:val="auto"/>
          <w:szCs w:val="21"/>
          <w:highlight w:val="none"/>
        </w:rPr>
      </w:pPr>
      <w:r>
        <w:rPr>
          <w:rFonts w:hint="eastAsia" w:ascii="宋体" w:hAnsi="宋体"/>
          <w:color w:val="auto"/>
          <w:szCs w:val="21"/>
          <w:highlight w:val="none"/>
        </w:rPr>
        <w:t>2.考核为AA级、A级的施工项目经理信用结果使用规定，仅适用于当年已完工合同段（完工证明以业主提供的完工证明材料或施工合同范围内全部单位工程质量鉴定意见或预验收证明材料为准）评为AA级、A级的项目经理，提供不实完工证明材料，其投标文件将被否决；未完工合同段评为AA级、A级的项目经理，参与新项目投标时，其信用结果使用一律按B级执行。</w:t>
      </w:r>
    </w:p>
    <w:p>
      <w:pPr>
        <w:rPr>
          <w:rFonts w:hint="eastAsia" w:ascii="宋体" w:hAnsi="宋体"/>
          <w:color w:val="auto"/>
          <w:szCs w:val="21"/>
          <w:highlight w:val="none"/>
        </w:rPr>
      </w:pPr>
    </w:p>
    <w:p>
      <w:pPr>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lang w:eastAsia="zh-CN"/>
        </w:rPr>
        <w:t>涉海项目：</w:t>
      </w:r>
      <w:r>
        <w:rPr>
          <w:rFonts w:hint="eastAsia" w:ascii="宋体" w:hAnsi="宋体"/>
          <w:snapToGrid w:val="0"/>
          <w:color w:val="auto"/>
          <w:kern w:val="0"/>
          <w:szCs w:val="21"/>
          <w:highlight w:val="none"/>
        </w:rPr>
        <w:t>本项目不属于厦门港口管理局监管的依法必须招标</w:t>
      </w:r>
      <w:r>
        <w:rPr>
          <w:rFonts w:hint="eastAsia" w:ascii="宋体" w:hAnsi="宋体"/>
          <w:snapToGrid w:val="0"/>
          <w:color w:val="auto"/>
          <w:kern w:val="0"/>
          <w:szCs w:val="21"/>
          <w:highlight w:val="none"/>
          <w:lang w:eastAsia="zh-CN"/>
        </w:rPr>
        <w:t>的涉海</w:t>
      </w:r>
      <w:r>
        <w:rPr>
          <w:rFonts w:hint="eastAsia" w:ascii="宋体" w:hAnsi="宋体"/>
          <w:snapToGrid w:val="0"/>
          <w:color w:val="auto"/>
          <w:kern w:val="0"/>
          <w:szCs w:val="21"/>
          <w:highlight w:val="none"/>
        </w:rPr>
        <w:t>项目，</w:t>
      </w:r>
      <w:r>
        <w:rPr>
          <w:rFonts w:hint="eastAsia"/>
          <w:color w:val="auto"/>
          <w:highlight w:val="none"/>
        </w:rPr>
        <w:t>信用分</w:t>
      </w:r>
      <w:r>
        <w:rPr>
          <w:rFonts w:hint="eastAsia"/>
          <w:color w:val="auto"/>
          <w:highlight w:val="none"/>
          <w:lang w:val="en-US" w:eastAsia="zh-CN"/>
        </w:rPr>
        <w:t>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涉海项目</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要求执行。</w:t>
      </w:r>
    </w:p>
    <w:p>
      <w:pPr>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br w:type="page"/>
      </w:r>
    </w:p>
    <w:p>
      <w:pPr>
        <w:rPr>
          <w:color w:val="auto"/>
          <w:highlight w:val="none"/>
        </w:rPr>
      </w:pPr>
    </w:p>
    <w:p>
      <w:pPr>
        <w:autoSpaceDE w:val="0"/>
        <w:autoSpaceDN w:val="0"/>
        <w:adjustRightInd w:val="0"/>
        <w:spacing w:before="157" w:beforeLines="50" w:after="157" w:afterLines="50" w:line="360" w:lineRule="auto"/>
        <w:jc w:val="center"/>
        <w:rPr>
          <w:rFonts w:hint="eastAsia" w:ascii="宋体" w:hAnsi="宋体" w:eastAsia="宋体" w:cs="Times New Roman"/>
          <w:color w:val="auto"/>
          <w:spacing w:val="113"/>
          <w:sz w:val="48"/>
          <w:szCs w:val="48"/>
          <w:highlight w:val="none"/>
        </w:rPr>
      </w:pPr>
      <w:r>
        <w:rPr>
          <w:rFonts w:hint="eastAsia" w:ascii="宋体" w:hAnsi="宋体" w:cs="Times New Roman"/>
          <w:color w:val="auto"/>
          <w:spacing w:val="113"/>
          <w:sz w:val="48"/>
          <w:szCs w:val="48"/>
          <w:highlight w:val="none"/>
          <w:lang w:val="en-US" w:eastAsia="zh-CN"/>
        </w:rPr>
        <w:t>2.</w:t>
      </w:r>
      <w:r>
        <w:rPr>
          <w:rFonts w:hint="eastAsia" w:ascii="宋体" w:hAnsi="宋体" w:eastAsia="宋体" w:cs="Times New Roman"/>
          <w:color w:val="auto"/>
          <w:spacing w:val="0"/>
          <w:sz w:val="48"/>
          <w:szCs w:val="48"/>
          <w:highlight w:val="none"/>
        </w:rPr>
        <w:t>承诺函</w:t>
      </w:r>
      <w:r>
        <w:rPr>
          <w:rFonts w:hint="eastAsia" w:ascii="宋体" w:hAnsi="宋体" w:cs="Times New Roman"/>
          <w:color w:val="auto"/>
          <w:spacing w:val="0"/>
          <w:sz w:val="48"/>
          <w:szCs w:val="48"/>
          <w:highlight w:val="none"/>
          <w:lang w:eastAsia="zh-CN"/>
        </w:rPr>
        <w:t>（</w:t>
      </w:r>
      <w:r>
        <w:rPr>
          <w:rFonts w:hint="eastAsia" w:ascii="宋体" w:hAnsi="宋体" w:cs="Times New Roman"/>
          <w:color w:val="auto"/>
          <w:spacing w:val="0"/>
          <w:sz w:val="48"/>
          <w:szCs w:val="48"/>
          <w:highlight w:val="none"/>
          <w:lang w:val="en-US" w:eastAsia="zh-CN"/>
        </w:rPr>
        <w:t>涉海项目须提供</w:t>
      </w:r>
      <w:r>
        <w:rPr>
          <w:rFonts w:hint="eastAsia" w:ascii="宋体" w:hAnsi="宋体" w:cs="Times New Roman"/>
          <w:color w:val="auto"/>
          <w:spacing w:val="0"/>
          <w:sz w:val="48"/>
          <w:szCs w:val="48"/>
          <w:highlight w:val="none"/>
          <w:lang w:eastAsia="zh-CN"/>
        </w:rPr>
        <w:t>）</w:t>
      </w:r>
    </w:p>
    <w:p>
      <w:pPr>
        <w:autoSpaceDE w:val="0"/>
        <w:autoSpaceDN w:val="0"/>
        <w:adjustRightInd w:val="0"/>
        <w:snapToGrid w:val="0"/>
        <w:spacing w:line="480" w:lineRule="auto"/>
        <w:jc w:val="left"/>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u w:val="single"/>
          <w:lang w:val="en-US" w:eastAsia="zh-CN"/>
        </w:rPr>
        <w:t xml:space="preserve">                         </w:t>
      </w:r>
      <w:r>
        <w:rPr>
          <w:rFonts w:hint="eastAsia" w:ascii="宋体" w:hAnsi="宋体" w:cs="Times New Roman"/>
          <w:color w:val="auto"/>
          <w:sz w:val="24"/>
          <w:szCs w:val="24"/>
          <w:highlight w:val="none"/>
          <w:lang w:val="en-US" w:eastAsia="zh-CN"/>
        </w:rPr>
        <w:t>（招标人）</w:t>
      </w:r>
      <w:r>
        <w:rPr>
          <w:rFonts w:hint="eastAsia" w:ascii="宋体" w:hAnsi="宋体" w:eastAsia="宋体" w:cs="Times New Roman"/>
          <w:color w:val="auto"/>
          <w:sz w:val="24"/>
          <w:szCs w:val="24"/>
          <w:highlight w:val="none"/>
        </w:rPr>
        <w:t>：</w:t>
      </w:r>
    </w:p>
    <w:p>
      <w:pPr>
        <w:autoSpaceDE w:val="0"/>
        <w:autoSpaceDN w:val="0"/>
        <w:adjustRightInd w:val="0"/>
        <w:snapToGrid w:val="0"/>
        <w:spacing w:line="48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本人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（姓名）系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（投标人名称）的法定代表人，现承诺：</w:t>
      </w:r>
    </w:p>
    <w:p>
      <w:pPr>
        <w:autoSpaceDE w:val="0"/>
        <w:autoSpaceDN w:val="0"/>
        <w:adjustRightInd w:val="0"/>
        <w:snapToGrid w:val="0"/>
        <w:spacing w:line="480" w:lineRule="auto"/>
        <w:jc w:val="left"/>
        <w:rPr>
          <w:rFonts w:ascii="宋体" w:hAnsi="宋体" w:eastAsia="宋体" w:cs="Times New Roman"/>
          <w:color w:val="auto"/>
          <w:szCs w:val="21"/>
          <w:highlight w:val="none"/>
        </w:rPr>
      </w:pPr>
      <w:r>
        <w:rPr>
          <w:rFonts w:hint="eastAsia"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eastAsia="宋体" w:cs="宋体"/>
          <w:color w:val="auto"/>
          <w:sz w:val="24"/>
          <w:szCs w:val="24"/>
          <w:highlight w:val="none"/>
          <w:lang w:eastAsia="zh-CN"/>
        </w:rPr>
        <w:t>且投标文件中包括但不限于入围抽取、评分标准及定标要素的</w:t>
      </w:r>
      <w:r>
        <w:rPr>
          <w:rFonts w:hint="eastAsia" w:ascii="宋体" w:hAnsi="宋体" w:eastAsia="宋体" w:cs="宋体"/>
          <w:color w:val="auto"/>
          <w:sz w:val="24"/>
          <w:szCs w:val="24"/>
          <w:highlight w:val="none"/>
          <w:lang w:val="en-US" w:eastAsia="zh-CN"/>
        </w:rPr>
        <w:t>信用分享用情况均保持一致，</w:t>
      </w:r>
      <w:r>
        <w:rPr>
          <w:rFonts w:ascii="宋体" w:hAnsi="宋体" w:eastAsia="宋体" w:cs="宋体"/>
          <w:color w:val="auto"/>
          <w:sz w:val="24"/>
          <w:szCs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eastAsia="宋体" w:cs="宋体"/>
          <w:color w:val="auto"/>
          <w:sz w:val="24"/>
          <w:szCs w:val="24"/>
          <w:highlight w:val="none"/>
        </w:rPr>
        <w:t>定标候选人资格</w:t>
      </w:r>
      <w:r>
        <w:rPr>
          <w:rFonts w:ascii="宋体" w:hAnsi="宋体" w:eastAsia="宋体" w:cs="宋体"/>
          <w:color w:val="auto"/>
          <w:sz w:val="24"/>
          <w:szCs w:val="24"/>
          <w:highlight w:val="none"/>
        </w:rPr>
        <w:t>并承担由此产生的一切后果(包括但不限于被招标人没收投标保证金等)。</w:t>
      </w: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投标人名称： （盖单位章）</w:t>
      </w:r>
    </w:p>
    <w:p>
      <w:pPr>
        <w:widowControl w:val="0"/>
        <w:snapToGrid w:val="0"/>
        <w:spacing w:after="120" w:line="480" w:lineRule="auto"/>
        <w:ind w:left="420" w:leftChars="200" w:firstLine="420" w:firstLineChars="200"/>
        <w:jc w:val="both"/>
        <w:rPr>
          <w:rFonts w:ascii="Calibri" w:hAnsi="Calibri" w:eastAsia="宋体" w:cs="Calibri"/>
          <w:color w:val="auto"/>
          <w:kern w:val="2"/>
          <w:sz w:val="21"/>
          <w:szCs w:val="21"/>
          <w:highlight w:val="none"/>
          <w:lang w:val="en-US" w:eastAsia="zh-CN" w:bidi="ar-SA"/>
        </w:rPr>
      </w:pPr>
    </w:p>
    <w:p>
      <w:pPr>
        <w:autoSpaceDE w:val="0"/>
        <w:autoSpaceDN w:val="0"/>
        <w:adjustRightInd w:val="0"/>
        <w:snapToGrid w:val="0"/>
        <w:spacing w:line="480" w:lineRule="auto"/>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法定代表人或委托代理人： （盖章）</w:t>
      </w:r>
    </w:p>
    <w:p>
      <w:pPr>
        <w:widowControl w:val="0"/>
        <w:snapToGrid w:val="0"/>
        <w:spacing w:after="120" w:line="480" w:lineRule="auto"/>
        <w:ind w:left="420" w:leftChars="200" w:firstLine="420" w:firstLineChars="200"/>
        <w:jc w:val="right"/>
        <w:rPr>
          <w:rFonts w:hint="eastAsia" w:ascii="宋体" w:hAnsi="宋体" w:eastAsia="宋体" w:cs="Times New Roman"/>
          <w:color w:val="auto"/>
          <w:kern w:val="2"/>
          <w:sz w:val="21"/>
          <w:szCs w:val="21"/>
          <w:highlight w:val="none"/>
          <w:lang w:val="en-US" w:eastAsia="zh-CN" w:bidi="ar-SA"/>
        </w:rPr>
      </w:pPr>
    </w:p>
    <w:p>
      <w:pPr>
        <w:widowControl w:val="0"/>
        <w:snapToGrid w:val="0"/>
        <w:spacing w:after="120" w:line="480" w:lineRule="auto"/>
        <w:ind w:left="420" w:leftChars="200" w:firstLine="420" w:firstLineChars="200"/>
        <w:jc w:val="righ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日期：  年  月  日</w:t>
      </w:r>
    </w:p>
    <w:p>
      <w:pPr>
        <w:spacing w:line="360" w:lineRule="auto"/>
        <w:jc w:val="left"/>
        <w:rPr>
          <w:rFonts w:hint="eastAsia" w:ascii="宋体"/>
          <w:b/>
          <w:color w:val="auto"/>
          <w:sz w:val="24"/>
          <w:highlight w:val="none"/>
        </w:rPr>
      </w:pPr>
      <w:r>
        <w:rPr>
          <w:rFonts w:hint="eastAsia" w:ascii="宋体" w:hAnsi="宋体" w:eastAsia="宋体" w:cs="Times New Roman"/>
          <w:color w:val="auto"/>
          <w:kern w:val="2"/>
          <w:sz w:val="21"/>
          <w:szCs w:val="21"/>
          <w:highlight w:val="none"/>
          <w:lang w:val="en-US" w:eastAsia="zh-CN" w:bidi="ar-SA"/>
        </w:rPr>
        <w:t>注：若项目</w:t>
      </w:r>
      <w:r>
        <w:rPr>
          <w:rFonts w:hint="eastAsia" w:ascii="宋体" w:hAnsi="宋体" w:eastAsia="宋体" w:cs="Calibri"/>
          <w:snapToGrid w:val="0"/>
          <w:color w:val="auto"/>
          <w:kern w:val="0"/>
          <w:sz w:val="21"/>
          <w:szCs w:val="21"/>
          <w:highlight w:val="none"/>
          <w:lang w:val="en-US" w:eastAsia="zh-CN" w:bidi="ar-SA"/>
        </w:rPr>
        <w:t>不属于厦门港口管理局监管的依法必须招标的涉海项目</w:t>
      </w:r>
      <w:r>
        <w:rPr>
          <w:rFonts w:hint="eastAsia" w:ascii="宋体" w:hAnsi="宋体" w:eastAsia="宋体" w:cs="Times New Roman"/>
          <w:color w:val="auto"/>
          <w:kern w:val="2"/>
          <w:sz w:val="21"/>
          <w:szCs w:val="21"/>
          <w:highlight w:val="none"/>
          <w:lang w:val="en-US" w:eastAsia="zh-CN" w:bidi="ar-SA"/>
        </w:rPr>
        <w:t>，则须填写上述《承诺函》，未按要求提交承诺函的视为投标文件存在重大偏差，其投标作废标处理。</w:t>
      </w:r>
    </w:p>
    <w:p>
      <w:pPr>
        <w:spacing w:line="360" w:lineRule="auto"/>
        <w:jc w:val="left"/>
        <w:rPr>
          <w:rFonts w:hint="eastAsia" w:ascii="宋体"/>
          <w:b/>
          <w:color w:val="auto"/>
          <w:sz w:val="24"/>
          <w:highlight w:val="none"/>
        </w:rPr>
      </w:pPr>
    </w:p>
    <w:p>
      <w:pPr>
        <w:jc w:val="center"/>
        <w:rPr>
          <w:rFonts w:hint="eastAsia"/>
          <w:b/>
          <w:bCs/>
          <w:color w:val="auto"/>
          <w:sz w:val="24"/>
          <w:szCs w:val="32"/>
          <w:highlight w:val="none"/>
        </w:rPr>
      </w:pPr>
    </w:p>
    <w:p>
      <w:pPr>
        <w:jc w:val="center"/>
        <w:rPr>
          <w:rFonts w:hint="eastAsia"/>
          <w:b/>
          <w:bCs/>
          <w:color w:val="auto"/>
          <w:sz w:val="24"/>
          <w:szCs w:val="32"/>
          <w:highlight w:val="none"/>
        </w:rPr>
      </w:pPr>
    </w:p>
    <w:p>
      <w:pPr>
        <w:jc w:val="center"/>
        <w:rPr>
          <w:rFonts w:hint="eastAsia"/>
          <w:b/>
          <w:bCs/>
          <w:color w:val="auto"/>
          <w:sz w:val="24"/>
          <w:szCs w:val="32"/>
          <w:highlight w:val="none"/>
        </w:rPr>
      </w:pPr>
    </w:p>
    <w:p>
      <w:pPr>
        <w:jc w:val="center"/>
        <w:rPr>
          <w:rFonts w:hint="eastAsia"/>
          <w:color w:val="auto"/>
          <w:sz w:val="30"/>
          <w:highlight w:val="none"/>
        </w:rPr>
      </w:pPr>
      <w:r>
        <w:rPr>
          <w:rFonts w:hint="eastAsia"/>
          <w:b/>
          <w:bCs/>
          <w:color w:val="auto"/>
          <w:sz w:val="24"/>
          <w:szCs w:val="32"/>
          <w:highlight w:val="none"/>
          <w:lang w:val="en-US" w:eastAsia="zh-CN"/>
        </w:rPr>
        <w:t>3</w:t>
      </w:r>
      <w:r>
        <w:rPr>
          <w:rFonts w:hint="eastAsia"/>
          <w:b/>
          <w:bCs/>
          <w:color w:val="auto"/>
          <w:sz w:val="24"/>
          <w:szCs w:val="32"/>
          <w:highlight w:val="none"/>
        </w:rPr>
        <w:t>、投标人认为必要的其他材料</w:t>
      </w:r>
    </w:p>
    <w:p>
      <w:pPr>
        <w:spacing w:line="360" w:lineRule="auto"/>
        <w:ind w:firstLine="420" w:firstLineChars="200"/>
        <w:rPr>
          <w:rFonts w:hint="eastAsia"/>
          <w:color w:val="auto"/>
          <w:highlight w:val="none"/>
        </w:rPr>
      </w:pPr>
    </w:p>
    <w:sectPr>
      <w:footerReference r:id="rId13" w:type="default"/>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宋体">
    <w:altName w:val="方正书宋_GBK"/>
    <w:panose1 w:val="02010600040101010101"/>
    <w:charset w:val="86"/>
    <w:family w:val="auto"/>
    <w:pitch w:val="default"/>
    <w:sig w:usb0="00000000" w:usb1="0000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Arial Unicode MS">
    <w:altName w:val="Times New Roman"/>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S">
    <w:panose1 w:val="00020600040101010101"/>
    <w:charset w:val="86"/>
    <w:family w:val="auto"/>
    <w:pitch w:val="default"/>
    <w:sig w:usb0="A00002BF" w:usb1="18EF7CFA" w:usb2="00000016"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fldChar w:fldCharType="begin"/>
    </w:r>
    <w:r>
      <w:instrText xml:space="preserve"> PAGE   \* MERGEFORMAT </w:instrText>
    </w:r>
    <w:r>
      <w:fldChar w:fldCharType="separate"/>
    </w:r>
    <w:r>
      <w:rPr>
        <w:lang w:val="zh-CN"/>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5"/>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24"/>
                            <w:jc w:val="center"/>
                          </w:pPr>
                          <w:r>
                            <w:fldChar w:fldCharType="begin"/>
                          </w:r>
                          <w:r>
                            <w:instrText xml:space="preserve">PAGE   \* MERGEFORMAT</w:instrText>
                          </w:r>
                          <w:r>
                            <w:fldChar w:fldCharType="separate"/>
                          </w:r>
                          <w:r>
                            <w:rPr>
                              <w:lang w:val="zh-CN"/>
                            </w:rPr>
                            <w:t>36</w:t>
                          </w:r>
                          <w:r>
                            <w:fldChar w:fldCharType="end"/>
                          </w:r>
                        </w:p>
                      </w:txbxContent>
                    </wps:txbx>
                    <wps:bodyPr wrap="none" lIns="0" tIns="0" rIns="0" bIns="0" upright="false">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D5X5J0AAAAAMBAAAPAAAAAAAAAAEAIAAAADgAAABkcnMvZG93&#10;bnJldi54bWxQSwECFAAUAAAACACHTuJA5PHV8LkBAABRAwAADgAAAAAAAAABACAAAAA1AQAAZHJz&#10;L2Uyb0RvYy54bWxQSwUGAAAAAAYABgBZAQAAYAU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pPr>
      <w:pStyle w:val="24"/>
      <w:spacing w:line="240" w:lineRule="exact"/>
      <w:ind w:right="360" w:firstLine="360"/>
      <w:jc w:val="center"/>
      <w:rPr>
        <w:rFonts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41</w:t>
                          </w:r>
                          <w:r>
                            <w:fldChar w:fldCharType="end"/>
                          </w:r>
                        </w:p>
                      </w:txbxContent>
                    </wps:txbx>
                    <wps:bodyPr wrap="none" lIns="0" tIns="0" rIns="0" bIns="0" upright="false">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uDPFYrQBAABUAwAADgAAAAAAAAABACAAAAA0AQAAZHJzL2Uyb0Rv&#10;Yy54bWxQSwUGAAAAAAYABgBZAQAAWg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7"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p>
                      </w:txbxContent>
                    </wps:txbx>
                    <wps:bodyPr wrap="none" lIns="0" tIns="0" rIns="0" bIns="0" upright="false">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Dxmc7RAAAAAwEAAA8AAAAAAAAAAQAgAAAAOAAAAGRycy9kb3ducmV2LnhtbFBL&#10;AQIUABQAAAAIAIdO4kBLwWE0rgEAAEEDAAAOAAAAAAAAAAEAIAAAADY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135</w:t>
                          </w:r>
                          <w:r>
                            <w:rPr>
                              <w:rFonts w:hint="eastAsia"/>
                              <w:sz w:val="18"/>
                            </w:rPr>
                            <w:fldChar w:fldCharType="end"/>
                          </w:r>
                        </w:p>
                      </w:txbxContent>
                    </wps:txbx>
                    <wps:bodyPr wrap="none" lIns="0" tIns="0" rIns="0" bIns="0" upright="false">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60288;mso-width-relative:page;mso-height-relative:page;" filled="f" stroked="f" coordsize="21600,21600" o:gfxdata="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Dxmc7RAAAAAwEAAA8AAAAAAAAAAQAgAAAAOAAAAGRycy9kb3ducmV2LnhtbFBL&#10;AQIUABQAAAAIAIdO4kCjAON+rgEAAEEDAAAOAAAAAAAAAAEAIAAAADYBAABkcnMvZTJvRG9jLnht&#10;bFBLBQYAAAAABgAGAFkBAABW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135</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8"/>
        <w:rPr>
          <w:rFonts w:hint="eastAsia"/>
          <w:color w:val="auto"/>
        </w:rPr>
      </w:pPr>
      <w:r>
        <w:rPr>
          <w:rStyle w:val="47"/>
          <w:color w:val="auto"/>
        </w:rPr>
        <w:footnoteRef/>
      </w:r>
      <w:r>
        <w:rPr>
          <w:color w:val="auto"/>
        </w:rPr>
        <w:t xml:space="preserve"> </w:t>
      </w:r>
      <w:r>
        <w:rPr>
          <w:rFonts w:hint="eastAsia"/>
          <w:color w:val="auto"/>
        </w:rPr>
        <w:t>①填写“适用于其他项目”或“适用于简易程序招标项目”，招标人只能选择其中一类</w:t>
      </w:r>
      <w:r>
        <w:rPr>
          <w:rFonts w:hint="eastAsia"/>
          <w:color w:val="auto"/>
          <w:lang w:eastAsia="zh-CN"/>
        </w:rPr>
        <w:t>，</w:t>
      </w:r>
      <w:r>
        <w:rPr>
          <w:rFonts w:hint="eastAsia"/>
          <w:color w:val="auto"/>
        </w:rPr>
        <w:t xml:space="preserve">其余类型的评标办法在编制招标文件时应当删除。其他项目的定义见使用说明第5项。 </w:t>
      </w:r>
    </w:p>
    <w:p>
      <w:pPr>
        <w:pStyle w:val="28"/>
        <w:rPr>
          <w:color w:val="auto"/>
        </w:rPr>
      </w:pPr>
      <w:r>
        <w:rPr>
          <w:rFonts w:hint="eastAsia"/>
          <w:color w:val="auto"/>
        </w:rPr>
        <w:t>②选择票决定标法中的直接票决定标法或逐轮票决定标法、票决抽签定标法或票决低价定标法之一进行填写，且应当与招标文件其他章节有关内容一致</w:t>
      </w:r>
    </w:p>
    <w:p>
      <w:pPr>
        <w:pStyle w:val="28"/>
      </w:pPr>
    </w:p>
  </w:footnote>
  <w:footnote w:id="1">
    <w:p>
      <w:pPr>
        <w:spacing w:before="101"/>
        <w:ind w:left="472"/>
        <w:jc w:val="left"/>
        <w:rPr>
          <w:sz w:val="15"/>
        </w:rPr>
      </w:pPr>
      <w:r>
        <w:rPr>
          <w:rStyle w:val="47"/>
        </w:rPr>
        <w:footnoteRef/>
      </w:r>
      <w:r>
        <w:t xml:space="preserve"> </w:t>
      </w:r>
      <w:r>
        <w:rPr>
          <w:sz w:val="15"/>
        </w:rPr>
        <w:t>①信用要素中的子要素可以参考以下内容自行增减：</w:t>
      </w:r>
    </w:p>
    <w:p>
      <w:pPr>
        <w:spacing w:before="8"/>
        <w:ind w:left="622"/>
        <w:jc w:val="left"/>
        <w:rPr>
          <w:sz w:val="15"/>
        </w:rPr>
      </w:pPr>
      <w:r>
        <w:rPr>
          <w:sz w:val="15"/>
        </w:rPr>
        <w:t>（1）</w:t>
      </w:r>
      <w:r>
        <w:rPr>
          <w:rFonts w:hint="eastAsia"/>
          <w:sz w:val="15"/>
        </w:rPr>
        <w:t>最近期的福建省交通建设市场信用考核评价等级（入围投标人申请使用A、AA信用奖励并中标的，计入信用奖励一次）</w:t>
      </w:r>
      <w:r>
        <w:rPr>
          <w:sz w:val="15"/>
        </w:rPr>
        <w:t>；</w:t>
      </w:r>
    </w:p>
    <w:p>
      <w:pPr>
        <w:spacing w:before="8"/>
        <w:ind w:left="622"/>
        <w:jc w:val="left"/>
        <w:rPr>
          <w:sz w:val="15"/>
        </w:rPr>
      </w:pPr>
      <w:r>
        <w:rPr>
          <w:sz w:val="15"/>
        </w:rPr>
        <w:t>（2）福建省建筑施工企业信用综合评价分值；</w:t>
      </w:r>
    </w:p>
    <w:p>
      <w:pPr>
        <w:spacing w:before="8"/>
        <w:ind w:left="622"/>
        <w:jc w:val="left"/>
        <w:rPr>
          <w:rFonts w:hint="eastAsia" w:eastAsia="宋体"/>
          <w:sz w:val="15"/>
          <w:lang w:eastAsia="zh-CN"/>
        </w:rPr>
      </w:pPr>
      <w:r>
        <w:rPr>
          <w:rFonts w:hint="eastAsia"/>
          <w:sz w:val="15"/>
          <w:lang w:eastAsia="zh-CN"/>
        </w:rPr>
        <w:t>（</w:t>
      </w:r>
      <w:r>
        <w:rPr>
          <w:rFonts w:hint="eastAsia"/>
          <w:sz w:val="15"/>
          <w:lang w:val="en-US" w:eastAsia="zh-CN"/>
        </w:rPr>
        <w:t>3</w:t>
      </w:r>
      <w:r>
        <w:rPr>
          <w:rFonts w:hint="eastAsia"/>
          <w:sz w:val="15"/>
          <w:lang w:eastAsia="zh-CN"/>
        </w:rPr>
        <w:t>）厦门市建筑施工企业信用综合评价结果；</w:t>
      </w:r>
    </w:p>
    <w:p>
      <w:pPr>
        <w:spacing w:before="8"/>
        <w:ind w:left="622"/>
        <w:jc w:val="left"/>
        <w:rPr>
          <w:sz w:val="15"/>
        </w:rPr>
      </w:pPr>
      <w:r>
        <w:rPr>
          <w:sz w:val="15"/>
        </w:rPr>
        <w:t>（</w:t>
      </w:r>
      <w:r>
        <w:rPr>
          <w:rFonts w:hint="eastAsia"/>
          <w:sz w:val="15"/>
          <w:lang w:val="en-US" w:eastAsia="zh-CN"/>
        </w:rPr>
        <w:t>4</w:t>
      </w:r>
      <w:r>
        <w:rPr>
          <w:sz w:val="15"/>
        </w:rPr>
        <w:t>）承接过招标人（建设单位）及其关联企业投资建设或代建的过往工程实施情况。</w:t>
      </w:r>
    </w:p>
    <w:p>
      <w:pPr>
        <w:spacing w:before="7"/>
        <w:ind w:left="472"/>
        <w:jc w:val="left"/>
        <w:rPr>
          <w:sz w:val="15"/>
        </w:rPr>
      </w:pPr>
      <w:r>
        <w:rPr>
          <w:sz w:val="15"/>
        </w:rPr>
        <w:t>②实力要素中的子要素可以参考以下内容自行增减：</w:t>
      </w:r>
    </w:p>
    <w:p>
      <w:pPr>
        <w:spacing w:before="8"/>
        <w:ind w:left="622"/>
        <w:jc w:val="left"/>
        <w:rPr>
          <w:sz w:val="15"/>
        </w:rPr>
      </w:pPr>
      <w:r>
        <w:rPr>
          <w:sz w:val="15"/>
        </w:rPr>
        <w:t>（1）投标人资质；</w:t>
      </w:r>
    </w:p>
    <w:p>
      <w:pPr>
        <w:spacing w:before="8"/>
        <w:ind w:left="622"/>
        <w:jc w:val="left"/>
        <w:rPr>
          <w:sz w:val="15"/>
        </w:rPr>
      </w:pPr>
      <w:r>
        <w:rPr>
          <w:sz w:val="15"/>
        </w:rPr>
        <w:t>（2）施工产值；</w:t>
      </w:r>
    </w:p>
    <w:p>
      <w:pPr>
        <w:spacing w:before="7"/>
        <w:ind w:left="622"/>
        <w:jc w:val="left"/>
        <w:rPr>
          <w:sz w:val="15"/>
        </w:rPr>
      </w:pPr>
      <w:r>
        <w:rPr>
          <w:sz w:val="15"/>
        </w:rPr>
        <w:t>（3）类似工程业绩；</w:t>
      </w:r>
    </w:p>
    <w:p>
      <w:pPr>
        <w:spacing w:before="9"/>
        <w:ind w:left="622"/>
        <w:jc w:val="left"/>
        <w:rPr>
          <w:sz w:val="15"/>
        </w:rPr>
      </w:pPr>
      <w:r>
        <w:rPr>
          <w:sz w:val="15"/>
        </w:rPr>
        <w:t>（4）工程奖项；</w:t>
      </w:r>
    </w:p>
    <w:p>
      <w:pPr>
        <w:spacing w:before="8" w:line="249" w:lineRule="auto"/>
        <w:ind w:left="669" w:right="547"/>
        <w:jc w:val="left"/>
        <w:rPr>
          <w:sz w:val="15"/>
        </w:rPr>
      </w:pPr>
      <w:r>
        <w:rPr>
          <w:sz w:val="15"/>
        </w:rPr>
        <w:t>（5）拟派团队综合实力。招标人认为有必要的，可以考核拟派团队的履约能力、团队主要负责人以往工程业绩情况或通过陈述、答辩等方式对团队主要负责人的工作能力、管理水平和职业素养进行考核。</w:t>
      </w:r>
    </w:p>
    <w:p>
      <w:pPr>
        <w:pStyle w:val="2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hint="eastAsia" w:ascii="宋体" w:hAnsi="宋体"/>
        <w:iCs/>
      </w:rPr>
    </w:pPr>
    <w:r>
      <w:rPr>
        <w:rFonts w:hint="eastAsia" w:ascii="宋体" w:hAnsi="宋体"/>
        <w:i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rPr>
        <w:rFonts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BA98C"/>
    <w:multiLevelType w:val="singleLevel"/>
    <w:tmpl w:val="840BA98C"/>
    <w:lvl w:ilvl="0" w:tentative="0">
      <w:start w:val="1"/>
      <w:numFmt w:val="decimal"/>
      <w:suff w:val="nothing"/>
      <w:lvlText w:val="（%1）"/>
      <w:lvlJc w:val="left"/>
    </w:lvl>
  </w:abstractNum>
  <w:abstractNum w:abstractNumId="1">
    <w:nsid w:val="BB64CFA9"/>
    <w:multiLevelType w:val="multilevel"/>
    <w:tmpl w:val="BB64CFA9"/>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1"/>
      <w:numFmt w:val="decimal"/>
      <w:lvlText w:val="（%2）"/>
      <w:lvlJc w:val="left"/>
      <w:pPr>
        <w:ind w:left="1051" w:hanging="526"/>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1665" w:hanging="526"/>
      </w:pPr>
      <w:rPr>
        <w:rFonts w:hint="default"/>
        <w:lang w:val="zh-CN" w:eastAsia="zh-CN" w:bidi="zh-CN"/>
      </w:rPr>
    </w:lvl>
    <w:lvl w:ilvl="3" w:tentative="0">
      <w:start w:val="0"/>
      <w:numFmt w:val="bullet"/>
      <w:lvlText w:val="•"/>
      <w:lvlJc w:val="left"/>
      <w:pPr>
        <w:ind w:left="2270" w:hanging="526"/>
      </w:pPr>
      <w:rPr>
        <w:rFonts w:hint="default"/>
        <w:lang w:val="zh-CN" w:eastAsia="zh-CN" w:bidi="zh-CN"/>
      </w:rPr>
    </w:lvl>
    <w:lvl w:ilvl="4" w:tentative="0">
      <w:start w:val="0"/>
      <w:numFmt w:val="bullet"/>
      <w:lvlText w:val="•"/>
      <w:lvlJc w:val="left"/>
      <w:pPr>
        <w:ind w:left="2875" w:hanging="526"/>
      </w:pPr>
      <w:rPr>
        <w:rFonts w:hint="default"/>
        <w:lang w:val="zh-CN" w:eastAsia="zh-CN" w:bidi="zh-CN"/>
      </w:rPr>
    </w:lvl>
    <w:lvl w:ilvl="5" w:tentative="0">
      <w:start w:val="0"/>
      <w:numFmt w:val="bullet"/>
      <w:lvlText w:val="•"/>
      <w:lvlJc w:val="left"/>
      <w:pPr>
        <w:ind w:left="3480" w:hanging="526"/>
      </w:pPr>
      <w:rPr>
        <w:rFonts w:hint="default"/>
        <w:lang w:val="zh-CN" w:eastAsia="zh-CN" w:bidi="zh-CN"/>
      </w:rPr>
    </w:lvl>
    <w:lvl w:ilvl="6" w:tentative="0">
      <w:start w:val="0"/>
      <w:numFmt w:val="bullet"/>
      <w:lvlText w:val="•"/>
      <w:lvlJc w:val="left"/>
      <w:pPr>
        <w:ind w:left="4085" w:hanging="526"/>
      </w:pPr>
      <w:rPr>
        <w:rFonts w:hint="default"/>
        <w:lang w:val="zh-CN" w:eastAsia="zh-CN" w:bidi="zh-CN"/>
      </w:rPr>
    </w:lvl>
    <w:lvl w:ilvl="7" w:tentative="0">
      <w:start w:val="0"/>
      <w:numFmt w:val="bullet"/>
      <w:lvlText w:val="•"/>
      <w:lvlJc w:val="left"/>
      <w:pPr>
        <w:ind w:left="4691" w:hanging="526"/>
      </w:pPr>
      <w:rPr>
        <w:rFonts w:hint="default"/>
        <w:lang w:val="zh-CN" w:eastAsia="zh-CN" w:bidi="zh-CN"/>
      </w:rPr>
    </w:lvl>
    <w:lvl w:ilvl="8" w:tentative="0">
      <w:start w:val="0"/>
      <w:numFmt w:val="bullet"/>
      <w:lvlText w:val="•"/>
      <w:lvlJc w:val="left"/>
      <w:pPr>
        <w:ind w:left="5296" w:hanging="526"/>
      </w:pPr>
      <w:rPr>
        <w:rFonts w:hint="default"/>
        <w:lang w:val="zh-CN" w:eastAsia="zh-CN" w:bidi="zh-CN"/>
      </w:rPr>
    </w:lvl>
  </w:abstractNum>
  <w:abstractNum w:abstractNumId="2">
    <w:nsid w:val="D8DD0A76"/>
    <w:multiLevelType w:val="singleLevel"/>
    <w:tmpl w:val="D8DD0A76"/>
    <w:lvl w:ilvl="0" w:tentative="0">
      <w:start w:val="4"/>
      <w:numFmt w:val="chineseCounting"/>
      <w:suff w:val="space"/>
      <w:lvlText w:val="第%1章"/>
      <w:lvlJc w:val="left"/>
      <w:rPr>
        <w:rFonts w:hint="eastAsia"/>
      </w:rPr>
    </w:lvl>
  </w:abstractNum>
  <w:abstractNum w:abstractNumId="3">
    <w:nsid w:val="DB4ACECC"/>
    <w:multiLevelType w:val="singleLevel"/>
    <w:tmpl w:val="DB4ACECC"/>
    <w:lvl w:ilvl="0" w:tentative="0">
      <w:start w:val="1"/>
      <w:numFmt w:val="decimal"/>
      <w:suff w:val="nothing"/>
      <w:lvlText w:val="%1、"/>
      <w:lvlJc w:val="left"/>
    </w:lvl>
  </w:abstractNum>
  <w:abstractNum w:abstractNumId="4">
    <w:nsid w:val="F58B7FB5"/>
    <w:multiLevelType w:val="singleLevel"/>
    <w:tmpl w:val="F58B7FB5"/>
    <w:lvl w:ilvl="0" w:tentative="0">
      <w:start w:val="3"/>
      <w:numFmt w:val="chineseCounting"/>
      <w:suff w:val="nothing"/>
      <w:lvlText w:val="%1、"/>
      <w:lvlJc w:val="left"/>
      <w:rPr>
        <w:rFonts w:hint="eastAsia"/>
      </w:rPr>
    </w:lvl>
  </w:abstractNum>
  <w:abstractNum w:abstractNumId="5">
    <w:nsid w:val="FDF4F668"/>
    <w:multiLevelType w:val="singleLevel"/>
    <w:tmpl w:val="FDF4F668"/>
    <w:lvl w:ilvl="0" w:tentative="0">
      <w:start w:val="1"/>
      <w:numFmt w:val="decimal"/>
      <w:suff w:val="nothing"/>
      <w:lvlText w:val="（%1）"/>
      <w:lvlJc w:val="left"/>
    </w:lvl>
  </w:abstractNum>
  <w:abstractNum w:abstractNumId="6">
    <w:nsid w:val="2F6578A3"/>
    <w:multiLevelType w:val="multilevel"/>
    <w:tmpl w:val="2F6578A3"/>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7">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362DDA65"/>
    <w:multiLevelType w:val="singleLevel"/>
    <w:tmpl w:val="362DDA65"/>
    <w:lvl w:ilvl="0" w:tentative="0">
      <w:start w:val="1"/>
      <w:numFmt w:val="decimal"/>
      <w:suff w:val="nothing"/>
      <w:lvlText w:val="（%1）"/>
      <w:lvlJc w:val="left"/>
    </w:lvl>
  </w:abstractNum>
  <w:abstractNum w:abstractNumId="9">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8F3A9B"/>
    <w:multiLevelType w:val="multilevel"/>
    <w:tmpl w:val="4D8F3A9B"/>
    <w:lvl w:ilvl="0" w:tentative="0">
      <w:start w:val="1"/>
      <w:numFmt w:val="decimal"/>
      <w:lvlText w:val="%1"/>
      <w:lvlJc w:val="left"/>
      <w:pPr>
        <w:tabs>
          <w:tab w:val="left" w:pos="454"/>
        </w:tabs>
        <w:ind w:left="425" w:hanging="425"/>
      </w:pPr>
      <w:rPr>
        <w:rFonts w:hint="eastAsia"/>
      </w:rPr>
    </w:lvl>
    <w:lvl w:ilvl="1" w:tentative="0">
      <w:start w:val="1"/>
      <w:numFmt w:val="decimal"/>
      <w:lvlText w:val="%1.%2."/>
      <w:lvlJc w:val="left"/>
      <w:pPr>
        <w:tabs>
          <w:tab w:val="left" w:pos="7654"/>
        </w:tabs>
        <w:ind w:left="7654" w:hanging="567"/>
      </w:pPr>
      <w:rPr>
        <w:rFonts w:hint="eastAsia" w:ascii="宋体" w:hAnsi="宋体" w:eastAsia="宋体"/>
        <w:b w:val="0"/>
        <w:i w:val="0"/>
        <w:color w:val="auto"/>
        <w:sz w:val="24"/>
        <w:szCs w:val="24"/>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80F4BD9"/>
    <w:multiLevelType w:val="singleLevel"/>
    <w:tmpl w:val="580F4BD9"/>
    <w:lvl w:ilvl="0" w:tentative="0">
      <w:start w:val="1"/>
      <w:numFmt w:val="decimal"/>
      <w:suff w:val="nothing"/>
      <w:lvlText w:val="（%1）"/>
      <w:lvlJc w:val="left"/>
    </w:lvl>
  </w:abstractNum>
  <w:abstractNum w:abstractNumId="12">
    <w:nsid w:val="580F5C97"/>
    <w:multiLevelType w:val="singleLevel"/>
    <w:tmpl w:val="580F5C97"/>
    <w:lvl w:ilvl="0" w:tentative="0">
      <w:start w:val="1"/>
      <w:numFmt w:val="decimal"/>
      <w:suff w:val="nothing"/>
      <w:lvlText w:val="（%1）"/>
      <w:lvlJc w:val="left"/>
    </w:lvl>
  </w:abstractNum>
  <w:abstractNum w:abstractNumId="13">
    <w:nsid w:val="68928190"/>
    <w:multiLevelType w:val="singleLevel"/>
    <w:tmpl w:val="68928190"/>
    <w:lvl w:ilvl="0" w:tentative="0">
      <w:start w:val="3"/>
      <w:numFmt w:val="chineseCounting"/>
      <w:suff w:val="nothing"/>
      <w:lvlText w:val="%1、"/>
      <w:lvlJc w:val="left"/>
      <w:rPr>
        <w:rFonts w:hint="eastAsia"/>
      </w:rPr>
    </w:lvl>
  </w:abstractNum>
  <w:abstractNum w:abstractNumId="14">
    <w:nsid w:val="79AA4FA4"/>
    <w:multiLevelType w:val="multilevel"/>
    <w:tmpl w:val="79AA4FA4"/>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118" w:hanging="526"/>
      </w:pPr>
      <w:rPr>
        <w:rFonts w:hint="default"/>
        <w:lang w:val="zh-CN" w:eastAsia="zh-CN" w:bidi="zh-CN"/>
      </w:rPr>
    </w:lvl>
    <w:lvl w:ilvl="2" w:tentative="0">
      <w:start w:val="0"/>
      <w:numFmt w:val="bullet"/>
      <w:lvlText w:val="•"/>
      <w:lvlJc w:val="left"/>
      <w:pPr>
        <w:ind w:left="1717" w:hanging="526"/>
      </w:pPr>
      <w:rPr>
        <w:rFonts w:hint="default"/>
        <w:lang w:val="zh-CN" w:eastAsia="zh-CN" w:bidi="zh-CN"/>
      </w:rPr>
    </w:lvl>
    <w:lvl w:ilvl="3" w:tentative="0">
      <w:start w:val="0"/>
      <w:numFmt w:val="bullet"/>
      <w:lvlText w:val="•"/>
      <w:lvlJc w:val="left"/>
      <w:pPr>
        <w:ind w:left="2315" w:hanging="526"/>
      </w:pPr>
      <w:rPr>
        <w:rFonts w:hint="default"/>
        <w:lang w:val="zh-CN" w:eastAsia="zh-CN" w:bidi="zh-CN"/>
      </w:rPr>
    </w:lvl>
    <w:lvl w:ilvl="4" w:tentative="0">
      <w:start w:val="0"/>
      <w:numFmt w:val="bullet"/>
      <w:lvlText w:val="•"/>
      <w:lvlJc w:val="left"/>
      <w:pPr>
        <w:ind w:left="2914" w:hanging="526"/>
      </w:pPr>
      <w:rPr>
        <w:rFonts w:hint="default"/>
        <w:lang w:val="zh-CN" w:eastAsia="zh-CN" w:bidi="zh-CN"/>
      </w:rPr>
    </w:lvl>
    <w:lvl w:ilvl="5" w:tentative="0">
      <w:start w:val="0"/>
      <w:numFmt w:val="bullet"/>
      <w:lvlText w:val="•"/>
      <w:lvlJc w:val="left"/>
      <w:pPr>
        <w:ind w:left="3513" w:hanging="526"/>
      </w:pPr>
      <w:rPr>
        <w:rFonts w:hint="default"/>
        <w:lang w:val="zh-CN" w:eastAsia="zh-CN" w:bidi="zh-CN"/>
      </w:rPr>
    </w:lvl>
    <w:lvl w:ilvl="6" w:tentative="0">
      <w:start w:val="0"/>
      <w:numFmt w:val="bullet"/>
      <w:lvlText w:val="•"/>
      <w:lvlJc w:val="left"/>
      <w:pPr>
        <w:ind w:left="4111" w:hanging="526"/>
      </w:pPr>
      <w:rPr>
        <w:rFonts w:hint="default"/>
        <w:lang w:val="zh-CN" w:eastAsia="zh-CN" w:bidi="zh-CN"/>
      </w:rPr>
    </w:lvl>
    <w:lvl w:ilvl="7" w:tentative="0">
      <w:start w:val="0"/>
      <w:numFmt w:val="bullet"/>
      <w:lvlText w:val="•"/>
      <w:lvlJc w:val="left"/>
      <w:pPr>
        <w:ind w:left="4710" w:hanging="526"/>
      </w:pPr>
      <w:rPr>
        <w:rFonts w:hint="default"/>
        <w:lang w:val="zh-CN" w:eastAsia="zh-CN" w:bidi="zh-CN"/>
      </w:rPr>
    </w:lvl>
    <w:lvl w:ilvl="8" w:tentative="0">
      <w:start w:val="0"/>
      <w:numFmt w:val="bullet"/>
      <w:lvlText w:val="•"/>
      <w:lvlJc w:val="left"/>
      <w:pPr>
        <w:ind w:left="5309" w:hanging="526"/>
      </w:pPr>
      <w:rPr>
        <w:rFonts w:hint="default"/>
        <w:lang w:val="zh-CN" w:eastAsia="zh-CN" w:bidi="zh-CN"/>
      </w:rPr>
    </w:lvl>
  </w:abstractNum>
  <w:num w:numId="1">
    <w:abstractNumId w:val="3"/>
  </w:num>
  <w:num w:numId="2">
    <w:abstractNumId w:val="10"/>
  </w:num>
  <w:num w:numId="3">
    <w:abstractNumId w:val="0"/>
  </w:num>
  <w:num w:numId="4">
    <w:abstractNumId w:val="11"/>
  </w:num>
  <w:num w:numId="5">
    <w:abstractNumId w:val="8"/>
  </w:num>
  <w:num w:numId="6">
    <w:abstractNumId w:val="5"/>
  </w:num>
  <w:num w:numId="7">
    <w:abstractNumId w:val="9"/>
  </w:num>
  <w:num w:numId="8">
    <w:abstractNumId w:val="13"/>
  </w:num>
  <w:num w:numId="9">
    <w:abstractNumId w:val="4"/>
  </w:num>
  <w:num w:numId="10">
    <w:abstractNumId w:val="2"/>
  </w:num>
  <w:num w:numId="11">
    <w:abstractNumId w:val="14"/>
  </w:num>
  <w:num w:numId="12">
    <w:abstractNumId w:val="1"/>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footnotePr>
    <w:numRestart w:val="eachPage"/>
    <w:footnote w:id="4"/>
    <w:footnote w:id="5"/>
  </w:footnotePr>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zc3MTNhOWU1ZGUyMzNhYTZjNjZiZTE0OTE1MjkifQ=="/>
  </w:docVars>
  <w:rsids>
    <w:rsidRoot w:val="00172A27"/>
    <w:rsid w:val="000004AB"/>
    <w:rsid w:val="00000775"/>
    <w:rsid w:val="00001718"/>
    <w:rsid w:val="0000178B"/>
    <w:rsid w:val="000020E0"/>
    <w:rsid w:val="00002B70"/>
    <w:rsid w:val="00002CC0"/>
    <w:rsid w:val="00002D95"/>
    <w:rsid w:val="00003599"/>
    <w:rsid w:val="000038A5"/>
    <w:rsid w:val="00004097"/>
    <w:rsid w:val="00004D99"/>
    <w:rsid w:val="00005065"/>
    <w:rsid w:val="00006E23"/>
    <w:rsid w:val="00006F76"/>
    <w:rsid w:val="00010048"/>
    <w:rsid w:val="00010864"/>
    <w:rsid w:val="000110E1"/>
    <w:rsid w:val="000111CC"/>
    <w:rsid w:val="0001128E"/>
    <w:rsid w:val="000112F6"/>
    <w:rsid w:val="0001219D"/>
    <w:rsid w:val="000127BD"/>
    <w:rsid w:val="00013016"/>
    <w:rsid w:val="000140B4"/>
    <w:rsid w:val="00014387"/>
    <w:rsid w:val="0001477C"/>
    <w:rsid w:val="00014A1D"/>
    <w:rsid w:val="0001542B"/>
    <w:rsid w:val="00020C41"/>
    <w:rsid w:val="0002181F"/>
    <w:rsid w:val="0002218F"/>
    <w:rsid w:val="00022A03"/>
    <w:rsid w:val="00022A06"/>
    <w:rsid w:val="00023F0D"/>
    <w:rsid w:val="00024355"/>
    <w:rsid w:val="000244D7"/>
    <w:rsid w:val="000251F8"/>
    <w:rsid w:val="0002595D"/>
    <w:rsid w:val="00026563"/>
    <w:rsid w:val="00026634"/>
    <w:rsid w:val="00026CD1"/>
    <w:rsid w:val="000279F6"/>
    <w:rsid w:val="00027CE9"/>
    <w:rsid w:val="00030440"/>
    <w:rsid w:val="00032EB7"/>
    <w:rsid w:val="000333FF"/>
    <w:rsid w:val="000337EC"/>
    <w:rsid w:val="000338F8"/>
    <w:rsid w:val="00033F4A"/>
    <w:rsid w:val="00034055"/>
    <w:rsid w:val="00036021"/>
    <w:rsid w:val="00036AD7"/>
    <w:rsid w:val="00037528"/>
    <w:rsid w:val="000378EE"/>
    <w:rsid w:val="00037BB2"/>
    <w:rsid w:val="00037C69"/>
    <w:rsid w:val="00037E48"/>
    <w:rsid w:val="0004062C"/>
    <w:rsid w:val="0004082E"/>
    <w:rsid w:val="000408BD"/>
    <w:rsid w:val="00040CC1"/>
    <w:rsid w:val="00042EAD"/>
    <w:rsid w:val="00043E90"/>
    <w:rsid w:val="00044833"/>
    <w:rsid w:val="00044C29"/>
    <w:rsid w:val="00044E92"/>
    <w:rsid w:val="00044FE9"/>
    <w:rsid w:val="00045172"/>
    <w:rsid w:val="00045432"/>
    <w:rsid w:val="000455E1"/>
    <w:rsid w:val="00045AFC"/>
    <w:rsid w:val="00046C03"/>
    <w:rsid w:val="00047D23"/>
    <w:rsid w:val="000500ED"/>
    <w:rsid w:val="00050947"/>
    <w:rsid w:val="0005169A"/>
    <w:rsid w:val="0005180D"/>
    <w:rsid w:val="00051A84"/>
    <w:rsid w:val="00051D26"/>
    <w:rsid w:val="000545E9"/>
    <w:rsid w:val="00054D97"/>
    <w:rsid w:val="00055882"/>
    <w:rsid w:val="00055D20"/>
    <w:rsid w:val="000568D3"/>
    <w:rsid w:val="00056DF6"/>
    <w:rsid w:val="00057624"/>
    <w:rsid w:val="000578C6"/>
    <w:rsid w:val="00057AD9"/>
    <w:rsid w:val="00060FBE"/>
    <w:rsid w:val="00061357"/>
    <w:rsid w:val="00061516"/>
    <w:rsid w:val="000615AB"/>
    <w:rsid w:val="00061A8D"/>
    <w:rsid w:val="00063E86"/>
    <w:rsid w:val="00064734"/>
    <w:rsid w:val="00064DD7"/>
    <w:rsid w:val="0006507B"/>
    <w:rsid w:val="00065281"/>
    <w:rsid w:val="000658BD"/>
    <w:rsid w:val="00066E06"/>
    <w:rsid w:val="00066E40"/>
    <w:rsid w:val="000674C9"/>
    <w:rsid w:val="000710F0"/>
    <w:rsid w:val="000715D1"/>
    <w:rsid w:val="00071673"/>
    <w:rsid w:val="00071A4F"/>
    <w:rsid w:val="00071E09"/>
    <w:rsid w:val="00071FAE"/>
    <w:rsid w:val="00072373"/>
    <w:rsid w:val="000734D3"/>
    <w:rsid w:val="000743F3"/>
    <w:rsid w:val="00074CC4"/>
    <w:rsid w:val="00074E48"/>
    <w:rsid w:val="0007560C"/>
    <w:rsid w:val="00076772"/>
    <w:rsid w:val="00077AA9"/>
    <w:rsid w:val="00082A86"/>
    <w:rsid w:val="000837B0"/>
    <w:rsid w:val="00083E74"/>
    <w:rsid w:val="00084209"/>
    <w:rsid w:val="000847B2"/>
    <w:rsid w:val="00084AF5"/>
    <w:rsid w:val="00084E75"/>
    <w:rsid w:val="000852D5"/>
    <w:rsid w:val="000857E6"/>
    <w:rsid w:val="00085B57"/>
    <w:rsid w:val="000872AD"/>
    <w:rsid w:val="000873FD"/>
    <w:rsid w:val="000902E0"/>
    <w:rsid w:val="0009031E"/>
    <w:rsid w:val="000908C4"/>
    <w:rsid w:val="000912DF"/>
    <w:rsid w:val="00091B71"/>
    <w:rsid w:val="00091E92"/>
    <w:rsid w:val="0009203A"/>
    <w:rsid w:val="00092180"/>
    <w:rsid w:val="00092410"/>
    <w:rsid w:val="00092A38"/>
    <w:rsid w:val="00092F28"/>
    <w:rsid w:val="00093881"/>
    <w:rsid w:val="000947F5"/>
    <w:rsid w:val="0009485E"/>
    <w:rsid w:val="000948C1"/>
    <w:rsid w:val="00095106"/>
    <w:rsid w:val="00095BE8"/>
    <w:rsid w:val="00097273"/>
    <w:rsid w:val="0009731C"/>
    <w:rsid w:val="00097B86"/>
    <w:rsid w:val="00097BFE"/>
    <w:rsid w:val="00097CD5"/>
    <w:rsid w:val="000A14E8"/>
    <w:rsid w:val="000A1925"/>
    <w:rsid w:val="000A19ED"/>
    <w:rsid w:val="000A1AFF"/>
    <w:rsid w:val="000A20B1"/>
    <w:rsid w:val="000A2616"/>
    <w:rsid w:val="000A317C"/>
    <w:rsid w:val="000A3F8F"/>
    <w:rsid w:val="000A4131"/>
    <w:rsid w:val="000A424B"/>
    <w:rsid w:val="000A4724"/>
    <w:rsid w:val="000A5C38"/>
    <w:rsid w:val="000A5D52"/>
    <w:rsid w:val="000A7016"/>
    <w:rsid w:val="000A73BF"/>
    <w:rsid w:val="000A7620"/>
    <w:rsid w:val="000B0132"/>
    <w:rsid w:val="000B06E0"/>
    <w:rsid w:val="000B0A22"/>
    <w:rsid w:val="000B1479"/>
    <w:rsid w:val="000B22AA"/>
    <w:rsid w:val="000B235C"/>
    <w:rsid w:val="000B23BD"/>
    <w:rsid w:val="000B2D30"/>
    <w:rsid w:val="000B2E97"/>
    <w:rsid w:val="000B2F1A"/>
    <w:rsid w:val="000B3026"/>
    <w:rsid w:val="000B43BF"/>
    <w:rsid w:val="000B4431"/>
    <w:rsid w:val="000B511B"/>
    <w:rsid w:val="000B5441"/>
    <w:rsid w:val="000B5C00"/>
    <w:rsid w:val="000B5C78"/>
    <w:rsid w:val="000B661E"/>
    <w:rsid w:val="000B6835"/>
    <w:rsid w:val="000B6C72"/>
    <w:rsid w:val="000B6F5C"/>
    <w:rsid w:val="000B71FA"/>
    <w:rsid w:val="000B7799"/>
    <w:rsid w:val="000C1D55"/>
    <w:rsid w:val="000C2858"/>
    <w:rsid w:val="000C4076"/>
    <w:rsid w:val="000C5483"/>
    <w:rsid w:val="000C59EB"/>
    <w:rsid w:val="000C66E1"/>
    <w:rsid w:val="000D08A9"/>
    <w:rsid w:val="000D0BE9"/>
    <w:rsid w:val="000D1500"/>
    <w:rsid w:val="000D33B6"/>
    <w:rsid w:val="000D360B"/>
    <w:rsid w:val="000D38EB"/>
    <w:rsid w:val="000D3A15"/>
    <w:rsid w:val="000D4101"/>
    <w:rsid w:val="000D5819"/>
    <w:rsid w:val="000D6840"/>
    <w:rsid w:val="000D6C47"/>
    <w:rsid w:val="000D7091"/>
    <w:rsid w:val="000D7834"/>
    <w:rsid w:val="000E04C7"/>
    <w:rsid w:val="000E0701"/>
    <w:rsid w:val="000E129A"/>
    <w:rsid w:val="000E1353"/>
    <w:rsid w:val="000E267A"/>
    <w:rsid w:val="000E2CAC"/>
    <w:rsid w:val="000E34C9"/>
    <w:rsid w:val="000E3E06"/>
    <w:rsid w:val="000E3F65"/>
    <w:rsid w:val="000E64C1"/>
    <w:rsid w:val="000E65CF"/>
    <w:rsid w:val="000E7569"/>
    <w:rsid w:val="000E7AE7"/>
    <w:rsid w:val="000F1574"/>
    <w:rsid w:val="000F2E6E"/>
    <w:rsid w:val="000F4023"/>
    <w:rsid w:val="000F46E1"/>
    <w:rsid w:val="000F4DEF"/>
    <w:rsid w:val="000F5232"/>
    <w:rsid w:val="000F621B"/>
    <w:rsid w:val="000F687E"/>
    <w:rsid w:val="000F6ED2"/>
    <w:rsid w:val="000F712B"/>
    <w:rsid w:val="00100277"/>
    <w:rsid w:val="001005DA"/>
    <w:rsid w:val="00100C8F"/>
    <w:rsid w:val="00101854"/>
    <w:rsid w:val="00101E0E"/>
    <w:rsid w:val="00102933"/>
    <w:rsid w:val="00102EFF"/>
    <w:rsid w:val="00104781"/>
    <w:rsid w:val="001051DF"/>
    <w:rsid w:val="00105772"/>
    <w:rsid w:val="0010767E"/>
    <w:rsid w:val="00107A9B"/>
    <w:rsid w:val="00107F40"/>
    <w:rsid w:val="00110166"/>
    <w:rsid w:val="001107DE"/>
    <w:rsid w:val="00111BD5"/>
    <w:rsid w:val="00111ECD"/>
    <w:rsid w:val="00112B27"/>
    <w:rsid w:val="0011381E"/>
    <w:rsid w:val="00114295"/>
    <w:rsid w:val="00114704"/>
    <w:rsid w:val="00114C2E"/>
    <w:rsid w:val="001161E3"/>
    <w:rsid w:val="00116A55"/>
    <w:rsid w:val="0011763D"/>
    <w:rsid w:val="00120DFE"/>
    <w:rsid w:val="0012120C"/>
    <w:rsid w:val="001216CD"/>
    <w:rsid w:val="001219AE"/>
    <w:rsid w:val="00121AD4"/>
    <w:rsid w:val="0012213F"/>
    <w:rsid w:val="00122E64"/>
    <w:rsid w:val="00124026"/>
    <w:rsid w:val="001263D4"/>
    <w:rsid w:val="00126A34"/>
    <w:rsid w:val="00130A57"/>
    <w:rsid w:val="00130C80"/>
    <w:rsid w:val="00130FA5"/>
    <w:rsid w:val="0013249A"/>
    <w:rsid w:val="00132BAA"/>
    <w:rsid w:val="00133695"/>
    <w:rsid w:val="0013387B"/>
    <w:rsid w:val="00136255"/>
    <w:rsid w:val="00136CCF"/>
    <w:rsid w:val="0013717D"/>
    <w:rsid w:val="00137C10"/>
    <w:rsid w:val="00140594"/>
    <w:rsid w:val="00141AE7"/>
    <w:rsid w:val="00141E9D"/>
    <w:rsid w:val="00141FDC"/>
    <w:rsid w:val="00142573"/>
    <w:rsid w:val="0014337C"/>
    <w:rsid w:val="001442B6"/>
    <w:rsid w:val="001453E8"/>
    <w:rsid w:val="00145BA1"/>
    <w:rsid w:val="00145C5C"/>
    <w:rsid w:val="00146FC7"/>
    <w:rsid w:val="00147513"/>
    <w:rsid w:val="00150279"/>
    <w:rsid w:val="00151C32"/>
    <w:rsid w:val="001530A0"/>
    <w:rsid w:val="00153332"/>
    <w:rsid w:val="00153546"/>
    <w:rsid w:val="00153A6F"/>
    <w:rsid w:val="00153FB1"/>
    <w:rsid w:val="0015445F"/>
    <w:rsid w:val="00154C58"/>
    <w:rsid w:val="00154F7B"/>
    <w:rsid w:val="00155157"/>
    <w:rsid w:val="00155A73"/>
    <w:rsid w:val="00156111"/>
    <w:rsid w:val="0015712C"/>
    <w:rsid w:val="00157280"/>
    <w:rsid w:val="00157E70"/>
    <w:rsid w:val="001611F0"/>
    <w:rsid w:val="0016176C"/>
    <w:rsid w:val="001619D7"/>
    <w:rsid w:val="00162516"/>
    <w:rsid w:val="001627BC"/>
    <w:rsid w:val="001629BF"/>
    <w:rsid w:val="00162B6F"/>
    <w:rsid w:val="00162C17"/>
    <w:rsid w:val="00162E31"/>
    <w:rsid w:val="00162FCE"/>
    <w:rsid w:val="0016312D"/>
    <w:rsid w:val="00163D4B"/>
    <w:rsid w:val="00163D75"/>
    <w:rsid w:val="00164880"/>
    <w:rsid w:val="00166BB7"/>
    <w:rsid w:val="0017103E"/>
    <w:rsid w:val="001715FE"/>
    <w:rsid w:val="0017176D"/>
    <w:rsid w:val="00171D2C"/>
    <w:rsid w:val="001729D6"/>
    <w:rsid w:val="0017320A"/>
    <w:rsid w:val="001734F0"/>
    <w:rsid w:val="0017354E"/>
    <w:rsid w:val="00175931"/>
    <w:rsid w:val="001761C1"/>
    <w:rsid w:val="00176ABC"/>
    <w:rsid w:val="00176B87"/>
    <w:rsid w:val="001773FA"/>
    <w:rsid w:val="00177E24"/>
    <w:rsid w:val="001804B6"/>
    <w:rsid w:val="00180935"/>
    <w:rsid w:val="00183F58"/>
    <w:rsid w:val="0018439F"/>
    <w:rsid w:val="001844B9"/>
    <w:rsid w:val="0018562F"/>
    <w:rsid w:val="00186CFD"/>
    <w:rsid w:val="001871BB"/>
    <w:rsid w:val="0018729E"/>
    <w:rsid w:val="00190E33"/>
    <w:rsid w:val="00190E85"/>
    <w:rsid w:val="00191449"/>
    <w:rsid w:val="00192411"/>
    <w:rsid w:val="001928C0"/>
    <w:rsid w:val="0019394F"/>
    <w:rsid w:val="00195567"/>
    <w:rsid w:val="001968E6"/>
    <w:rsid w:val="0019789E"/>
    <w:rsid w:val="001A0C4A"/>
    <w:rsid w:val="001A2084"/>
    <w:rsid w:val="001A2BAB"/>
    <w:rsid w:val="001A2DC0"/>
    <w:rsid w:val="001A411B"/>
    <w:rsid w:val="001A4318"/>
    <w:rsid w:val="001A635A"/>
    <w:rsid w:val="001A67DF"/>
    <w:rsid w:val="001A6EEA"/>
    <w:rsid w:val="001A79C2"/>
    <w:rsid w:val="001B0354"/>
    <w:rsid w:val="001B1C7B"/>
    <w:rsid w:val="001B2FB9"/>
    <w:rsid w:val="001B305C"/>
    <w:rsid w:val="001B3474"/>
    <w:rsid w:val="001B4615"/>
    <w:rsid w:val="001B4930"/>
    <w:rsid w:val="001B6D94"/>
    <w:rsid w:val="001B7055"/>
    <w:rsid w:val="001C0366"/>
    <w:rsid w:val="001C2594"/>
    <w:rsid w:val="001C2A32"/>
    <w:rsid w:val="001C37AE"/>
    <w:rsid w:val="001C3D3C"/>
    <w:rsid w:val="001C4404"/>
    <w:rsid w:val="001C4F20"/>
    <w:rsid w:val="001C4F7C"/>
    <w:rsid w:val="001C56FE"/>
    <w:rsid w:val="001C70D5"/>
    <w:rsid w:val="001C71D2"/>
    <w:rsid w:val="001C7DBA"/>
    <w:rsid w:val="001D0676"/>
    <w:rsid w:val="001D0B3B"/>
    <w:rsid w:val="001D2907"/>
    <w:rsid w:val="001D2E80"/>
    <w:rsid w:val="001D3394"/>
    <w:rsid w:val="001D3A3A"/>
    <w:rsid w:val="001D4FD1"/>
    <w:rsid w:val="001D5FF8"/>
    <w:rsid w:val="001D6C34"/>
    <w:rsid w:val="001D6F18"/>
    <w:rsid w:val="001D6FD5"/>
    <w:rsid w:val="001D7CF5"/>
    <w:rsid w:val="001E051A"/>
    <w:rsid w:val="001E05C7"/>
    <w:rsid w:val="001E1554"/>
    <w:rsid w:val="001E1984"/>
    <w:rsid w:val="001E1B90"/>
    <w:rsid w:val="001E224F"/>
    <w:rsid w:val="001E277A"/>
    <w:rsid w:val="001E29D2"/>
    <w:rsid w:val="001E3763"/>
    <w:rsid w:val="001E40E1"/>
    <w:rsid w:val="001E4DA7"/>
    <w:rsid w:val="001E4DE4"/>
    <w:rsid w:val="001E4EBA"/>
    <w:rsid w:val="001E56F8"/>
    <w:rsid w:val="001E5701"/>
    <w:rsid w:val="001E5CB6"/>
    <w:rsid w:val="001E5D28"/>
    <w:rsid w:val="001E63FF"/>
    <w:rsid w:val="001E6AF7"/>
    <w:rsid w:val="001E7261"/>
    <w:rsid w:val="001E79AF"/>
    <w:rsid w:val="001E7F6B"/>
    <w:rsid w:val="001F0411"/>
    <w:rsid w:val="001F06B5"/>
    <w:rsid w:val="001F26E2"/>
    <w:rsid w:val="001F26FD"/>
    <w:rsid w:val="001F27B3"/>
    <w:rsid w:val="001F382F"/>
    <w:rsid w:val="001F3BD1"/>
    <w:rsid w:val="001F3EF5"/>
    <w:rsid w:val="001F4B1D"/>
    <w:rsid w:val="001F545F"/>
    <w:rsid w:val="001F553C"/>
    <w:rsid w:val="001F5A28"/>
    <w:rsid w:val="001F5C07"/>
    <w:rsid w:val="001F64D5"/>
    <w:rsid w:val="001F68F6"/>
    <w:rsid w:val="001F7DB2"/>
    <w:rsid w:val="001F7FAA"/>
    <w:rsid w:val="002001C9"/>
    <w:rsid w:val="00200559"/>
    <w:rsid w:val="002012F8"/>
    <w:rsid w:val="0020131D"/>
    <w:rsid w:val="0020162D"/>
    <w:rsid w:val="00201650"/>
    <w:rsid w:val="00201717"/>
    <w:rsid w:val="00201A78"/>
    <w:rsid w:val="00202E3B"/>
    <w:rsid w:val="00203256"/>
    <w:rsid w:val="002039DC"/>
    <w:rsid w:val="00203A5D"/>
    <w:rsid w:val="002050DB"/>
    <w:rsid w:val="0020546C"/>
    <w:rsid w:val="00206E49"/>
    <w:rsid w:val="00207A39"/>
    <w:rsid w:val="00210AA7"/>
    <w:rsid w:val="00212129"/>
    <w:rsid w:val="002128D9"/>
    <w:rsid w:val="00212BB8"/>
    <w:rsid w:val="002135DC"/>
    <w:rsid w:val="00214488"/>
    <w:rsid w:val="00215C80"/>
    <w:rsid w:val="00216888"/>
    <w:rsid w:val="0022006B"/>
    <w:rsid w:val="002201D4"/>
    <w:rsid w:val="002207B5"/>
    <w:rsid w:val="00221309"/>
    <w:rsid w:val="00221D82"/>
    <w:rsid w:val="00222EF3"/>
    <w:rsid w:val="0022326D"/>
    <w:rsid w:val="0022337C"/>
    <w:rsid w:val="00225A81"/>
    <w:rsid w:val="00226FCE"/>
    <w:rsid w:val="00227324"/>
    <w:rsid w:val="00231480"/>
    <w:rsid w:val="00231F37"/>
    <w:rsid w:val="00232430"/>
    <w:rsid w:val="00234508"/>
    <w:rsid w:val="0023544B"/>
    <w:rsid w:val="00235B91"/>
    <w:rsid w:val="00236D4A"/>
    <w:rsid w:val="00236E97"/>
    <w:rsid w:val="00237066"/>
    <w:rsid w:val="002378F9"/>
    <w:rsid w:val="00240221"/>
    <w:rsid w:val="00240BC5"/>
    <w:rsid w:val="00241014"/>
    <w:rsid w:val="0024221C"/>
    <w:rsid w:val="00242AE8"/>
    <w:rsid w:val="00243255"/>
    <w:rsid w:val="00243666"/>
    <w:rsid w:val="00243B45"/>
    <w:rsid w:val="00243BBB"/>
    <w:rsid w:val="002445CA"/>
    <w:rsid w:val="0024541C"/>
    <w:rsid w:val="00245D5E"/>
    <w:rsid w:val="0024658E"/>
    <w:rsid w:val="00246ADD"/>
    <w:rsid w:val="002475E7"/>
    <w:rsid w:val="0024765A"/>
    <w:rsid w:val="0024793A"/>
    <w:rsid w:val="0025038C"/>
    <w:rsid w:val="00250D51"/>
    <w:rsid w:val="00250E00"/>
    <w:rsid w:val="0025175C"/>
    <w:rsid w:val="00251B22"/>
    <w:rsid w:val="002529EC"/>
    <w:rsid w:val="00252B8C"/>
    <w:rsid w:val="00252E48"/>
    <w:rsid w:val="002533C0"/>
    <w:rsid w:val="00254034"/>
    <w:rsid w:val="002548F3"/>
    <w:rsid w:val="00254AA4"/>
    <w:rsid w:val="00254B1E"/>
    <w:rsid w:val="002551E2"/>
    <w:rsid w:val="002568BA"/>
    <w:rsid w:val="00256B7B"/>
    <w:rsid w:val="002574DC"/>
    <w:rsid w:val="00257D47"/>
    <w:rsid w:val="00257E3F"/>
    <w:rsid w:val="002605D6"/>
    <w:rsid w:val="00260AC8"/>
    <w:rsid w:val="00260ACF"/>
    <w:rsid w:val="00261455"/>
    <w:rsid w:val="00261CCD"/>
    <w:rsid w:val="00262377"/>
    <w:rsid w:val="002623E7"/>
    <w:rsid w:val="00262561"/>
    <w:rsid w:val="00262759"/>
    <w:rsid w:val="00263C99"/>
    <w:rsid w:val="00263E6E"/>
    <w:rsid w:val="00264584"/>
    <w:rsid w:val="002655F6"/>
    <w:rsid w:val="00265A2F"/>
    <w:rsid w:val="0026692C"/>
    <w:rsid w:val="002715B3"/>
    <w:rsid w:val="00272348"/>
    <w:rsid w:val="00272521"/>
    <w:rsid w:val="00272660"/>
    <w:rsid w:val="00272FA1"/>
    <w:rsid w:val="002738C2"/>
    <w:rsid w:val="002739F3"/>
    <w:rsid w:val="002746AF"/>
    <w:rsid w:val="00275A4C"/>
    <w:rsid w:val="00275ED5"/>
    <w:rsid w:val="00275FDF"/>
    <w:rsid w:val="002770B3"/>
    <w:rsid w:val="00277115"/>
    <w:rsid w:val="0028097C"/>
    <w:rsid w:val="00281851"/>
    <w:rsid w:val="002823F4"/>
    <w:rsid w:val="00283506"/>
    <w:rsid w:val="002835A7"/>
    <w:rsid w:val="002838C0"/>
    <w:rsid w:val="00284645"/>
    <w:rsid w:val="002860D2"/>
    <w:rsid w:val="002860D8"/>
    <w:rsid w:val="002861A0"/>
    <w:rsid w:val="00286597"/>
    <w:rsid w:val="00287274"/>
    <w:rsid w:val="00287A32"/>
    <w:rsid w:val="002907F9"/>
    <w:rsid w:val="0029390D"/>
    <w:rsid w:val="00293C80"/>
    <w:rsid w:val="00294592"/>
    <w:rsid w:val="00294779"/>
    <w:rsid w:val="0029535E"/>
    <w:rsid w:val="00296224"/>
    <w:rsid w:val="00296FDD"/>
    <w:rsid w:val="0029743B"/>
    <w:rsid w:val="00297E5F"/>
    <w:rsid w:val="002A01F2"/>
    <w:rsid w:val="002A04ED"/>
    <w:rsid w:val="002A1543"/>
    <w:rsid w:val="002A18EE"/>
    <w:rsid w:val="002A2352"/>
    <w:rsid w:val="002A45F4"/>
    <w:rsid w:val="002A494F"/>
    <w:rsid w:val="002A4C86"/>
    <w:rsid w:val="002A53CB"/>
    <w:rsid w:val="002A55C6"/>
    <w:rsid w:val="002A66D8"/>
    <w:rsid w:val="002A6C37"/>
    <w:rsid w:val="002A7505"/>
    <w:rsid w:val="002A7CDF"/>
    <w:rsid w:val="002B02D5"/>
    <w:rsid w:val="002B09A4"/>
    <w:rsid w:val="002B2259"/>
    <w:rsid w:val="002B24F5"/>
    <w:rsid w:val="002B2BDA"/>
    <w:rsid w:val="002B325B"/>
    <w:rsid w:val="002B35F7"/>
    <w:rsid w:val="002B45AD"/>
    <w:rsid w:val="002B5788"/>
    <w:rsid w:val="002B616A"/>
    <w:rsid w:val="002B6486"/>
    <w:rsid w:val="002B7563"/>
    <w:rsid w:val="002C0441"/>
    <w:rsid w:val="002C04DD"/>
    <w:rsid w:val="002C1464"/>
    <w:rsid w:val="002C2038"/>
    <w:rsid w:val="002C2143"/>
    <w:rsid w:val="002C3696"/>
    <w:rsid w:val="002C3B80"/>
    <w:rsid w:val="002C3FAC"/>
    <w:rsid w:val="002C5413"/>
    <w:rsid w:val="002C5776"/>
    <w:rsid w:val="002C5CD5"/>
    <w:rsid w:val="002C67E7"/>
    <w:rsid w:val="002C67FC"/>
    <w:rsid w:val="002C689D"/>
    <w:rsid w:val="002D04FE"/>
    <w:rsid w:val="002D07CF"/>
    <w:rsid w:val="002D1AC2"/>
    <w:rsid w:val="002D2462"/>
    <w:rsid w:val="002D24A7"/>
    <w:rsid w:val="002D2946"/>
    <w:rsid w:val="002D2CAC"/>
    <w:rsid w:val="002D38D7"/>
    <w:rsid w:val="002D38E2"/>
    <w:rsid w:val="002D4EE9"/>
    <w:rsid w:val="002D4F69"/>
    <w:rsid w:val="002D511B"/>
    <w:rsid w:val="002D584E"/>
    <w:rsid w:val="002D5C0A"/>
    <w:rsid w:val="002D5E66"/>
    <w:rsid w:val="002D618C"/>
    <w:rsid w:val="002D6261"/>
    <w:rsid w:val="002D769C"/>
    <w:rsid w:val="002D796E"/>
    <w:rsid w:val="002E21B0"/>
    <w:rsid w:val="002E248D"/>
    <w:rsid w:val="002E4530"/>
    <w:rsid w:val="002E4C54"/>
    <w:rsid w:val="002E56FF"/>
    <w:rsid w:val="002E57E1"/>
    <w:rsid w:val="002E6E7C"/>
    <w:rsid w:val="002E6ECE"/>
    <w:rsid w:val="002E742D"/>
    <w:rsid w:val="002F117E"/>
    <w:rsid w:val="002F1D28"/>
    <w:rsid w:val="002F1D9F"/>
    <w:rsid w:val="002F232F"/>
    <w:rsid w:val="002F27E1"/>
    <w:rsid w:val="002F33B7"/>
    <w:rsid w:val="002F344B"/>
    <w:rsid w:val="002F3537"/>
    <w:rsid w:val="002F38E8"/>
    <w:rsid w:val="002F3972"/>
    <w:rsid w:val="002F3C34"/>
    <w:rsid w:val="002F3E56"/>
    <w:rsid w:val="002F4816"/>
    <w:rsid w:val="002F57E6"/>
    <w:rsid w:val="002F77DB"/>
    <w:rsid w:val="0030002A"/>
    <w:rsid w:val="00301D06"/>
    <w:rsid w:val="00302C6C"/>
    <w:rsid w:val="00303372"/>
    <w:rsid w:val="00303B0F"/>
    <w:rsid w:val="00305F5C"/>
    <w:rsid w:val="003078C0"/>
    <w:rsid w:val="00307955"/>
    <w:rsid w:val="0031185A"/>
    <w:rsid w:val="00312603"/>
    <w:rsid w:val="00312ED8"/>
    <w:rsid w:val="00313C43"/>
    <w:rsid w:val="00313D45"/>
    <w:rsid w:val="003140A4"/>
    <w:rsid w:val="00314CBE"/>
    <w:rsid w:val="003154C8"/>
    <w:rsid w:val="003159EE"/>
    <w:rsid w:val="003164F8"/>
    <w:rsid w:val="00316577"/>
    <w:rsid w:val="00316688"/>
    <w:rsid w:val="00316DF3"/>
    <w:rsid w:val="0031738E"/>
    <w:rsid w:val="0031755F"/>
    <w:rsid w:val="00317595"/>
    <w:rsid w:val="00317880"/>
    <w:rsid w:val="00317B17"/>
    <w:rsid w:val="00317E07"/>
    <w:rsid w:val="00320231"/>
    <w:rsid w:val="0032043F"/>
    <w:rsid w:val="00320D8C"/>
    <w:rsid w:val="00320F4C"/>
    <w:rsid w:val="00321693"/>
    <w:rsid w:val="00321B39"/>
    <w:rsid w:val="00321F7A"/>
    <w:rsid w:val="003222A5"/>
    <w:rsid w:val="00324C5C"/>
    <w:rsid w:val="00325938"/>
    <w:rsid w:val="00326DB6"/>
    <w:rsid w:val="003301FC"/>
    <w:rsid w:val="00330840"/>
    <w:rsid w:val="0033087C"/>
    <w:rsid w:val="0033241D"/>
    <w:rsid w:val="0033269B"/>
    <w:rsid w:val="00332909"/>
    <w:rsid w:val="0033290F"/>
    <w:rsid w:val="00332FB4"/>
    <w:rsid w:val="00333CAC"/>
    <w:rsid w:val="003342B9"/>
    <w:rsid w:val="00334C0B"/>
    <w:rsid w:val="00336AD8"/>
    <w:rsid w:val="0033727C"/>
    <w:rsid w:val="00337830"/>
    <w:rsid w:val="00337847"/>
    <w:rsid w:val="00337E57"/>
    <w:rsid w:val="003404EC"/>
    <w:rsid w:val="00341145"/>
    <w:rsid w:val="00342C5C"/>
    <w:rsid w:val="00343A8B"/>
    <w:rsid w:val="0034485E"/>
    <w:rsid w:val="0034543E"/>
    <w:rsid w:val="0034586E"/>
    <w:rsid w:val="00346B31"/>
    <w:rsid w:val="00347581"/>
    <w:rsid w:val="00347ED7"/>
    <w:rsid w:val="00350F60"/>
    <w:rsid w:val="00351FE3"/>
    <w:rsid w:val="003522B1"/>
    <w:rsid w:val="003526A8"/>
    <w:rsid w:val="00352A83"/>
    <w:rsid w:val="00352B06"/>
    <w:rsid w:val="00352F4F"/>
    <w:rsid w:val="00353FBB"/>
    <w:rsid w:val="003540F4"/>
    <w:rsid w:val="00354FE8"/>
    <w:rsid w:val="0035506D"/>
    <w:rsid w:val="00355145"/>
    <w:rsid w:val="0035598C"/>
    <w:rsid w:val="00356A9D"/>
    <w:rsid w:val="00356F0D"/>
    <w:rsid w:val="0035701A"/>
    <w:rsid w:val="0035745D"/>
    <w:rsid w:val="00357CA9"/>
    <w:rsid w:val="003613D1"/>
    <w:rsid w:val="0036163D"/>
    <w:rsid w:val="00361AA2"/>
    <w:rsid w:val="003623AD"/>
    <w:rsid w:val="00364975"/>
    <w:rsid w:val="00364E08"/>
    <w:rsid w:val="00364E3A"/>
    <w:rsid w:val="00365632"/>
    <w:rsid w:val="00365E06"/>
    <w:rsid w:val="0036642C"/>
    <w:rsid w:val="00366FD2"/>
    <w:rsid w:val="003675C4"/>
    <w:rsid w:val="00367691"/>
    <w:rsid w:val="00367DD0"/>
    <w:rsid w:val="0037009A"/>
    <w:rsid w:val="00370131"/>
    <w:rsid w:val="0037085F"/>
    <w:rsid w:val="0037101E"/>
    <w:rsid w:val="0037216D"/>
    <w:rsid w:val="00373F3C"/>
    <w:rsid w:val="003744B1"/>
    <w:rsid w:val="003759D9"/>
    <w:rsid w:val="00376194"/>
    <w:rsid w:val="003778B6"/>
    <w:rsid w:val="00377C89"/>
    <w:rsid w:val="00380002"/>
    <w:rsid w:val="0038031E"/>
    <w:rsid w:val="00380D63"/>
    <w:rsid w:val="00381021"/>
    <w:rsid w:val="0038203A"/>
    <w:rsid w:val="0038242D"/>
    <w:rsid w:val="00382C54"/>
    <w:rsid w:val="00383CC7"/>
    <w:rsid w:val="00383F82"/>
    <w:rsid w:val="00384FC2"/>
    <w:rsid w:val="00384FF6"/>
    <w:rsid w:val="00386950"/>
    <w:rsid w:val="00386B85"/>
    <w:rsid w:val="00387BEB"/>
    <w:rsid w:val="00390D0E"/>
    <w:rsid w:val="003919F0"/>
    <w:rsid w:val="00392003"/>
    <w:rsid w:val="00392690"/>
    <w:rsid w:val="003929A5"/>
    <w:rsid w:val="00392C5E"/>
    <w:rsid w:val="003936AB"/>
    <w:rsid w:val="00393CF8"/>
    <w:rsid w:val="0039528B"/>
    <w:rsid w:val="00396899"/>
    <w:rsid w:val="00396E61"/>
    <w:rsid w:val="003973A0"/>
    <w:rsid w:val="00397561"/>
    <w:rsid w:val="003976DD"/>
    <w:rsid w:val="00397C3A"/>
    <w:rsid w:val="003A0821"/>
    <w:rsid w:val="003A0850"/>
    <w:rsid w:val="003A1D03"/>
    <w:rsid w:val="003A30E2"/>
    <w:rsid w:val="003A3394"/>
    <w:rsid w:val="003A3D74"/>
    <w:rsid w:val="003A4A70"/>
    <w:rsid w:val="003A6B64"/>
    <w:rsid w:val="003A724E"/>
    <w:rsid w:val="003B032F"/>
    <w:rsid w:val="003B05DB"/>
    <w:rsid w:val="003B0779"/>
    <w:rsid w:val="003B10F7"/>
    <w:rsid w:val="003B16F3"/>
    <w:rsid w:val="003B1718"/>
    <w:rsid w:val="003B17E3"/>
    <w:rsid w:val="003B18DE"/>
    <w:rsid w:val="003B1DE0"/>
    <w:rsid w:val="003B1EBE"/>
    <w:rsid w:val="003B261F"/>
    <w:rsid w:val="003B273D"/>
    <w:rsid w:val="003B2DD0"/>
    <w:rsid w:val="003B2EE3"/>
    <w:rsid w:val="003B33C9"/>
    <w:rsid w:val="003B3BED"/>
    <w:rsid w:val="003B453F"/>
    <w:rsid w:val="003B48E3"/>
    <w:rsid w:val="003B5424"/>
    <w:rsid w:val="003B6227"/>
    <w:rsid w:val="003B6CBC"/>
    <w:rsid w:val="003B6CE7"/>
    <w:rsid w:val="003B7512"/>
    <w:rsid w:val="003B7DE2"/>
    <w:rsid w:val="003B7F73"/>
    <w:rsid w:val="003C024A"/>
    <w:rsid w:val="003C1DAD"/>
    <w:rsid w:val="003C2DF5"/>
    <w:rsid w:val="003C2E33"/>
    <w:rsid w:val="003C30ED"/>
    <w:rsid w:val="003C312F"/>
    <w:rsid w:val="003C3312"/>
    <w:rsid w:val="003C3347"/>
    <w:rsid w:val="003C341F"/>
    <w:rsid w:val="003C36A9"/>
    <w:rsid w:val="003C49ED"/>
    <w:rsid w:val="003C5034"/>
    <w:rsid w:val="003C530C"/>
    <w:rsid w:val="003C5F62"/>
    <w:rsid w:val="003C7BDE"/>
    <w:rsid w:val="003D19A1"/>
    <w:rsid w:val="003D2364"/>
    <w:rsid w:val="003D2AC5"/>
    <w:rsid w:val="003D2B16"/>
    <w:rsid w:val="003D3953"/>
    <w:rsid w:val="003D3B54"/>
    <w:rsid w:val="003D428C"/>
    <w:rsid w:val="003D51AD"/>
    <w:rsid w:val="003D5264"/>
    <w:rsid w:val="003D5346"/>
    <w:rsid w:val="003D72FA"/>
    <w:rsid w:val="003D7F80"/>
    <w:rsid w:val="003E0D67"/>
    <w:rsid w:val="003E21E6"/>
    <w:rsid w:val="003E2BA1"/>
    <w:rsid w:val="003E2F59"/>
    <w:rsid w:val="003E3316"/>
    <w:rsid w:val="003E35ED"/>
    <w:rsid w:val="003E3DE2"/>
    <w:rsid w:val="003E4E3B"/>
    <w:rsid w:val="003E5017"/>
    <w:rsid w:val="003E511E"/>
    <w:rsid w:val="003E5444"/>
    <w:rsid w:val="003E5BA8"/>
    <w:rsid w:val="003E6804"/>
    <w:rsid w:val="003E748F"/>
    <w:rsid w:val="003E7B0C"/>
    <w:rsid w:val="003F008D"/>
    <w:rsid w:val="003F0442"/>
    <w:rsid w:val="003F1069"/>
    <w:rsid w:val="003F11D4"/>
    <w:rsid w:val="003F128B"/>
    <w:rsid w:val="003F13A8"/>
    <w:rsid w:val="003F197D"/>
    <w:rsid w:val="003F21AA"/>
    <w:rsid w:val="003F2CC5"/>
    <w:rsid w:val="003F46C0"/>
    <w:rsid w:val="003F4907"/>
    <w:rsid w:val="003F4C8F"/>
    <w:rsid w:val="003F596D"/>
    <w:rsid w:val="003F68A9"/>
    <w:rsid w:val="003F6B17"/>
    <w:rsid w:val="003F6B6D"/>
    <w:rsid w:val="003F6BB7"/>
    <w:rsid w:val="00400D8C"/>
    <w:rsid w:val="00400EE9"/>
    <w:rsid w:val="00401572"/>
    <w:rsid w:val="0040181E"/>
    <w:rsid w:val="00401DCC"/>
    <w:rsid w:val="0040268E"/>
    <w:rsid w:val="00402981"/>
    <w:rsid w:val="004029F7"/>
    <w:rsid w:val="00402D9E"/>
    <w:rsid w:val="004035B2"/>
    <w:rsid w:val="0040372D"/>
    <w:rsid w:val="0040399F"/>
    <w:rsid w:val="00403BBC"/>
    <w:rsid w:val="00403DAF"/>
    <w:rsid w:val="00403FE1"/>
    <w:rsid w:val="0040409A"/>
    <w:rsid w:val="00404C10"/>
    <w:rsid w:val="00404D24"/>
    <w:rsid w:val="00405D59"/>
    <w:rsid w:val="00407810"/>
    <w:rsid w:val="00410290"/>
    <w:rsid w:val="00410431"/>
    <w:rsid w:val="00410450"/>
    <w:rsid w:val="004111BC"/>
    <w:rsid w:val="00412122"/>
    <w:rsid w:val="00412CBE"/>
    <w:rsid w:val="00413490"/>
    <w:rsid w:val="00414021"/>
    <w:rsid w:val="00414BD8"/>
    <w:rsid w:val="00414C9A"/>
    <w:rsid w:val="00415065"/>
    <w:rsid w:val="0041607E"/>
    <w:rsid w:val="004161E8"/>
    <w:rsid w:val="00416823"/>
    <w:rsid w:val="00417237"/>
    <w:rsid w:val="00417BE6"/>
    <w:rsid w:val="0042010F"/>
    <w:rsid w:val="00420787"/>
    <w:rsid w:val="00421FD3"/>
    <w:rsid w:val="00422A90"/>
    <w:rsid w:val="00422B4E"/>
    <w:rsid w:val="004231D4"/>
    <w:rsid w:val="00423826"/>
    <w:rsid w:val="00424091"/>
    <w:rsid w:val="00424203"/>
    <w:rsid w:val="00424537"/>
    <w:rsid w:val="0042471B"/>
    <w:rsid w:val="00424E01"/>
    <w:rsid w:val="00424F33"/>
    <w:rsid w:val="00425760"/>
    <w:rsid w:val="004264A4"/>
    <w:rsid w:val="00426D17"/>
    <w:rsid w:val="00430885"/>
    <w:rsid w:val="00431B04"/>
    <w:rsid w:val="00432152"/>
    <w:rsid w:val="004322C3"/>
    <w:rsid w:val="004322F3"/>
    <w:rsid w:val="00432FC8"/>
    <w:rsid w:val="004333A9"/>
    <w:rsid w:val="0043342E"/>
    <w:rsid w:val="004338DD"/>
    <w:rsid w:val="00433E51"/>
    <w:rsid w:val="004346BE"/>
    <w:rsid w:val="0043474A"/>
    <w:rsid w:val="00434ED7"/>
    <w:rsid w:val="004353B1"/>
    <w:rsid w:val="0043606E"/>
    <w:rsid w:val="004362BE"/>
    <w:rsid w:val="00436465"/>
    <w:rsid w:val="00436A61"/>
    <w:rsid w:val="004378C3"/>
    <w:rsid w:val="00437BC3"/>
    <w:rsid w:val="00437FE6"/>
    <w:rsid w:val="00440D36"/>
    <w:rsid w:val="00440DD5"/>
    <w:rsid w:val="004412FF"/>
    <w:rsid w:val="0044200B"/>
    <w:rsid w:val="00442C91"/>
    <w:rsid w:val="00442ED6"/>
    <w:rsid w:val="0044314D"/>
    <w:rsid w:val="00443B42"/>
    <w:rsid w:val="00443C9E"/>
    <w:rsid w:val="00444D1E"/>
    <w:rsid w:val="004451EA"/>
    <w:rsid w:val="00445CDA"/>
    <w:rsid w:val="0044707F"/>
    <w:rsid w:val="00450136"/>
    <w:rsid w:val="00450467"/>
    <w:rsid w:val="004506EA"/>
    <w:rsid w:val="00450B2F"/>
    <w:rsid w:val="0045494C"/>
    <w:rsid w:val="00455026"/>
    <w:rsid w:val="00455478"/>
    <w:rsid w:val="004556AF"/>
    <w:rsid w:val="00455EA2"/>
    <w:rsid w:val="004564A9"/>
    <w:rsid w:val="004569C1"/>
    <w:rsid w:val="00456B80"/>
    <w:rsid w:val="00457798"/>
    <w:rsid w:val="00457F5A"/>
    <w:rsid w:val="004600C8"/>
    <w:rsid w:val="0046020D"/>
    <w:rsid w:val="00460495"/>
    <w:rsid w:val="004609E5"/>
    <w:rsid w:val="00460D80"/>
    <w:rsid w:val="00460F94"/>
    <w:rsid w:val="00461AAF"/>
    <w:rsid w:val="00462A31"/>
    <w:rsid w:val="00463220"/>
    <w:rsid w:val="0046356A"/>
    <w:rsid w:val="004636A1"/>
    <w:rsid w:val="0046484A"/>
    <w:rsid w:val="00464A8E"/>
    <w:rsid w:val="0046529C"/>
    <w:rsid w:val="0046591A"/>
    <w:rsid w:val="004662CB"/>
    <w:rsid w:val="00466BCA"/>
    <w:rsid w:val="00466D6D"/>
    <w:rsid w:val="00467908"/>
    <w:rsid w:val="00467D22"/>
    <w:rsid w:val="00470337"/>
    <w:rsid w:val="00470D9B"/>
    <w:rsid w:val="00471C87"/>
    <w:rsid w:val="004734B3"/>
    <w:rsid w:val="00473F09"/>
    <w:rsid w:val="00473F34"/>
    <w:rsid w:val="0047490E"/>
    <w:rsid w:val="00474AD0"/>
    <w:rsid w:val="00474E44"/>
    <w:rsid w:val="00475A9C"/>
    <w:rsid w:val="004766A6"/>
    <w:rsid w:val="00480AE1"/>
    <w:rsid w:val="004814B6"/>
    <w:rsid w:val="00481627"/>
    <w:rsid w:val="00481D7C"/>
    <w:rsid w:val="00481DB2"/>
    <w:rsid w:val="00481F7F"/>
    <w:rsid w:val="004820DE"/>
    <w:rsid w:val="00483C87"/>
    <w:rsid w:val="00484458"/>
    <w:rsid w:val="00484C84"/>
    <w:rsid w:val="004852BE"/>
    <w:rsid w:val="00490A0A"/>
    <w:rsid w:val="00490EB7"/>
    <w:rsid w:val="004919D4"/>
    <w:rsid w:val="004921CD"/>
    <w:rsid w:val="00492852"/>
    <w:rsid w:val="004939B1"/>
    <w:rsid w:val="004939FA"/>
    <w:rsid w:val="00494750"/>
    <w:rsid w:val="004952A2"/>
    <w:rsid w:val="004960E5"/>
    <w:rsid w:val="0049642C"/>
    <w:rsid w:val="00496862"/>
    <w:rsid w:val="0049790E"/>
    <w:rsid w:val="004A25CD"/>
    <w:rsid w:val="004A2B92"/>
    <w:rsid w:val="004A2F14"/>
    <w:rsid w:val="004A40B1"/>
    <w:rsid w:val="004A525B"/>
    <w:rsid w:val="004A5BBF"/>
    <w:rsid w:val="004A6607"/>
    <w:rsid w:val="004A6931"/>
    <w:rsid w:val="004A74C2"/>
    <w:rsid w:val="004B04B8"/>
    <w:rsid w:val="004B05B1"/>
    <w:rsid w:val="004B1A3F"/>
    <w:rsid w:val="004B1BC5"/>
    <w:rsid w:val="004B2793"/>
    <w:rsid w:val="004B3401"/>
    <w:rsid w:val="004B380D"/>
    <w:rsid w:val="004B46E0"/>
    <w:rsid w:val="004B4DD6"/>
    <w:rsid w:val="004B59C0"/>
    <w:rsid w:val="004B5B9C"/>
    <w:rsid w:val="004B5DF7"/>
    <w:rsid w:val="004B6AF5"/>
    <w:rsid w:val="004B7F81"/>
    <w:rsid w:val="004C0548"/>
    <w:rsid w:val="004C100D"/>
    <w:rsid w:val="004C10B5"/>
    <w:rsid w:val="004C1789"/>
    <w:rsid w:val="004C1CEC"/>
    <w:rsid w:val="004C210D"/>
    <w:rsid w:val="004C2192"/>
    <w:rsid w:val="004C2993"/>
    <w:rsid w:val="004C3DD1"/>
    <w:rsid w:val="004C4201"/>
    <w:rsid w:val="004C4557"/>
    <w:rsid w:val="004C4C55"/>
    <w:rsid w:val="004C52A4"/>
    <w:rsid w:val="004C58FC"/>
    <w:rsid w:val="004C5D41"/>
    <w:rsid w:val="004C6263"/>
    <w:rsid w:val="004C6688"/>
    <w:rsid w:val="004C78BF"/>
    <w:rsid w:val="004C7CA0"/>
    <w:rsid w:val="004C7F3A"/>
    <w:rsid w:val="004C7F5F"/>
    <w:rsid w:val="004D0263"/>
    <w:rsid w:val="004D0B65"/>
    <w:rsid w:val="004D1449"/>
    <w:rsid w:val="004D1790"/>
    <w:rsid w:val="004D25FE"/>
    <w:rsid w:val="004D292C"/>
    <w:rsid w:val="004D3ECF"/>
    <w:rsid w:val="004D4EDC"/>
    <w:rsid w:val="004D526B"/>
    <w:rsid w:val="004D53D9"/>
    <w:rsid w:val="004D79FB"/>
    <w:rsid w:val="004E0676"/>
    <w:rsid w:val="004E1472"/>
    <w:rsid w:val="004E266E"/>
    <w:rsid w:val="004E3F2E"/>
    <w:rsid w:val="004E45FB"/>
    <w:rsid w:val="004E4AB8"/>
    <w:rsid w:val="004E5B18"/>
    <w:rsid w:val="004E5EC0"/>
    <w:rsid w:val="004E63E1"/>
    <w:rsid w:val="004E75B3"/>
    <w:rsid w:val="004E7DB8"/>
    <w:rsid w:val="004F11B2"/>
    <w:rsid w:val="004F1E4F"/>
    <w:rsid w:val="004F265E"/>
    <w:rsid w:val="004F2C91"/>
    <w:rsid w:val="004F30C9"/>
    <w:rsid w:val="004F31A2"/>
    <w:rsid w:val="004F340B"/>
    <w:rsid w:val="004F36DA"/>
    <w:rsid w:val="004F3990"/>
    <w:rsid w:val="004F3C37"/>
    <w:rsid w:val="004F3F25"/>
    <w:rsid w:val="004F4B33"/>
    <w:rsid w:val="004F514E"/>
    <w:rsid w:val="004F51D9"/>
    <w:rsid w:val="004F6612"/>
    <w:rsid w:val="004F77B8"/>
    <w:rsid w:val="004F79BA"/>
    <w:rsid w:val="004F7F70"/>
    <w:rsid w:val="005008CC"/>
    <w:rsid w:val="00500F09"/>
    <w:rsid w:val="00501CB0"/>
    <w:rsid w:val="00501D3C"/>
    <w:rsid w:val="005035EC"/>
    <w:rsid w:val="005049C7"/>
    <w:rsid w:val="00505402"/>
    <w:rsid w:val="00507FE8"/>
    <w:rsid w:val="00510408"/>
    <w:rsid w:val="00510B77"/>
    <w:rsid w:val="005114EF"/>
    <w:rsid w:val="005117EA"/>
    <w:rsid w:val="00511879"/>
    <w:rsid w:val="005121F6"/>
    <w:rsid w:val="00512467"/>
    <w:rsid w:val="00512BF1"/>
    <w:rsid w:val="0051306A"/>
    <w:rsid w:val="00513884"/>
    <w:rsid w:val="00513EEF"/>
    <w:rsid w:val="00514608"/>
    <w:rsid w:val="0051492D"/>
    <w:rsid w:val="00514DB8"/>
    <w:rsid w:val="005169E1"/>
    <w:rsid w:val="0051737B"/>
    <w:rsid w:val="00517898"/>
    <w:rsid w:val="00522089"/>
    <w:rsid w:val="0052213B"/>
    <w:rsid w:val="00522745"/>
    <w:rsid w:val="00522B04"/>
    <w:rsid w:val="005242CC"/>
    <w:rsid w:val="00524B3A"/>
    <w:rsid w:val="00524CDE"/>
    <w:rsid w:val="00524D7F"/>
    <w:rsid w:val="00524EC5"/>
    <w:rsid w:val="00525493"/>
    <w:rsid w:val="00526857"/>
    <w:rsid w:val="00526EA9"/>
    <w:rsid w:val="00526FC4"/>
    <w:rsid w:val="00527490"/>
    <w:rsid w:val="00527A85"/>
    <w:rsid w:val="00527B47"/>
    <w:rsid w:val="00527BF8"/>
    <w:rsid w:val="00527ECE"/>
    <w:rsid w:val="00532053"/>
    <w:rsid w:val="00532463"/>
    <w:rsid w:val="00532AFF"/>
    <w:rsid w:val="005330F2"/>
    <w:rsid w:val="00533978"/>
    <w:rsid w:val="00534E11"/>
    <w:rsid w:val="005356AE"/>
    <w:rsid w:val="00540320"/>
    <w:rsid w:val="0054078D"/>
    <w:rsid w:val="0054257D"/>
    <w:rsid w:val="00542911"/>
    <w:rsid w:val="005432E8"/>
    <w:rsid w:val="00543A00"/>
    <w:rsid w:val="00544B60"/>
    <w:rsid w:val="005451D1"/>
    <w:rsid w:val="00546096"/>
    <w:rsid w:val="00546812"/>
    <w:rsid w:val="00547D15"/>
    <w:rsid w:val="00547DCD"/>
    <w:rsid w:val="00547EC1"/>
    <w:rsid w:val="005504B8"/>
    <w:rsid w:val="00550B1C"/>
    <w:rsid w:val="005510C9"/>
    <w:rsid w:val="0055186D"/>
    <w:rsid w:val="0055335D"/>
    <w:rsid w:val="005564FB"/>
    <w:rsid w:val="00556B56"/>
    <w:rsid w:val="00556C21"/>
    <w:rsid w:val="00557214"/>
    <w:rsid w:val="00557769"/>
    <w:rsid w:val="005601FA"/>
    <w:rsid w:val="005624B4"/>
    <w:rsid w:val="00563109"/>
    <w:rsid w:val="005631A1"/>
    <w:rsid w:val="0056324C"/>
    <w:rsid w:val="0056332C"/>
    <w:rsid w:val="0056459F"/>
    <w:rsid w:val="00566297"/>
    <w:rsid w:val="00566AA1"/>
    <w:rsid w:val="00567906"/>
    <w:rsid w:val="00571104"/>
    <w:rsid w:val="005720BB"/>
    <w:rsid w:val="00573C25"/>
    <w:rsid w:val="00573F80"/>
    <w:rsid w:val="00574E21"/>
    <w:rsid w:val="00575E11"/>
    <w:rsid w:val="00576CF6"/>
    <w:rsid w:val="00577253"/>
    <w:rsid w:val="0058012B"/>
    <w:rsid w:val="00580513"/>
    <w:rsid w:val="0058060A"/>
    <w:rsid w:val="005820DC"/>
    <w:rsid w:val="00582845"/>
    <w:rsid w:val="00583235"/>
    <w:rsid w:val="0058351D"/>
    <w:rsid w:val="00583664"/>
    <w:rsid w:val="0059025B"/>
    <w:rsid w:val="00590B4F"/>
    <w:rsid w:val="00590BA5"/>
    <w:rsid w:val="00591381"/>
    <w:rsid w:val="005916F7"/>
    <w:rsid w:val="00593928"/>
    <w:rsid w:val="00593B04"/>
    <w:rsid w:val="00593B86"/>
    <w:rsid w:val="00593D83"/>
    <w:rsid w:val="00593D8D"/>
    <w:rsid w:val="00594818"/>
    <w:rsid w:val="00594891"/>
    <w:rsid w:val="00594C78"/>
    <w:rsid w:val="00595012"/>
    <w:rsid w:val="00595A65"/>
    <w:rsid w:val="00595E69"/>
    <w:rsid w:val="005962D0"/>
    <w:rsid w:val="00596B3F"/>
    <w:rsid w:val="00597D68"/>
    <w:rsid w:val="00597D98"/>
    <w:rsid w:val="005A0648"/>
    <w:rsid w:val="005A18FA"/>
    <w:rsid w:val="005A19CA"/>
    <w:rsid w:val="005A1C33"/>
    <w:rsid w:val="005A1C85"/>
    <w:rsid w:val="005A31C4"/>
    <w:rsid w:val="005A32B3"/>
    <w:rsid w:val="005A380E"/>
    <w:rsid w:val="005A3A5D"/>
    <w:rsid w:val="005A4704"/>
    <w:rsid w:val="005A55C7"/>
    <w:rsid w:val="005A6210"/>
    <w:rsid w:val="005A69B3"/>
    <w:rsid w:val="005A70AE"/>
    <w:rsid w:val="005A7492"/>
    <w:rsid w:val="005A74C9"/>
    <w:rsid w:val="005B06FE"/>
    <w:rsid w:val="005B1284"/>
    <w:rsid w:val="005B1428"/>
    <w:rsid w:val="005B181B"/>
    <w:rsid w:val="005B1AA2"/>
    <w:rsid w:val="005B1D90"/>
    <w:rsid w:val="005B20F0"/>
    <w:rsid w:val="005B313A"/>
    <w:rsid w:val="005B3321"/>
    <w:rsid w:val="005B460B"/>
    <w:rsid w:val="005B53EE"/>
    <w:rsid w:val="005B568B"/>
    <w:rsid w:val="005B584C"/>
    <w:rsid w:val="005B65DD"/>
    <w:rsid w:val="005B68AC"/>
    <w:rsid w:val="005B737F"/>
    <w:rsid w:val="005B77BC"/>
    <w:rsid w:val="005C2050"/>
    <w:rsid w:val="005C2389"/>
    <w:rsid w:val="005C2751"/>
    <w:rsid w:val="005C2D27"/>
    <w:rsid w:val="005C2DF5"/>
    <w:rsid w:val="005C30EF"/>
    <w:rsid w:val="005C4330"/>
    <w:rsid w:val="005C5DC9"/>
    <w:rsid w:val="005C6C51"/>
    <w:rsid w:val="005C6D69"/>
    <w:rsid w:val="005C6EBD"/>
    <w:rsid w:val="005C7B6B"/>
    <w:rsid w:val="005C7D51"/>
    <w:rsid w:val="005D0F0B"/>
    <w:rsid w:val="005D1D02"/>
    <w:rsid w:val="005D2001"/>
    <w:rsid w:val="005D21F8"/>
    <w:rsid w:val="005D3800"/>
    <w:rsid w:val="005D5EAD"/>
    <w:rsid w:val="005D7500"/>
    <w:rsid w:val="005D7B9C"/>
    <w:rsid w:val="005E3942"/>
    <w:rsid w:val="005E39D3"/>
    <w:rsid w:val="005E463E"/>
    <w:rsid w:val="005E4D9C"/>
    <w:rsid w:val="005E4E99"/>
    <w:rsid w:val="005E643D"/>
    <w:rsid w:val="005E730C"/>
    <w:rsid w:val="005F0158"/>
    <w:rsid w:val="005F180F"/>
    <w:rsid w:val="005F1960"/>
    <w:rsid w:val="005F1C5E"/>
    <w:rsid w:val="005F1D6F"/>
    <w:rsid w:val="005F2D76"/>
    <w:rsid w:val="005F6216"/>
    <w:rsid w:val="005F7487"/>
    <w:rsid w:val="005F7A07"/>
    <w:rsid w:val="0060058A"/>
    <w:rsid w:val="00601B32"/>
    <w:rsid w:val="00601BBD"/>
    <w:rsid w:val="00601F77"/>
    <w:rsid w:val="00602176"/>
    <w:rsid w:val="00603FF0"/>
    <w:rsid w:val="006044FD"/>
    <w:rsid w:val="0060481B"/>
    <w:rsid w:val="00605688"/>
    <w:rsid w:val="00606307"/>
    <w:rsid w:val="00607CB8"/>
    <w:rsid w:val="00607DAE"/>
    <w:rsid w:val="0061002E"/>
    <w:rsid w:val="00611B43"/>
    <w:rsid w:val="0061273D"/>
    <w:rsid w:val="00612D88"/>
    <w:rsid w:val="00612DE4"/>
    <w:rsid w:val="00612F84"/>
    <w:rsid w:val="00613509"/>
    <w:rsid w:val="00613DC4"/>
    <w:rsid w:val="006142EF"/>
    <w:rsid w:val="00614AA0"/>
    <w:rsid w:val="00614C74"/>
    <w:rsid w:val="0061614F"/>
    <w:rsid w:val="006163E0"/>
    <w:rsid w:val="006179E9"/>
    <w:rsid w:val="00617B69"/>
    <w:rsid w:val="00617F54"/>
    <w:rsid w:val="006200B5"/>
    <w:rsid w:val="00620634"/>
    <w:rsid w:val="006208E5"/>
    <w:rsid w:val="00620909"/>
    <w:rsid w:val="00621447"/>
    <w:rsid w:val="00621BB3"/>
    <w:rsid w:val="00621CD4"/>
    <w:rsid w:val="006225D5"/>
    <w:rsid w:val="00622FAE"/>
    <w:rsid w:val="0062320B"/>
    <w:rsid w:val="0062412E"/>
    <w:rsid w:val="0062535F"/>
    <w:rsid w:val="006256CA"/>
    <w:rsid w:val="0062578A"/>
    <w:rsid w:val="0062633E"/>
    <w:rsid w:val="00626CBF"/>
    <w:rsid w:val="00626E17"/>
    <w:rsid w:val="006272BB"/>
    <w:rsid w:val="0062787C"/>
    <w:rsid w:val="00631593"/>
    <w:rsid w:val="006316A2"/>
    <w:rsid w:val="00631A8B"/>
    <w:rsid w:val="00633D18"/>
    <w:rsid w:val="00634861"/>
    <w:rsid w:val="0063751C"/>
    <w:rsid w:val="0064069D"/>
    <w:rsid w:val="006408C9"/>
    <w:rsid w:val="00640D3B"/>
    <w:rsid w:val="00641A09"/>
    <w:rsid w:val="006420A9"/>
    <w:rsid w:val="00642CA1"/>
    <w:rsid w:val="00643CF9"/>
    <w:rsid w:val="0064425D"/>
    <w:rsid w:val="0064556E"/>
    <w:rsid w:val="0064582A"/>
    <w:rsid w:val="006517BC"/>
    <w:rsid w:val="00652391"/>
    <w:rsid w:val="00652597"/>
    <w:rsid w:val="00652D9E"/>
    <w:rsid w:val="00652F8C"/>
    <w:rsid w:val="00653D3D"/>
    <w:rsid w:val="00654FA9"/>
    <w:rsid w:val="00655413"/>
    <w:rsid w:val="00655D89"/>
    <w:rsid w:val="00656258"/>
    <w:rsid w:val="0065650A"/>
    <w:rsid w:val="00656579"/>
    <w:rsid w:val="00660904"/>
    <w:rsid w:val="00660A33"/>
    <w:rsid w:val="00661E27"/>
    <w:rsid w:val="006635F3"/>
    <w:rsid w:val="006641C4"/>
    <w:rsid w:val="006642C7"/>
    <w:rsid w:val="0066509D"/>
    <w:rsid w:val="006661A3"/>
    <w:rsid w:val="0066671E"/>
    <w:rsid w:val="006677D0"/>
    <w:rsid w:val="0067110B"/>
    <w:rsid w:val="006716EF"/>
    <w:rsid w:val="00672550"/>
    <w:rsid w:val="0067296D"/>
    <w:rsid w:val="00672A9A"/>
    <w:rsid w:val="00672C0F"/>
    <w:rsid w:val="00674330"/>
    <w:rsid w:val="0067516C"/>
    <w:rsid w:val="006753A9"/>
    <w:rsid w:val="00676C40"/>
    <w:rsid w:val="00676F36"/>
    <w:rsid w:val="0067765C"/>
    <w:rsid w:val="00677761"/>
    <w:rsid w:val="00677E9F"/>
    <w:rsid w:val="006809E6"/>
    <w:rsid w:val="00680A98"/>
    <w:rsid w:val="00680EDE"/>
    <w:rsid w:val="00681F1D"/>
    <w:rsid w:val="00682000"/>
    <w:rsid w:val="0068250E"/>
    <w:rsid w:val="00682C97"/>
    <w:rsid w:val="006834C1"/>
    <w:rsid w:val="00683816"/>
    <w:rsid w:val="00683F11"/>
    <w:rsid w:val="00686289"/>
    <w:rsid w:val="0068662F"/>
    <w:rsid w:val="006869C5"/>
    <w:rsid w:val="00686B76"/>
    <w:rsid w:val="006876A3"/>
    <w:rsid w:val="006876AA"/>
    <w:rsid w:val="00687B80"/>
    <w:rsid w:val="00690176"/>
    <w:rsid w:val="00690417"/>
    <w:rsid w:val="00690A3F"/>
    <w:rsid w:val="00690EEC"/>
    <w:rsid w:val="006925CF"/>
    <w:rsid w:val="00692A0C"/>
    <w:rsid w:val="00692DC8"/>
    <w:rsid w:val="00692F3A"/>
    <w:rsid w:val="00693209"/>
    <w:rsid w:val="006932FC"/>
    <w:rsid w:val="006939D7"/>
    <w:rsid w:val="00693E95"/>
    <w:rsid w:val="006950AF"/>
    <w:rsid w:val="006953FF"/>
    <w:rsid w:val="006955F5"/>
    <w:rsid w:val="0069569F"/>
    <w:rsid w:val="006964F1"/>
    <w:rsid w:val="00696D5D"/>
    <w:rsid w:val="00696EF8"/>
    <w:rsid w:val="0069733A"/>
    <w:rsid w:val="00697DD4"/>
    <w:rsid w:val="006A0890"/>
    <w:rsid w:val="006A2F12"/>
    <w:rsid w:val="006A2F91"/>
    <w:rsid w:val="006A3973"/>
    <w:rsid w:val="006A5725"/>
    <w:rsid w:val="006A6CFB"/>
    <w:rsid w:val="006A6EE0"/>
    <w:rsid w:val="006A759D"/>
    <w:rsid w:val="006B05B5"/>
    <w:rsid w:val="006B077A"/>
    <w:rsid w:val="006B09C1"/>
    <w:rsid w:val="006B0EEE"/>
    <w:rsid w:val="006B13A8"/>
    <w:rsid w:val="006B1FDE"/>
    <w:rsid w:val="006B21A2"/>
    <w:rsid w:val="006B220E"/>
    <w:rsid w:val="006B2DAD"/>
    <w:rsid w:val="006B4755"/>
    <w:rsid w:val="006B4C74"/>
    <w:rsid w:val="006B5474"/>
    <w:rsid w:val="006B5865"/>
    <w:rsid w:val="006B5987"/>
    <w:rsid w:val="006B5B32"/>
    <w:rsid w:val="006B6FF7"/>
    <w:rsid w:val="006B747B"/>
    <w:rsid w:val="006B79BC"/>
    <w:rsid w:val="006C0278"/>
    <w:rsid w:val="006C02FF"/>
    <w:rsid w:val="006C04B5"/>
    <w:rsid w:val="006C0E67"/>
    <w:rsid w:val="006C31D2"/>
    <w:rsid w:val="006C515B"/>
    <w:rsid w:val="006C55EA"/>
    <w:rsid w:val="006C5661"/>
    <w:rsid w:val="006C6E56"/>
    <w:rsid w:val="006C722E"/>
    <w:rsid w:val="006C7AD4"/>
    <w:rsid w:val="006D03EB"/>
    <w:rsid w:val="006D0D0E"/>
    <w:rsid w:val="006D0DA3"/>
    <w:rsid w:val="006D1C6C"/>
    <w:rsid w:val="006D216F"/>
    <w:rsid w:val="006D2A7A"/>
    <w:rsid w:val="006D2BCB"/>
    <w:rsid w:val="006D37BF"/>
    <w:rsid w:val="006D3B38"/>
    <w:rsid w:val="006D3F33"/>
    <w:rsid w:val="006D407A"/>
    <w:rsid w:val="006D4137"/>
    <w:rsid w:val="006D426D"/>
    <w:rsid w:val="006D42A9"/>
    <w:rsid w:val="006D4359"/>
    <w:rsid w:val="006D4A31"/>
    <w:rsid w:val="006D5969"/>
    <w:rsid w:val="006D5AB3"/>
    <w:rsid w:val="006D6712"/>
    <w:rsid w:val="006D683D"/>
    <w:rsid w:val="006D69A3"/>
    <w:rsid w:val="006D7FE7"/>
    <w:rsid w:val="006E0B11"/>
    <w:rsid w:val="006E1D1F"/>
    <w:rsid w:val="006E23EA"/>
    <w:rsid w:val="006E2E8C"/>
    <w:rsid w:val="006E4A49"/>
    <w:rsid w:val="006E506E"/>
    <w:rsid w:val="006E5A01"/>
    <w:rsid w:val="006E5B6E"/>
    <w:rsid w:val="006E610E"/>
    <w:rsid w:val="006E617A"/>
    <w:rsid w:val="006E756C"/>
    <w:rsid w:val="006F07EB"/>
    <w:rsid w:val="006F090B"/>
    <w:rsid w:val="006F12BE"/>
    <w:rsid w:val="006F2751"/>
    <w:rsid w:val="006F2900"/>
    <w:rsid w:val="006F2D8F"/>
    <w:rsid w:val="006F3D82"/>
    <w:rsid w:val="006F450F"/>
    <w:rsid w:val="006F4561"/>
    <w:rsid w:val="006F4B2C"/>
    <w:rsid w:val="006F4B76"/>
    <w:rsid w:val="006F4C88"/>
    <w:rsid w:val="006F50BA"/>
    <w:rsid w:val="006F56C0"/>
    <w:rsid w:val="006F6351"/>
    <w:rsid w:val="006F643A"/>
    <w:rsid w:val="006F6A26"/>
    <w:rsid w:val="006F70AE"/>
    <w:rsid w:val="007007E3"/>
    <w:rsid w:val="00700925"/>
    <w:rsid w:val="00700DA2"/>
    <w:rsid w:val="0070203A"/>
    <w:rsid w:val="0070224D"/>
    <w:rsid w:val="00703CD9"/>
    <w:rsid w:val="00703DE0"/>
    <w:rsid w:val="00703EFA"/>
    <w:rsid w:val="007044BD"/>
    <w:rsid w:val="0070461E"/>
    <w:rsid w:val="00704E3A"/>
    <w:rsid w:val="00704F2C"/>
    <w:rsid w:val="007058C8"/>
    <w:rsid w:val="00705F1C"/>
    <w:rsid w:val="0071225A"/>
    <w:rsid w:val="00712707"/>
    <w:rsid w:val="00712E34"/>
    <w:rsid w:val="00713674"/>
    <w:rsid w:val="00713C0A"/>
    <w:rsid w:val="007141D8"/>
    <w:rsid w:val="007145A8"/>
    <w:rsid w:val="007153E3"/>
    <w:rsid w:val="007155B9"/>
    <w:rsid w:val="0071566D"/>
    <w:rsid w:val="00715B1D"/>
    <w:rsid w:val="00715B5E"/>
    <w:rsid w:val="00715C35"/>
    <w:rsid w:val="00717161"/>
    <w:rsid w:val="007171B8"/>
    <w:rsid w:val="007179C2"/>
    <w:rsid w:val="00717B64"/>
    <w:rsid w:val="00720112"/>
    <w:rsid w:val="007209F3"/>
    <w:rsid w:val="00721420"/>
    <w:rsid w:val="0072228D"/>
    <w:rsid w:val="00722D52"/>
    <w:rsid w:val="00723A94"/>
    <w:rsid w:val="007250D1"/>
    <w:rsid w:val="007251C0"/>
    <w:rsid w:val="007251C8"/>
    <w:rsid w:val="007258D3"/>
    <w:rsid w:val="00725F19"/>
    <w:rsid w:val="00726E76"/>
    <w:rsid w:val="007271CF"/>
    <w:rsid w:val="00727298"/>
    <w:rsid w:val="00731EC6"/>
    <w:rsid w:val="007320C4"/>
    <w:rsid w:val="0073262F"/>
    <w:rsid w:val="00732B23"/>
    <w:rsid w:val="00732B57"/>
    <w:rsid w:val="00732F53"/>
    <w:rsid w:val="0073387D"/>
    <w:rsid w:val="00733AEB"/>
    <w:rsid w:val="00734D1E"/>
    <w:rsid w:val="00735202"/>
    <w:rsid w:val="00736541"/>
    <w:rsid w:val="00736BEB"/>
    <w:rsid w:val="00737A13"/>
    <w:rsid w:val="00737AE3"/>
    <w:rsid w:val="00737C05"/>
    <w:rsid w:val="00741882"/>
    <w:rsid w:val="00742E43"/>
    <w:rsid w:val="00743832"/>
    <w:rsid w:val="007449DA"/>
    <w:rsid w:val="007459CD"/>
    <w:rsid w:val="00746946"/>
    <w:rsid w:val="00746A02"/>
    <w:rsid w:val="00750AF8"/>
    <w:rsid w:val="00750EE3"/>
    <w:rsid w:val="00750F02"/>
    <w:rsid w:val="0075143A"/>
    <w:rsid w:val="007519E9"/>
    <w:rsid w:val="00751FC8"/>
    <w:rsid w:val="0075257B"/>
    <w:rsid w:val="0075260E"/>
    <w:rsid w:val="0075275D"/>
    <w:rsid w:val="007536C0"/>
    <w:rsid w:val="007539BC"/>
    <w:rsid w:val="007556E4"/>
    <w:rsid w:val="007566E3"/>
    <w:rsid w:val="00757307"/>
    <w:rsid w:val="00757385"/>
    <w:rsid w:val="00757C2A"/>
    <w:rsid w:val="00760318"/>
    <w:rsid w:val="007603FE"/>
    <w:rsid w:val="007616B2"/>
    <w:rsid w:val="007618DC"/>
    <w:rsid w:val="00761A95"/>
    <w:rsid w:val="007631D2"/>
    <w:rsid w:val="007642CA"/>
    <w:rsid w:val="00765700"/>
    <w:rsid w:val="00765BD2"/>
    <w:rsid w:val="00765E08"/>
    <w:rsid w:val="0076605B"/>
    <w:rsid w:val="0076634F"/>
    <w:rsid w:val="0076704A"/>
    <w:rsid w:val="007671BD"/>
    <w:rsid w:val="007677A2"/>
    <w:rsid w:val="00767EB4"/>
    <w:rsid w:val="00770699"/>
    <w:rsid w:val="00770DAD"/>
    <w:rsid w:val="00771203"/>
    <w:rsid w:val="00771760"/>
    <w:rsid w:val="00771A30"/>
    <w:rsid w:val="00771ABC"/>
    <w:rsid w:val="0077217A"/>
    <w:rsid w:val="0077256B"/>
    <w:rsid w:val="00772FCE"/>
    <w:rsid w:val="0077389E"/>
    <w:rsid w:val="007739CA"/>
    <w:rsid w:val="00774F00"/>
    <w:rsid w:val="007762B8"/>
    <w:rsid w:val="00776A9C"/>
    <w:rsid w:val="00777002"/>
    <w:rsid w:val="00777C54"/>
    <w:rsid w:val="0078054A"/>
    <w:rsid w:val="00780649"/>
    <w:rsid w:val="00780F9B"/>
    <w:rsid w:val="00781CB9"/>
    <w:rsid w:val="00782928"/>
    <w:rsid w:val="00782A15"/>
    <w:rsid w:val="0078332E"/>
    <w:rsid w:val="007836A1"/>
    <w:rsid w:val="00783AE1"/>
    <w:rsid w:val="00784144"/>
    <w:rsid w:val="00784873"/>
    <w:rsid w:val="00785155"/>
    <w:rsid w:val="007853E4"/>
    <w:rsid w:val="00785D62"/>
    <w:rsid w:val="007860A4"/>
    <w:rsid w:val="00786616"/>
    <w:rsid w:val="0078695C"/>
    <w:rsid w:val="00787473"/>
    <w:rsid w:val="00787556"/>
    <w:rsid w:val="00787FE6"/>
    <w:rsid w:val="00791424"/>
    <w:rsid w:val="007920F0"/>
    <w:rsid w:val="007934D9"/>
    <w:rsid w:val="007943CC"/>
    <w:rsid w:val="00794641"/>
    <w:rsid w:val="0079505E"/>
    <w:rsid w:val="00796BF2"/>
    <w:rsid w:val="007979CC"/>
    <w:rsid w:val="007A0461"/>
    <w:rsid w:val="007A05CF"/>
    <w:rsid w:val="007A0A57"/>
    <w:rsid w:val="007A0CC5"/>
    <w:rsid w:val="007A101A"/>
    <w:rsid w:val="007A13EE"/>
    <w:rsid w:val="007A3F21"/>
    <w:rsid w:val="007A49B4"/>
    <w:rsid w:val="007A4B01"/>
    <w:rsid w:val="007A56A8"/>
    <w:rsid w:val="007A61A4"/>
    <w:rsid w:val="007A626B"/>
    <w:rsid w:val="007A6E5C"/>
    <w:rsid w:val="007A7EF2"/>
    <w:rsid w:val="007B0D1A"/>
    <w:rsid w:val="007B137E"/>
    <w:rsid w:val="007B1A9B"/>
    <w:rsid w:val="007B1E8D"/>
    <w:rsid w:val="007B3352"/>
    <w:rsid w:val="007B3FF6"/>
    <w:rsid w:val="007B457D"/>
    <w:rsid w:val="007B4F86"/>
    <w:rsid w:val="007B597E"/>
    <w:rsid w:val="007B5E85"/>
    <w:rsid w:val="007B5FF8"/>
    <w:rsid w:val="007B6042"/>
    <w:rsid w:val="007B6FD2"/>
    <w:rsid w:val="007B7BAD"/>
    <w:rsid w:val="007B7C71"/>
    <w:rsid w:val="007C3223"/>
    <w:rsid w:val="007C347F"/>
    <w:rsid w:val="007C3CCD"/>
    <w:rsid w:val="007C4C97"/>
    <w:rsid w:val="007C5567"/>
    <w:rsid w:val="007C5CE0"/>
    <w:rsid w:val="007C5E3E"/>
    <w:rsid w:val="007C6916"/>
    <w:rsid w:val="007C7888"/>
    <w:rsid w:val="007C7A29"/>
    <w:rsid w:val="007C7F09"/>
    <w:rsid w:val="007D04F6"/>
    <w:rsid w:val="007D0930"/>
    <w:rsid w:val="007D0AF3"/>
    <w:rsid w:val="007D1D92"/>
    <w:rsid w:val="007D245A"/>
    <w:rsid w:val="007D3415"/>
    <w:rsid w:val="007D3EB8"/>
    <w:rsid w:val="007D4586"/>
    <w:rsid w:val="007D4862"/>
    <w:rsid w:val="007D55F9"/>
    <w:rsid w:val="007D6E88"/>
    <w:rsid w:val="007D7019"/>
    <w:rsid w:val="007D74CE"/>
    <w:rsid w:val="007D7638"/>
    <w:rsid w:val="007D7756"/>
    <w:rsid w:val="007D7AE6"/>
    <w:rsid w:val="007E00E6"/>
    <w:rsid w:val="007E07C2"/>
    <w:rsid w:val="007E1C60"/>
    <w:rsid w:val="007E27E5"/>
    <w:rsid w:val="007E360D"/>
    <w:rsid w:val="007E39B7"/>
    <w:rsid w:val="007E3B43"/>
    <w:rsid w:val="007E43FF"/>
    <w:rsid w:val="007E4468"/>
    <w:rsid w:val="007E52B9"/>
    <w:rsid w:val="007E5724"/>
    <w:rsid w:val="007E6BEF"/>
    <w:rsid w:val="007E73FE"/>
    <w:rsid w:val="007E75B4"/>
    <w:rsid w:val="007E765A"/>
    <w:rsid w:val="007E788E"/>
    <w:rsid w:val="007E7C46"/>
    <w:rsid w:val="007F02C2"/>
    <w:rsid w:val="007F0A70"/>
    <w:rsid w:val="007F1499"/>
    <w:rsid w:val="007F170F"/>
    <w:rsid w:val="007F1B6D"/>
    <w:rsid w:val="007F2877"/>
    <w:rsid w:val="007F2D65"/>
    <w:rsid w:val="007F3399"/>
    <w:rsid w:val="007F4D42"/>
    <w:rsid w:val="007F65DF"/>
    <w:rsid w:val="007F7EFD"/>
    <w:rsid w:val="007F7FB8"/>
    <w:rsid w:val="007F7FD5"/>
    <w:rsid w:val="008004DB"/>
    <w:rsid w:val="0080070D"/>
    <w:rsid w:val="00800A62"/>
    <w:rsid w:val="00800E4B"/>
    <w:rsid w:val="00801F27"/>
    <w:rsid w:val="00802DE6"/>
    <w:rsid w:val="00802EFF"/>
    <w:rsid w:val="0080307C"/>
    <w:rsid w:val="008033EA"/>
    <w:rsid w:val="00803756"/>
    <w:rsid w:val="00804ED4"/>
    <w:rsid w:val="008054A6"/>
    <w:rsid w:val="00805E48"/>
    <w:rsid w:val="00806A5A"/>
    <w:rsid w:val="008077C9"/>
    <w:rsid w:val="00807F39"/>
    <w:rsid w:val="00810519"/>
    <w:rsid w:val="00810E1C"/>
    <w:rsid w:val="00811AF9"/>
    <w:rsid w:val="00811CF4"/>
    <w:rsid w:val="00811D4D"/>
    <w:rsid w:val="0081217D"/>
    <w:rsid w:val="00814D3D"/>
    <w:rsid w:val="008158C3"/>
    <w:rsid w:val="0081595F"/>
    <w:rsid w:val="008200C1"/>
    <w:rsid w:val="00821456"/>
    <w:rsid w:val="00821F13"/>
    <w:rsid w:val="00822180"/>
    <w:rsid w:val="008226F8"/>
    <w:rsid w:val="0082376A"/>
    <w:rsid w:val="008244D0"/>
    <w:rsid w:val="008258E9"/>
    <w:rsid w:val="00825D4B"/>
    <w:rsid w:val="0082761D"/>
    <w:rsid w:val="00830A40"/>
    <w:rsid w:val="00830D9A"/>
    <w:rsid w:val="0083137E"/>
    <w:rsid w:val="00832FFB"/>
    <w:rsid w:val="008339EC"/>
    <w:rsid w:val="00834007"/>
    <w:rsid w:val="0083466D"/>
    <w:rsid w:val="0083476F"/>
    <w:rsid w:val="00835F5D"/>
    <w:rsid w:val="00836720"/>
    <w:rsid w:val="008369BF"/>
    <w:rsid w:val="00836F2C"/>
    <w:rsid w:val="00840BEA"/>
    <w:rsid w:val="00840BFD"/>
    <w:rsid w:val="00841A07"/>
    <w:rsid w:val="00842331"/>
    <w:rsid w:val="00842800"/>
    <w:rsid w:val="00842B83"/>
    <w:rsid w:val="00842F99"/>
    <w:rsid w:val="00843297"/>
    <w:rsid w:val="008432B5"/>
    <w:rsid w:val="0084485B"/>
    <w:rsid w:val="0084531E"/>
    <w:rsid w:val="00845361"/>
    <w:rsid w:val="00845D3D"/>
    <w:rsid w:val="00846B2D"/>
    <w:rsid w:val="00846EE7"/>
    <w:rsid w:val="00850177"/>
    <w:rsid w:val="00850313"/>
    <w:rsid w:val="0085045E"/>
    <w:rsid w:val="0085087D"/>
    <w:rsid w:val="00852DCE"/>
    <w:rsid w:val="00853A70"/>
    <w:rsid w:val="00853FFA"/>
    <w:rsid w:val="008552B9"/>
    <w:rsid w:val="008552DA"/>
    <w:rsid w:val="008554FD"/>
    <w:rsid w:val="00855C6F"/>
    <w:rsid w:val="00855FA3"/>
    <w:rsid w:val="0085629D"/>
    <w:rsid w:val="008565E2"/>
    <w:rsid w:val="008570BA"/>
    <w:rsid w:val="0085754B"/>
    <w:rsid w:val="00857AC8"/>
    <w:rsid w:val="00861293"/>
    <w:rsid w:val="008618A6"/>
    <w:rsid w:val="0086190B"/>
    <w:rsid w:val="008619FF"/>
    <w:rsid w:val="00861A7D"/>
    <w:rsid w:val="00863004"/>
    <w:rsid w:val="00863ADD"/>
    <w:rsid w:val="008640FD"/>
    <w:rsid w:val="008644F8"/>
    <w:rsid w:val="0086496B"/>
    <w:rsid w:val="00864A94"/>
    <w:rsid w:val="008661D7"/>
    <w:rsid w:val="008665A8"/>
    <w:rsid w:val="0086725E"/>
    <w:rsid w:val="00867B1D"/>
    <w:rsid w:val="008713AD"/>
    <w:rsid w:val="00872326"/>
    <w:rsid w:val="00873B2A"/>
    <w:rsid w:val="00873C58"/>
    <w:rsid w:val="0087456C"/>
    <w:rsid w:val="00875606"/>
    <w:rsid w:val="008768AA"/>
    <w:rsid w:val="00876EE1"/>
    <w:rsid w:val="0088049A"/>
    <w:rsid w:val="008806E1"/>
    <w:rsid w:val="00880BB1"/>
    <w:rsid w:val="0088249F"/>
    <w:rsid w:val="00882752"/>
    <w:rsid w:val="00882A43"/>
    <w:rsid w:val="00883717"/>
    <w:rsid w:val="0088479C"/>
    <w:rsid w:val="00884A70"/>
    <w:rsid w:val="008855C1"/>
    <w:rsid w:val="008857ED"/>
    <w:rsid w:val="00885B2C"/>
    <w:rsid w:val="00886304"/>
    <w:rsid w:val="008865AD"/>
    <w:rsid w:val="00886995"/>
    <w:rsid w:val="0088723B"/>
    <w:rsid w:val="0088753C"/>
    <w:rsid w:val="00887754"/>
    <w:rsid w:val="00887DF0"/>
    <w:rsid w:val="0089005B"/>
    <w:rsid w:val="00890543"/>
    <w:rsid w:val="00891723"/>
    <w:rsid w:val="00891EEE"/>
    <w:rsid w:val="00892FC2"/>
    <w:rsid w:val="00894FAF"/>
    <w:rsid w:val="008953B6"/>
    <w:rsid w:val="00895711"/>
    <w:rsid w:val="00896747"/>
    <w:rsid w:val="00896A86"/>
    <w:rsid w:val="00896ECB"/>
    <w:rsid w:val="00897075"/>
    <w:rsid w:val="00897310"/>
    <w:rsid w:val="00897B91"/>
    <w:rsid w:val="008A0CEF"/>
    <w:rsid w:val="008A16D4"/>
    <w:rsid w:val="008A219C"/>
    <w:rsid w:val="008A2DDD"/>
    <w:rsid w:val="008A324D"/>
    <w:rsid w:val="008A3961"/>
    <w:rsid w:val="008A3DFB"/>
    <w:rsid w:val="008A449D"/>
    <w:rsid w:val="008A4A88"/>
    <w:rsid w:val="008A4E92"/>
    <w:rsid w:val="008A4F8D"/>
    <w:rsid w:val="008A5020"/>
    <w:rsid w:val="008A5F41"/>
    <w:rsid w:val="008A6760"/>
    <w:rsid w:val="008A7308"/>
    <w:rsid w:val="008A73EC"/>
    <w:rsid w:val="008A7AFD"/>
    <w:rsid w:val="008B07D3"/>
    <w:rsid w:val="008B149C"/>
    <w:rsid w:val="008B1E41"/>
    <w:rsid w:val="008B229A"/>
    <w:rsid w:val="008B26B7"/>
    <w:rsid w:val="008B39A6"/>
    <w:rsid w:val="008B4D69"/>
    <w:rsid w:val="008B59A3"/>
    <w:rsid w:val="008B6BE8"/>
    <w:rsid w:val="008B74B3"/>
    <w:rsid w:val="008B79D8"/>
    <w:rsid w:val="008B7A58"/>
    <w:rsid w:val="008C1153"/>
    <w:rsid w:val="008C16D7"/>
    <w:rsid w:val="008C1EE5"/>
    <w:rsid w:val="008C1FB8"/>
    <w:rsid w:val="008C29A9"/>
    <w:rsid w:val="008C2F79"/>
    <w:rsid w:val="008C300C"/>
    <w:rsid w:val="008C3ABE"/>
    <w:rsid w:val="008C41FC"/>
    <w:rsid w:val="008C42A0"/>
    <w:rsid w:val="008C5036"/>
    <w:rsid w:val="008C66F1"/>
    <w:rsid w:val="008C71AE"/>
    <w:rsid w:val="008C7316"/>
    <w:rsid w:val="008C7C4F"/>
    <w:rsid w:val="008C7CBD"/>
    <w:rsid w:val="008D07EE"/>
    <w:rsid w:val="008D0DB0"/>
    <w:rsid w:val="008D1FB2"/>
    <w:rsid w:val="008D209F"/>
    <w:rsid w:val="008D227F"/>
    <w:rsid w:val="008D2438"/>
    <w:rsid w:val="008D3651"/>
    <w:rsid w:val="008D6A04"/>
    <w:rsid w:val="008E0D66"/>
    <w:rsid w:val="008E107C"/>
    <w:rsid w:val="008E1280"/>
    <w:rsid w:val="008E1F44"/>
    <w:rsid w:val="008E2863"/>
    <w:rsid w:val="008E295E"/>
    <w:rsid w:val="008E2BF7"/>
    <w:rsid w:val="008E4306"/>
    <w:rsid w:val="008E5AC1"/>
    <w:rsid w:val="008F1F27"/>
    <w:rsid w:val="008F347E"/>
    <w:rsid w:val="008F3B7E"/>
    <w:rsid w:val="008F6235"/>
    <w:rsid w:val="008F624D"/>
    <w:rsid w:val="008F6259"/>
    <w:rsid w:val="008F6444"/>
    <w:rsid w:val="008F6BB8"/>
    <w:rsid w:val="008F6DBA"/>
    <w:rsid w:val="008F7357"/>
    <w:rsid w:val="0090123A"/>
    <w:rsid w:val="009017D0"/>
    <w:rsid w:val="00902DEB"/>
    <w:rsid w:val="00903313"/>
    <w:rsid w:val="00903AE5"/>
    <w:rsid w:val="00904830"/>
    <w:rsid w:val="009048A5"/>
    <w:rsid w:val="00905A86"/>
    <w:rsid w:val="00905C63"/>
    <w:rsid w:val="009060A2"/>
    <w:rsid w:val="0090634C"/>
    <w:rsid w:val="009106AD"/>
    <w:rsid w:val="00910DBE"/>
    <w:rsid w:val="0091265C"/>
    <w:rsid w:val="009128C2"/>
    <w:rsid w:val="0091371A"/>
    <w:rsid w:val="00914977"/>
    <w:rsid w:val="00914B8A"/>
    <w:rsid w:val="00914E39"/>
    <w:rsid w:val="0091583C"/>
    <w:rsid w:val="009162C1"/>
    <w:rsid w:val="00920568"/>
    <w:rsid w:val="009205B0"/>
    <w:rsid w:val="009224F1"/>
    <w:rsid w:val="00922F18"/>
    <w:rsid w:val="009235B0"/>
    <w:rsid w:val="009237EF"/>
    <w:rsid w:val="00924783"/>
    <w:rsid w:val="00924B0C"/>
    <w:rsid w:val="00924DCC"/>
    <w:rsid w:val="00925411"/>
    <w:rsid w:val="00925B55"/>
    <w:rsid w:val="00925DB0"/>
    <w:rsid w:val="009263E3"/>
    <w:rsid w:val="00926ED4"/>
    <w:rsid w:val="00926F9A"/>
    <w:rsid w:val="00927DD8"/>
    <w:rsid w:val="00930BF1"/>
    <w:rsid w:val="009312DC"/>
    <w:rsid w:val="0093135D"/>
    <w:rsid w:val="00932E5C"/>
    <w:rsid w:val="0093301C"/>
    <w:rsid w:val="00933306"/>
    <w:rsid w:val="009334CD"/>
    <w:rsid w:val="00933D8B"/>
    <w:rsid w:val="009341BE"/>
    <w:rsid w:val="00934417"/>
    <w:rsid w:val="0093480B"/>
    <w:rsid w:val="00934B76"/>
    <w:rsid w:val="00934C30"/>
    <w:rsid w:val="0093583C"/>
    <w:rsid w:val="00935D20"/>
    <w:rsid w:val="00936311"/>
    <w:rsid w:val="00940736"/>
    <w:rsid w:val="00940803"/>
    <w:rsid w:val="00940B7B"/>
    <w:rsid w:val="00940C77"/>
    <w:rsid w:val="00940DCE"/>
    <w:rsid w:val="009411C3"/>
    <w:rsid w:val="00941610"/>
    <w:rsid w:val="00941E66"/>
    <w:rsid w:val="0094273C"/>
    <w:rsid w:val="00942C0E"/>
    <w:rsid w:val="00942D29"/>
    <w:rsid w:val="00942EE0"/>
    <w:rsid w:val="009440F6"/>
    <w:rsid w:val="009443E3"/>
    <w:rsid w:val="009459DC"/>
    <w:rsid w:val="00945EFD"/>
    <w:rsid w:val="00946D82"/>
    <w:rsid w:val="00946F48"/>
    <w:rsid w:val="00947A64"/>
    <w:rsid w:val="0095108B"/>
    <w:rsid w:val="00951A4B"/>
    <w:rsid w:val="00952A15"/>
    <w:rsid w:val="009534A9"/>
    <w:rsid w:val="009536E7"/>
    <w:rsid w:val="00953AAD"/>
    <w:rsid w:val="00953CF3"/>
    <w:rsid w:val="00953DCF"/>
    <w:rsid w:val="009541C0"/>
    <w:rsid w:val="009549A5"/>
    <w:rsid w:val="00954AA2"/>
    <w:rsid w:val="009551BE"/>
    <w:rsid w:val="0095522E"/>
    <w:rsid w:val="009603F7"/>
    <w:rsid w:val="00960B8B"/>
    <w:rsid w:val="00961544"/>
    <w:rsid w:val="009615D8"/>
    <w:rsid w:val="00961776"/>
    <w:rsid w:val="00961F7B"/>
    <w:rsid w:val="009644FA"/>
    <w:rsid w:val="0096486C"/>
    <w:rsid w:val="00964A50"/>
    <w:rsid w:val="00964AD5"/>
    <w:rsid w:val="00964B37"/>
    <w:rsid w:val="00964CB6"/>
    <w:rsid w:val="00965088"/>
    <w:rsid w:val="0096534F"/>
    <w:rsid w:val="009656EC"/>
    <w:rsid w:val="0096580E"/>
    <w:rsid w:val="00965CE0"/>
    <w:rsid w:val="00965EA5"/>
    <w:rsid w:val="00967B13"/>
    <w:rsid w:val="00967E7E"/>
    <w:rsid w:val="009701ED"/>
    <w:rsid w:val="00970BE5"/>
    <w:rsid w:val="00970CB1"/>
    <w:rsid w:val="00971EC5"/>
    <w:rsid w:val="00971FA6"/>
    <w:rsid w:val="00973A0A"/>
    <w:rsid w:val="00976676"/>
    <w:rsid w:val="00977B86"/>
    <w:rsid w:val="00980349"/>
    <w:rsid w:val="0098177E"/>
    <w:rsid w:val="00981958"/>
    <w:rsid w:val="00983851"/>
    <w:rsid w:val="009838FE"/>
    <w:rsid w:val="00984836"/>
    <w:rsid w:val="00984A68"/>
    <w:rsid w:val="00984D17"/>
    <w:rsid w:val="00984EBD"/>
    <w:rsid w:val="00984FDF"/>
    <w:rsid w:val="0098558B"/>
    <w:rsid w:val="00985784"/>
    <w:rsid w:val="009858EA"/>
    <w:rsid w:val="00986530"/>
    <w:rsid w:val="00987569"/>
    <w:rsid w:val="009878AF"/>
    <w:rsid w:val="00990184"/>
    <w:rsid w:val="0099021B"/>
    <w:rsid w:val="0099059D"/>
    <w:rsid w:val="00991850"/>
    <w:rsid w:val="00991B13"/>
    <w:rsid w:val="00991DE7"/>
    <w:rsid w:val="00992059"/>
    <w:rsid w:val="00992373"/>
    <w:rsid w:val="00994AA2"/>
    <w:rsid w:val="00994F7C"/>
    <w:rsid w:val="0099577B"/>
    <w:rsid w:val="00996AB2"/>
    <w:rsid w:val="00997522"/>
    <w:rsid w:val="009A0005"/>
    <w:rsid w:val="009A0730"/>
    <w:rsid w:val="009A083D"/>
    <w:rsid w:val="009A0BA6"/>
    <w:rsid w:val="009A0ECB"/>
    <w:rsid w:val="009A176A"/>
    <w:rsid w:val="009A1838"/>
    <w:rsid w:val="009A25B8"/>
    <w:rsid w:val="009A335B"/>
    <w:rsid w:val="009A3E5B"/>
    <w:rsid w:val="009A518C"/>
    <w:rsid w:val="009A5A55"/>
    <w:rsid w:val="009A5B11"/>
    <w:rsid w:val="009A6595"/>
    <w:rsid w:val="009A742E"/>
    <w:rsid w:val="009A7EC8"/>
    <w:rsid w:val="009A7EDD"/>
    <w:rsid w:val="009B1AA0"/>
    <w:rsid w:val="009B2E7C"/>
    <w:rsid w:val="009B3032"/>
    <w:rsid w:val="009B3F19"/>
    <w:rsid w:val="009B50D5"/>
    <w:rsid w:val="009B5829"/>
    <w:rsid w:val="009B6034"/>
    <w:rsid w:val="009B74C2"/>
    <w:rsid w:val="009B7B96"/>
    <w:rsid w:val="009C03EB"/>
    <w:rsid w:val="009C1213"/>
    <w:rsid w:val="009C17DA"/>
    <w:rsid w:val="009C2D66"/>
    <w:rsid w:val="009C3844"/>
    <w:rsid w:val="009C3B32"/>
    <w:rsid w:val="009C3DC7"/>
    <w:rsid w:val="009C58A3"/>
    <w:rsid w:val="009C6BBA"/>
    <w:rsid w:val="009C6DA8"/>
    <w:rsid w:val="009C7067"/>
    <w:rsid w:val="009C70EC"/>
    <w:rsid w:val="009C7767"/>
    <w:rsid w:val="009C7BF7"/>
    <w:rsid w:val="009D1323"/>
    <w:rsid w:val="009D1502"/>
    <w:rsid w:val="009D1BFC"/>
    <w:rsid w:val="009D26BF"/>
    <w:rsid w:val="009D2A68"/>
    <w:rsid w:val="009D323C"/>
    <w:rsid w:val="009D381E"/>
    <w:rsid w:val="009D3CEE"/>
    <w:rsid w:val="009D41B1"/>
    <w:rsid w:val="009D5087"/>
    <w:rsid w:val="009E00B7"/>
    <w:rsid w:val="009E0466"/>
    <w:rsid w:val="009E051E"/>
    <w:rsid w:val="009E0F50"/>
    <w:rsid w:val="009E10A6"/>
    <w:rsid w:val="009E12B9"/>
    <w:rsid w:val="009E14B7"/>
    <w:rsid w:val="009E1DFE"/>
    <w:rsid w:val="009E1EBD"/>
    <w:rsid w:val="009E2CEB"/>
    <w:rsid w:val="009E4683"/>
    <w:rsid w:val="009E48E4"/>
    <w:rsid w:val="009E4B25"/>
    <w:rsid w:val="009E4B76"/>
    <w:rsid w:val="009E4E57"/>
    <w:rsid w:val="009E4FBD"/>
    <w:rsid w:val="009E524C"/>
    <w:rsid w:val="009E53AE"/>
    <w:rsid w:val="009E5B62"/>
    <w:rsid w:val="009E69F5"/>
    <w:rsid w:val="009E6E19"/>
    <w:rsid w:val="009E6E4D"/>
    <w:rsid w:val="009E7C00"/>
    <w:rsid w:val="009E7C34"/>
    <w:rsid w:val="009F096F"/>
    <w:rsid w:val="009F0BE2"/>
    <w:rsid w:val="009F0E6E"/>
    <w:rsid w:val="009F19C9"/>
    <w:rsid w:val="009F2205"/>
    <w:rsid w:val="009F2239"/>
    <w:rsid w:val="009F291E"/>
    <w:rsid w:val="009F40B2"/>
    <w:rsid w:val="009F42E1"/>
    <w:rsid w:val="009F4ED2"/>
    <w:rsid w:val="009F53F5"/>
    <w:rsid w:val="009F5D84"/>
    <w:rsid w:val="009F6379"/>
    <w:rsid w:val="009F6ADB"/>
    <w:rsid w:val="009F6B69"/>
    <w:rsid w:val="009F7831"/>
    <w:rsid w:val="009F7EB5"/>
    <w:rsid w:val="00A003DC"/>
    <w:rsid w:val="00A0135A"/>
    <w:rsid w:val="00A0145C"/>
    <w:rsid w:val="00A01ACE"/>
    <w:rsid w:val="00A01FCF"/>
    <w:rsid w:val="00A02540"/>
    <w:rsid w:val="00A027F5"/>
    <w:rsid w:val="00A036AA"/>
    <w:rsid w:val="00A03D37"/>
    <w:rsid w:val="00A04188"/>
    <w:rsid w:val="00A0446C"/>
    <w:rsid w:val="00A04908"/>
    <w:rsid w:val="00A0642C"/>
    <w:rsid w:val="00A0674C"/>
    <w:rsid w:val="00A06F46"/>
    <w:rsid w:val="00A074CF"/>
    <w:rsid w:val="00A1003C"/>
    <w:rsid w:val="00A10ECC"/>
    <w:rsid w:val="00A11098"/>
    <w:rsid w:val="00A1145C"/>
    <w:rsid w:val="00A121A2"/>
    <w:rsid w:val="00A12234"/>
    <w:rsid w:val="00A12976"/>
    <w:rsid w:val="00A12B4C"/>
    <w:rsid w:val="00A130E6"/>
    <w:rsid w:val="00A13773"/>
    <w:rsid w:val="00A14815"/>
    <w:rsid w:val="00A15D4E"/>
    <w:rsid w:val="00A1619E"/>
    <w:rsid w:val="00A16227"/>
    <w:rsid w:val="00A2000E"/>
    <w:rsid w:val="00A206A2"/>
    <w:rsid w:val="00A20E3D"/>
    <w:rsid w:val="00A223B6"/>
    <w:rsid w:val="00A22BB2"/>
    <w:rsid w:val="00A22C32"/>
    <w:rsid w:val="00A23B8B"/>
    <w:rsid w:val="00A24B0D"/>
    <w:rsid w:val="00A2527B"/>
    <w:rsid w:val="00A270A4"/>
    <w:rsid w:val="00A27E9D"/>
    <w:rsid w:val="00A306CF"/>
    <w:rsid w:val="00A30EBF"/>
    <w:rsid w:val="00A312E8"/>
    <w:rsid w:val="00A33B50"/>
    <w:rsid w:val="00A34A99"/>
    <w:rsid w:val="00A35286"/>
    <w:rsid w:val="00A35373"/>
    <w:rsid w:val="00A357F2"/>
    <w:rsid w:val="00A3790E"/>
    <w:rsid w:val="00A37D2C"/>
    <w:rsid w:val="00A40077"/>
    <w:rsid w:val="00A4027A"/>
    <w:rsid w:val="00A4078B"/>
    <w:rsid w:val="00A40836"/>
    <w:rsid w:val="00A40ABF"/>
    <w:rsid w:val="00A40CD6"/>
    <w:rsid w:val="00A413F0"/>
    <w:rsid w:val="00A41403"/>
    <w:rsid w:val="00A41687"/>
    <w:rsid w:val="00A416E1"/>
    <w:rsid w:val="00A41780"/>
    <w:rsid w:val="00A4229F"/>
    <w:rsid w:val="00A427DC"/>
    <w:rsid w:val="00A42D22"/>
    <w:rsid w:val="00A43B54"/>
    <w:rsid w:val="00A43BA7"/>
    <w:rsid w:val="00A44754"/>
    <w:rsid w:val="00A4476B"/>
    <w:rsid w:val="00A449E5"/>
    <w:rsid w:val="00A45469"/>
    <w:rsid w:val="00A45599"/>
    <w:rsid w:val="00A455A3"/>
    <w:rsid w:val="00A45E85"/>
    <w:rsid w:val="00A460EC"/>
    <w:rsid w:val="00A466A8"/>
    <w:rsid w:val="00A46754"/>
    <w:rsid w:val="00A478FD"/>
    <w:rsid w:val="00A50BE0"/>
    <w:rsid w:val="00A51FF4"/>
    <w:rsid w:val="00A523BF"/>
    <w:rsid w:val="00A52A52"/>
    <w:rsid w:val="00A52E1A"/>
    <w:rsid w:val="00A52E7C"/>
    <w:rsid w:val="00A5324F"/>
    <w:rsid w:val="00A5452A"/>
    <w:rsid w:val="00A56E0A"/>
    <w:rsid w:val="00A57CA7"/>
    <w:rsid w:val="00A57CAB"/>
    <w:rsid w:val="00A57DC5"/>
    <w:rsid w:val="00A57F45"/>
    <w:rsid w:val="00A6021B"/>
    <w:rsid w:val="00A6028C"/>
    <w:rsid w:val="00A60D7C"/>
    <w:rsid w:val="00A6128B"/>
    <w:rsid w:val="00A617D6"/>
    <w:rsid w:val="00A61F38"/>
    <w:rsid w:val="00A624D4"/>
    <w:rsid w:val="00A62528"/>
    <w:rsid w:val="00A6394A"/>
    <w:rsid w:val="00A639B9"/>
    <w:rsid w:val="00A646A2"/>
    <w:rsid w:val="00A64E89"/>
    <w:rsid w:val="00A658BB"/>
    <w:rsid w:val="00A66452"/>
    <w:rsid w:val="00A6748F"/>
    <w:rsid w:val="00A7065C"/>
    <w:rsid w:val="00A7124C"/>
    <w:rsid w:val="00A71623"/>
    <w:rsid w:val="00A71776"/>
    <w:rsid w:val="00A71866"/>
    <w:rsid w:val="00A71ED0"/>
    <w:rsid w:val="00A720B8"/>
    <w:rsid w:val="00A72CE8"/>
    <w:rsid w:val="00A73298"/>
    <w:rsid w:val="00A74C38"/>
    <w:rsid w:val="00A753CC"/>
    <w:rsid w:val="00A76118"/>
    <w:rsid w:val="00A77372"/>
    <w:rsid w:val="00A77FF1"/>
    <w:rsid w:val="00A807B7"/>
    <w:rsid w:val="00A81A56"/>
    <w:rsid w:val="00A81EE6"/>
    <w:rsid w:val="00A82CC4"/>
    <w:rsid w:val="00A82CE4"/>
    <w:rsid w:val="00A83640"/>
    <w:rsid w:val="00A83844"/>
    <w:rsid w:val="00A84184"/>
    <w:rsid w:val="00A841AE"/>
    <w:rsid w:val="00A84E62"/>
    <w:rsid w:val="00A85B07"/>
    <w:rsid w:val="00A85E65"/>
    <w:rsid w:val="00A86405"/>
    <w:rsid w:val="00A9045B"/>
    <w:rsid w:val="00A904A4"/>
    <w:rsid w:val="00A91A67"/>
    <w:rsid w:val="00A930E6"/>
    <w:rsid w:val="00A932D7"/>
    <w:rsid w:val="00A94249"/>
    <w:rsid w:val="00A9425C"/>
    <w:rsid w:val="00A95917"/>
    <w:rsid w:val="00A96727"/>
    <w:rsid w:val="00A9726C"/>
    <w:rsid w:val="00A97566"/>
    <w:rsid w:val="00A979F4"/>
    <w:rsid w:val="00A97CFA"/>
    <w:rsid w:val="00AA1E8A"/>
    <w:rsid w:val="00AA21E9"/>
    <w:rsid w:val="00AA287B"/>
    <w:rsid w:val="00AA326F"/>
    <w:rsid w:val="00AA403F"/>
    <w:rsid w:val="00AA4AB7"/>
    <w:rsid w:val="00AA4AD2"/>
    <w:rsid w:val="00AA5CC6"/>
    <w:rsid w:val="00AA61DC"/>
    <w:rsid w:val="00AA651C"/>
    <w:rsid w:val="00AA6DDA"/>
    <w:rsid w:val="00AA7062"/>
    <w:rsid w:val="00AA723E"/>
    <w:rsid w:val="00AA72D8"/>
    <w:rsid w:val="00AA7600"/>
    <w:rsid w:val="00AB0215"/>
    <w:rsid w:val="00AB0934"/>
    <w:rsid w:val="00AB1CFC"/>
    <w:rsid w:val="00AB2B0D"/>
    <w:rsid w:val="00AB2C51"/>
    <w:rsid w:val="00AB3BDF"/>
    <w:rsid w:val="00AB4252"/>
    <w:rsid w:val="00AB44D8"/>
    <w:rsid w:val="00AB4D05"/>
    <w:rsid w:val="00AB5C7A"/>
    <w:rsid w:val="00AB678F"/>
    <w:rsid w:val="00AB6C5B"/>
    <w:rsid w:val="00AB6E0E"/>
    <w:rsid w:val="00AB6EF2"/>
    <w:rsid w:val="00AB7395"/>
    <w:rsid w:val="00AB748A"/>
    <w:rsid w:val="00AC1589"/>
    <w:rsid w:val="00AC15D9"/>
    <w:rsid w:val="00AC1836"/>
    <w:rsid w:val="00AC186A"/>
    <w:rsid w:val="00AC1AD9"/>
    <w:rsid w:val="00AC1DF7"/>
    <w:rsid w:val="00AC2A70"/>
    <w:rsid w:val="00AC4431"/>
    <w:rsid w:val="00AC4927"/>
    <w:rsid w:val="00AC5314"/>
    <w:rsid w:val="00AD1455"/>
    <w:rsid w:val="00AD214C"/>
    <w:rsid w:val="00AD3358"/>
    <w:rsid w:val="00AD443C"/>
    <w:rsid w:val="00AD49B8"/>
    <w:rsid w:val="00AD4AA8"/>
    <w:rsid w:val="00AD5581"/>
    <w:rsid w:val="00AD5861"/>
    <w:rsid w:val="00AD6A28"/>
    <w:rsid w:val="00AD7265"/>
    <w:rsid w:val="00AE0237"/>
    <w:rsid w:val="00AE0DB0"/>
    <w:rsid w:val="00AE1413"/>
    <w:rsid w:val="00AE25DB"/>
    <w:rsid w:val="00AE3108"/>
    <w:rsid w:val="00AE31BE"/>
    <w:rsid w:val="00AE3239"/>
    <w:rsid w:val="00AE3271"/>
    <w:rsid w:val="00AE4460"/>
    <w:rsid w:val="00AE47D3"/>
    <w:rsid w:val="00AE4DAF"/>
    <w:rsid w:val="00AE6BE3"/>
    <w:rsid w:val="00AE72C2"/>
    <w:rsid w:val="00AE77D1"/>
    <w:rsid w:val="00AF0CE4"/>
    <w:rsid w:val="00AF1050"/>
    <w:rsid w:val="00AF26B9"/>
    <w:rsid w:val="00AF2D34"/>
    <w:rsid w:val="00AF300A"/>
    <w:rsid w:val="00AF49BB"/>
    <w:rsid w:val="00AF4A9B"/>
    <w:rsid w:val="00AF4BBA"/>
    <w:rsid w:val="00AF5F12"/>
    <w:rsid w:val="00AF6618"/>
    <w:rsid w:val="00AF6AC1"/>
    <w:rsid w:val="00AF6FBD"/>
    <w:rsid w:val="00AF77F0"/>
    <w:rsid w:val="00AF7CB6"/>
    <w:rsid w:val="00B0042D"/>
    <w:rsid w:val="00B01432"/>
    <w:rsid w:val="00B030B9"/>
    <w:rsid w:val="00B04992"/>
    <w:rsid w:val="00B04F8E"/>
    <w:rsid w:val="00B06582"/>
    <w:rsid w:val="00B0672B"/>
    <w:rsid w:val="00B07DAC"/>
    <w:rsid w:val="00B11628"/>
    <w:rsid w:val="00B11735"/>
    <w:rsid w:val="00B124B3"/>
    <w:rsid w:val="00B12941"/>
    <w:rsid w:val="00B12962"/>
    <w:rsid w:val="00B12B1C"/>
    <w:rsid w:val="00B12C79"/>
    <w:rsid w:val="00B13306"/>
    <w:rsid w:val="00B1357C"/>
    <w:rsid w:val="00B13979"/>
    <w:rsid w:val="00B1409C"/>
    <w:rsid w:val="00B14B1A"/>
    <w:rsid w:val="00B152CE"/>
    <w:rsid w:val="00B1562C"/>
    <w:rsid w:val="00B15B65"/>
    <w:rsid w:val="00B15EBF"/>
    <w:rsid w:val="00B17FDB"/>
    <w:rsid w:val="00B202F0"/>
    <w:rsid w:val="00B20CF0"/>
    <w:rsid w:val="00B20F8F"/>
    <w:rsid w:val="00B22C5E"/>
    <w:rsid w:val="00B23266"/>
    <w:rsid w:val="00B232D2"/>
    <w:rsid w:val="00B23783"/>
    <w:rsid w:val="00B23843"/>
    <w:rsid w:val="00B24433"/>
    <w:rsid w:val="00B244B6"/>
    <w:rsid w:val="00B2459A"/>
    <w:rsid w:val="00B260EA"/>
    <w:rsid w:val="00B26BB8"/>
    <w:rsid w:val="00B27E9E"/>
    <w:rsid w:val="00B30D6B"/>
    <w:rsid w:val="00B31637"/>
    <w:rsid w:val="00B31BDE"/>
    <w:rsid w:val="00B322A5"/>
    <w:rsid w:val="00B33B4B"/>
    <w:rsid w:val="00B34AB7"/>
    <w:rsid w:val="00B35374"/>
    <w:rsid w:val="00B353ED"/>
    <w:rsid w:val="00B360EF"/>
    <w:rsid w:val="00B36B8F"/>
    <w:rsid w:val="00B36DAD"/>
    <w:rsid w:val="00B36F40"/>
    <w:rsid w:val="00B37459"/>
    <w:rsid w:val="00B41822"/>
    <w:rsid w:val="00B422FF"/>
    <w:rsid w:val="00B4282B"/>
    <w:rsid w:val="00B42BCF"/>
    <w:rsid w:val="00B4380E"/>
    <w:rsid w:val="00B444DF"/>
    <w:rsid w:val="00B45BEE"/>
    <w:rsid w:val="00B4651A"/>
    <w:rsid w:val="00B46BF4"/>
    <w:rsid w:val="00B51344"/>
    <w:rsid w:val="00B5203A"/>
    <w:rsid w:val="00B5280A"/>
    <w:rsid w:val="00B52948"/>
    <w:rsid w:val="00B5397B"/>
    <w:rsid w:val="00B54752"/>
    <w:rsid w:val="00B54890"/>
    <w:rsid w:val="00B556D8"/>
    <w:rsid w:val="00B55E28"/>
    <w:rsid w:val="00B60F3F"/>
    <w:rsid w:val="00B61682"/>
    <w:rsid w:val="00B619F8"/>
    <w:rsid w:val="00B61E29"/>
    <w:rsid w:val="00B61F06"/>
    <w:rsid w:val="00B6337E"/>
    <w:rsid w:val="00B63DB0"/>
    <w:rsid w:val="00B63F82"/>
    <w:rsid w:val="00B6567C"/>
    <w:rsid w:val="00B6599E"/>
    <w:rsid w:val="00B65CCA"/>
    <w:rsid w:val="00B66BC2"/>
    <w:rsid w:val="00B66EB6"/>
    <w:rsid w:val="00B671AC"/>
    <w:rsid w:val="00B718C8"/>
    <w:rsid w:val="00B719B2"/>
    <w:rsid w:val="00B726B4"/>
    <w:rsid w:val="00B72955"/>
    <w:rsid w:val="00B73756"/>
    <w:rsid w:val="00B7393F"/>
    <w:rsid w:val="00B73FA4"/>
    <w:rsid w:val="00B743E3"/>
    <w:rsid w:val="00B745D5"/>
    <w:rsid w:val="00B74843"/>
    <w:rsid w:val="00B74E25"/>
    <w:rsid w:val="00B74E4B"/>
    <w:rsid w:val="00B768F5"/>
    <w:rsid w:val="00B76B9C"/>
    <w:rsid w:val="00B76E8D"/>
    <w:rsid w:val="00B77555"/>
    <w:rsid w:val="00B77FDA"/>
    <w:rsid w:val="00B8072B"/>
    <w:rsid w:val="00B813DD"/>
    <w:rsid w:val="00B81714"/>
    <w:rsid w:val="00B81F1E"/>
    <w:rsid w:val="00B823A0"/>
    <w:rsid w:val="00B830D6"/>
    <w:rsid w:val="00B83326"/>
    <w:rsid w:val="00B83C9E"/>
    <w:rsid w:val="00B866EB"/>
    <w:rsid w:val="00B8695D"/>
    <w:rsid w:val="00B86AD2"/>
    <w:rsid w:val="00B87EC1"/>
    <w:rsid w:val="00B904E0"/>
    <w:rsid w:val="00B90853"/>
    <w:rsid w:val="00B914D7"/>
    <w:rsid w:val="00B91735"/>
    <w:rsid w:val="00B91E8F"/>
    <w:rsid w:val="00B91F84"/>
    <w:rsid w:val="00B922F0"/>
    <w:rsid w:val="00B92961"/>
    <w:rsid w:val="00B94C35"/>
    <w:rsid w:val="00B954DC"/>
    <w:rsid w:val="00B96EF0"/>
    <w:rsid w:val="00B97F9E"/>
    <w:rsid w:val="00BA2473"/>
    <w:rsid w:val="00BA2C5A"/>
    <w:rsid w:val="00BA36BD"/>
    <w:rsid w:val="00BA3F2B"/>
    <w:rsid w:val="00BA4558"/>
    <w:rsid w:val="00BA4E92"/>
    <w:rsid w:val="00BA51F8"/>
    <w:rsid w:val="00BA55F9"/>
    <w:rsid w:val="00BA6996"/>
    <w:rsid w:val="00BA6C23"/>
    <w:rsid w:val="00BA7191"/>
    <w:rsid w:val="00BA7411"/>
    <w:rsid w:val="00BA7830"/>
    <w:rsid w:val="00BA787A"/>
    <w:rsid w:val="00BB15DB"/>
    <w:rsid w:val="00BB2387"/>
    <w:rsid w:val="00BB2966"/>
    <w:rsid w:val="00BB35BB"/>
    <w:rsid w:val="00BB3AF4"/>
    <w:rsid w:val="00BB3B2D"/>
    <w:rsid w:val="00BB3C41"/>
    <w:rsid w:val="00BB3C5C"/>
    <w:rsid w:val="00BB3DCC"/>
    <w:rsid w:val="00BB44BB"/>
    <w:rsid w:val="00BB511F"/>
    <w:rsid w:val="00BB58C4"/>
    <w:rsid w:val="00BB6D65"/>
    <w:rsid w:val="00BB72DF"/>
    <w:rsid w:val="00BB78A5"/>
    <w:rsid w:val="00BB7F33"/>
    <w:rsid w:val="00BC10D4"/>
    <w:rsid w:val="00BC26DB"/>
    <w:rsid w:val="00BC397A"/>
    <w:rsid w:val="00BC3F15"/>
    <w:rsid w:val="00BC591A"/>
    <w:rsid w:val="00BC5BE4"/>
    <w:rsid w:val="00BC61EC"/>
    <w:rsid w:val="00BC63A0"/>
    <w:rsid w:val="00BC64A4"/>
    <w:rsid w:val="00BC669F"/>
    <w:rsid w:val="00BC6E4D"/>
    <w:rsid w:val="00BC7EA4"/>
    <w:rsid w:val="00BD04EE"/>
    <w:rsid w:val="00BD1AFA"/>
    <w:rsid w:val="00BD1DC8"/>
    <w:rsid w:val="00BD21E1"/>
    <w:rsid w:val="00BD42A1"/>
    <w:rsid w:val="00BD48D2"/>
    <w:rsid w:val="00BD4B7F"/>
    <w:rsid w:val="00BD4B91"/>
    <w:rsid w:val="00BD559B"/>
    <w:rsid w:val="00BD5A44"/>
    <w:rsid w:val="00BD6339"/>
    <w:rsid w:val="00BD73E5"/>
    <w:rsid w:val="00BD7504"/>
    <w:rsid w:val="00BD7970"/>
    <w:rsid w:val="00BE029B"/>
    <w:rsid w:val="00BE0464"/>
    <w:rsid w:val="00BE0487"/>
    <w:rsid w:val="00BE13F3"/>
    <w:rsid w:val="00BE2257"/>
    <w:rsid w:val="00BE377B"/>
    <w:rsid w:val="00BE428B"/>
    <w:rsid w:val="00BE4360"/>
    <w:rsid w:val="00BE4686"/>
    <w:rsid w:val="00BE47DA"/>
    <w:rsid w:val="00BE4AC5"/>
    <w:rsid w:val="00BE4B00"/>
    <w:rsid w:val="00BE51CC"/>
    <w:rsid w:val="00BE55C5"/>
    <w:rsid w:val="00BE70E7"/>
    <w:rsid w:val="00BE7646"/>
    <w:rsid w:val="00BF06D4"/>
    <w:rsid w:val="00BF1174"/>
    <w:rsid w:val="00BF2A73"/>
    <w:rsid w:val="00BF2B47"/>
    <w:rsid w:val="00BF4189"/>
    <w:rsid w:val="00BF5085"/>
    <w:rsid w:val="00BF53AF"/>
    <w:rsid w:val="00BF557B"/>
    <w:rsid w:val="00BF59B9"/>
    <w:rsid w:val="00BF69AD"/>
    <w:rsid w:val="00BF7F3F"/>
    <w:rsid w:val="00C01CE5"/>
    <w:rsid w:val="00C024E9"/>
    <w:rsid w:val="00C033A7"/>
    <w:rsid w:val="00C037CA"/>
    <w:rsid w:val="00C03B14"/>
    <w:rsid w:val="00C04BA3"/>
    <w:rsid w:val="00C04D72"/>
    <w:rsid w:val="00C05C39"/>
    <w:rsid w:val="00C069E8"/>
    <w:rsid w:val="00C06F69"/>
    <w:rsid w:val="00C0762A"/>
    <w:rsid w:val="00C07D32"/>
    <w:rsid w:val="00C07DB3"/>
    <w:rsid w:val="00C10BD1"/>
    <w:rsid w:val="00C12507"/>
    <w:rsid w:val="00C126BF"/>
    <w:rsid w:val="00C12D69"/>
    <w:rsid w:val="00C134D8"/>
    <w:rsid w:val="00C14485"/>
    <w:rsid w:val="00C1486E"/>
    <w:rsid w:val="00C14B6B"/>
    <w:rsid w:val="00C14F62"/>
    <w:rsid w:val="00C15A6B"/>
    <w:rsid w:val="00C162CE"/>
    <w:rsid w:val="00C16C2F"/>
    <w:rsid w:val="00C177CA"/>
    <w:rsid w:val="00C17884"/>
    <w:rsid w:val="00C17B92"/>
    <w:rsid w:val="00C17D3B"/>
    <w:rsid w:val="00C17EB8"/>
    <w:rsid w:val="00C200B3"/>
    <w:rsid w:val="00C20702"/>
    <w:rsid w:val="00C21448"/>
    <w:rsid w:val="00C21ABD"/>
    <w:rsid w:val="00C21F2B"/>
    <w:rsid w:val="00C2314E"/>
    <w:rsid w:val="00C2564A"/>
    <w:rsid w:val="00C26355"/>
    <w:rsid w:val="00C27700"/>
    <w:rsid w:val="00C277A8"/>
    <w:rsid w:val="00C2788D"/>
    <w:rsid w:val="00C30DFD"/>
    <w:rsid w:val="00C311D2"/>
    <w:rsid w:val="00C31371"/>
    <w:rsid w:val="00C318BD"/>
    <w:rsid w:val="00C3229B"/>
    <w:rsid w:val="00C3230F"/>
    <w:rsid w:val="00C332CF"/>
    <w:rsid w:val="00C3365A"/>
    <w:rsid w:val="00C34298"/>
    <w:rsid w:val="00C35488"/>
    <w:rsid w:val="00C3605A"/>
    <w:rsid w:val="00C365C8"/>
    <w:rsid w:val="00C36F78"/>
    <w:rsid w:val="00C37226"/>
    <w:rsid w:val="00C37F9B"/>
    <w:rsid w:val="00C4141C"/>
    <w:rsid w:val="00C41770"/>
    <w:rsid w:val="00C43070"/>
    <w:rsid w:val="00C441E2"/>
    <w:rsid w:val="00C444E1"/>
    <w:rsid w:val="00C45035"/>
    <w:rsid w:val="00C46ABE"/>
    <w:rsid w:val="00C47C6D"/>
    <w:rsid w:val="00C51879"/>
    <w:rsid w:val="00C52166"/>
    <w:rsid w:val="00C52657"/>
    <w:rsid w:val="00C5272A"/>
    <w:rsid w:val="00C534BB"/>
    <w:rsid w:val="00C55CD2"/>
    <w:rsid w:val="00C55E04"/>
    <w:rsid w:val="00C55F81"/>
    <w:rsid w:val="00C564EF"/>
    <w:rsid w:val="00C5727D"/>
    <w:rsid w:val="00C57C43"/>
    <w:rsid w:val="00C60C4B"/>
    <w:rsid w:val="00C60FCF"/>
    <w:rsid w:val="00C61D7C"/>
    <w:rsid w:val="00C61E42"/>
    <w:rsid w:val="00C62FC3"/>
    <w:rsid w:val="00C6334A"/>
    <w:rsid w:val="00C63AA0"/>
    <w:rsid w:val="00C64042"/>
    <w:rsid w:val="00C64093"/>
    <w:rsid w:val="00C6439B"/>
    <w:rsid w:val="00C6546D"/>
    <w:rsid w:val="00C654C0"/>
    <w:rsid w:val="00C65FDD"/>
    <w:rsid w:val="00C66E4B"/>
    <w:rsid w:val="00C67D57"/>
    <w:rsid w:val="00C70D94"/>
    <w:rsid w:val="00C7254B"/>
    <w:rsid w:val="00C730B2"/>
    <w:rsid w:val="00C73F85"/>
    <w:rsid w:val="00C7444C"/>
    <w:rsid w:val="00C747A3"/>
    <w:rsid w:val="00C7608A"/>
    <w:rsid w:val="00C76796"/>
    <w:rsid w:val="00C76FCD"/>
    <w:rsid w:val="00C773FF"/>
    <w:rsid w:val="00C778D5"/>
    <w:rsid w:val="00C77A2C"/>
    <w:rsid w:val="00C80591"/>
    <w:rsid w:val="00C809D8"/>
    <w:rsid w:val="00C81215"/>
    <w:rsid w:val="00C819A7"/>
    <w:rsid w:val="00C81B75"/>
    <w:rsid w:val="00C8379C"/>
    <w:rsid w:val="00C837B1"/>
    <w:rsid w:val="00C84324"/>
    <w:rsid w:val="00C84571"/>
    <w:rsid w:val="00C8583E"/>
    <w:rsid w:val="00C86136"/>
    <w:rsid w:val="00C86610"/>
    <w:rsid w:val="00C8685A"/>
    <w:rsid w:val="00C8706B"/>
    <w:rsid w:val="00C91318"/>
    <w:rsid w:val="00C91D40"/>
    <w:rsid w:val="00C91DCE"/>
    <w:rsid w:val="00C92234"/>
    <w:rsid w:val="00C92A8B"/>
    <w:rsid w:val="00C93294"/>
    <w:rsid w:val="00C93B16"/>
    <w:rsid w:val="00C941CE"/>
    <w:rsid w:val="00C94C57"/>
    <w:rsid w:val="00C95D76"/>
    <w:rsid w:val="00CA0E4C"/>
    <w:rsid w:val="00CA1DF5"/>
    <w:rsid w:val="00CA225C"/>
    <w:rsid w:val="00CA3051"/>
    <w:rsid w:val="00CA34AD"/>
    <w:rsid w:val="00CA3639"/>
    <w:rsid w:val="00CA3CC0"/>
    <w:rsid w:val="00CA3D7E"/>
    <w:rsid w:val="00CA49D9"/>
    <w:rsid w:val="00CA4FF5"/>
    <w:rsid w:val="00CA57D3"/>
    <w:rsid w:val="00CA5845"/>
    <w:rsid w:val="00CA594F"/>
    <w:rsid w:val="00CA5B95"/>
    <w:rsid w:val="00CB112F"/>
    <w:rsid w:val="00CB17BF"/>
    <w:rsid w:val="00CB1B7A"/>
    <w:rsid w:val="00CB2504"/>
    <w:rsid w:val="00CB35D1"/>
    <w:rsid w:val="00CB3847"/>
    <w:rsid w:val="00CB4AA0"/>
    <w:rsid w:val="00CB4CCA"/>
    <w:rsid w:val="00CB4E8E"/>
    <w:rsid w:val="00CB6402"/>
    <w:rsid w:val="00CB73E6"/>
    <w:rsid w:val="00CC039A"/>
    <w:rsid w:val="00CC054B"/>
    <w:rsid w:val="00CC1362"/>
    <w:rsid w:val="00CC137A"/>
    <w:rsid w:val="00CC2D08"/>
    <w:rsid w:val="00CC30C1"/>
    <w:rsid w:val="00CC464C"/>
    <w:rsid w:val="00CC4BBF"/>
    <w:rsid w:val="00CC7CCE"/>
    <w:rsid w:val="00CD00E9"/>
    <w:rsid w:val="00CD0AD9"/>
    <w:rsid w:val="00CD0FD2"/>
    <w:rsid w:val="00CD2265"/>
    <w:rsid w:val="00CD2576"/>
    <w:rsid w:val="00CD2EBF"/>
    <w:rsid w:val="00CD34E3"/>
    <w:rsid w:val="00CD573C"/>
    <w:rsid w:val="00CD6195"/>
    <w:rsid w:val="00CD6539"/>
    <w:rsid w:val="00CE012A"/>
    <w:rsid w:val="00CE170A"/>
    <w:rsid w:val="00CE1DB0"/>
    <w:rsid w:val="00CE22BD"/>
    <w:rsid w:val="00CE38C4"/>
    <w:rsid w:val="00CE4266"/>
    <w:rsid w:val="00CE4C0C"/>
    <w:rsid w:val="00CE4C73"/>
    <w:rsid w:val="00CE4D34"/>
    <w:rsid w:val="00CE4F40"/>
    <w:rsid w:val="00CE526B"/>
    <w:rsid w:val="00CE5E44"/>
    <w:rsid w:val="00CE5F19"/>
    <w:rsid w:val="00CE646B"/>
    <w:rsid w:val="00CE65B3"/>
    <w:rsid w:val="00CE7EDC"/>
    <w:rsid w:val="00CE7EF7"/>
    <w:rsid w:val="00CE7F9B"/>
    <w:rsid w:val="00CF04EE"/>
    <w:rsid w:val="00CF2873"/>
    <w:rsid w:val="00CF290A"/>
    <w:rsid w:val="00CF2AD0"/>
    <w:rsid w:val="00CF2ADF"/>
    <w:rsid w:val="00CF2D44"/>
    <w:rsid w:val="00CF2F71"/>
    <w:rsid w:val="00CF2FA8"/>
    <w:rsid w:val="00CF3102"/>
    <w:rsid w:val="00CF424E"/>
    <w:rsid w:val="00CF49FE"/>
    <w:rsid w:val="00CF54B4"/>
    <w:rsid w:val="00CF5BB4"/>
    <w:rsid w:val="00CF5F0B"/>
    <w:rsid w:val="00CF6135"/>
    <w:rsid w:val="00CF61F0"/>
    <w:rsid w:val="00CF7146"/>
    <w:rsid w:val="00CF782A"/>
    <w:rsid w:val="00D0257A"/>
    <w:rsid w:val="00D02B3B"/>
    <w:rsid w:val="00D0302D"/>
    <w:rsid w:val="00D0331A"/>
    <w:rsid w:val="00D03616"/>
    <w:rsid w:val="00D04A92"/>
    <w:rsid w:val="00D0627B"/>
    <w:rsid w:val="00D06825"/>
    <w:rsid w:val="00D102D6"/>
    <w:rsid w:val="00D10522"/>
    <w:rsid w:val="00D10A81"/>
    <w:rsid w:val="00D11878"/>
    <w:rsid w:val="00D11950"/>
    <w:rsid w:val="00D11B5A"/>
    <w:rsid w:val="00D11E94"/>
    <w:rsid w:val="00D1296E"/>
    <w:rsid w:val="00D14963"/>
    <w:rsid w:val="00D15809"/>
    <w:rsid w:val="00D15DDB"/>
    <w:rsid w:val="00D16284"/>
    <w:rsid w:val="00D16FB7"/>
    <w:rsid w:val="00D178A3"/>
    <w:rsid w:val="00D204DC"/>
    <w:rsid w:val="00D2133D"/>
    <w:rsid w:val="00D249A9"/>
    <w:rsid w:val="00D24ADA"/>
    <w:rsid w:val="00D263AC"/>
    <w:rsid w:val="00D27BE3"/>
    <w:rsid w:val="00D303F5"/>
    <w:rsid w:val="00D31489"/>
    <w:rsid w:val="00D316F9"/>
    <w:rsid w:val="00D31FDB"/>
    <w:rsid w:val="00D33833"/>
    <w:rsid w:val="00D342C5"/>
    <w:rsid w:val="00D347E1"/>
    <w:rsid w:val="00D35BC6"/>
    <w:rsid w:val="00D36274"/>
    <w:rsid w:val="00D36CEA"/>
    <w:rsid w:val="00D36D02"/>
    <w:rsid w:val="00D37BD2"/>
    <w:rsid w:val="00D37E66"/>
    <w:rsid w:val="00D40B34"/>
    <w:rsid w:val="00D40FCF"/>
    <w:rsid w:val="00D41015"/>
    <w:rsid w:val="00D417D2"/>
    <w:rsid w:val="00D41C79"/>
    <w:rsid w:val="00D42D1C"/>
    <w:rsid w:val="00D42DFE"/>
    <w:rsid w:val="00D445BE"/>
    <w:rsid w:val="00D46535"/>
    <w:rsid w:val="00D5156C"/>
    <w:rsid w:val="00D52B4A"/>
    <w:rsid w:val="00D53111"/>
    <w:rsid w:val="00D5313E"/>
    <w:rsid w:val="00D545EC"/>
    <w:rsid w:val="00D54DE0"/>
    <w:rsid w:val="00D555F2"/>
    <w:rsid w:val="00D566EF"/>
    <w:rsid w:val="00D56BD5"/>
    <w:rsid w:val="00D57189"/>
    <w:rsid w:val="00D60484"/>
    <w:rsid w:val="00D60C1C"/>
    <w:rsid w:val="00D61A4D"/>
    <w:rsid w:val="00D625C2"/>
    <w:rsid w:val="00D62AA3"/>
    <w:rsid w:val="00D63074"/>
    <w:rsid w:val="00D635D5"/>
    <w:rsid w:val="00D63BBF"/>
    <w:rsid w:val="00D6401A"/>
    <w:rsid w:val="00D6497E"/>
    <w:rsid w:val="00D64ED3"/>
    <w:rsid w:val="00D65EA5"/>
    <w:rsid w:val="00D671D5"/>
    <w:rsid w:val="00D70CC3"/>
    <w:rsid w:val="00D715A2"/>
    <w:rsid w:val="00D72375"/>
    <w:rsid w:val="00D72F1C"/>
    <w:rsid w:val="00D739D1"/>
    <w:rsid w:val="00D7439C"/>
    <w:rsid w:val="00D75791"/>
    <w:rsid w:val="00D75F51"/>
    <w:rsid w:val="00D8164D"/>
    <w:rsid w:val="00D81BD2"/>
    <w:rsid w:val="00D82859"/>
    <w:rsid w:val="00D82A34"/>
    <w:rsid w:val="00D8300E"/>
    <w:rsid w:val="00D8461A"/>
    <w:rsid w:val="00D84795"/>
    <w:rsid w:val="00D84CFC"/>
    <w:rsid w:val="00D85762"/>
    <w:rsid w:val="00D8595B"/>
    <w:rsid w:val="00D86A0C"/>
    <w:rsid w:val="00D86D99"/>
    <w:rsid w:val="00D87369"/>
    <w:rsid w:val="00D91158"/>
    <w:rsid w:val="00D91743"/>
    <w:rsid w:val="00D917C8"/>
    <w:rsid w:val="00D92322"/>
    <w:rsid w:val="00D923C0"/>
    <w:rsid w:val="00D934DE"/>
    <w:rsid w:val="00D934EB"/>
    <w:rsid w:val="00D93987"/>
    <w:rsid w:val="00D9398F"/>
    <w:rsid w:val="00D93DD1"/>
    <w:rsid w:val="00D9487B"/>
    <w:rsid w:val="00D94C37"/>
    <w:rsid w:val="00D95139"/>
    <w:rsid w:val="00D962EC"/>
    <w:rsid w:val="00D96732"/>
    <w:rsid w:val="00D96C19"/>
    <w:rsid w:val="00D97433"/>
    <w:rsid w:val="00D974B2"/>
    <w:rsid w:val="00D97A94"/>
    <w:rsid w:val="00DA0905"/>
    <w:rsid w:val="00DA1946"/>
    <w:rsid w:val="00DA1E90"/>
    <w:rsid w:val="00DA3574"/>
    <w:rsid w:val="00DA3754"/>
    <w:rsid w:val="00DA37CC"/>
    <w:rsid w:val="00DA3F3C"/>
    <w:rsid w:val="00DA46B6"/>
    <w:rsid w:val="00DA5BEE"/>
    <w:rsid w:val="00DA6932"/>
    <w:rsid w:val="00DA6DD5"/>
    <w:rsid w:val="00DA6E61"/>
    <w:rsid w:val="00DA7976"/>
    <w:rsid w:val="00DA79C8"/>
    <w:rsid w:val="00DA7B3E"/>
    <w:rsid w:val="00DA7DC5"/>
    <w:rsid w:val="00DB031C"/>
    <w:rsid w:val="00DB03B4"/>
    <w:rsid w:val="00DB1261"/>
    <w:rsid w:val="00DB1869"/>
    <w:rsid w:val="00DB36B0"/>
    <w:rsid w:val="00DB52F6"/>
    <w:rsid w:val="00DB5EC5"/>
    <w:rsid w:val="00DB69AA"/>
    <w:rsid w:val="00DB6E3D"/>
    <w:rsid w:val="00DB7138"/>
    <w:rsid w:val="00DB75E8"/>
    <w:rsid w:val="00DC090D"/>
    <w:rsid w:val="00DC1297"/>
    <w:rsid w:val="00DC2246"/>
    <w:rsid w:val="00DC2B86"/>
    <w:rsid w:val="00DC3E41"/>
    <w:rsid w:val="00DC47F9"/>
    <w:rsid w:val="00DC4AA4"/>
    <w:rsid w:val="00DC4C93"/>
    <w:rsid w:val="00DC59B3"/>
    <w:rsid w:val="00DC5CD7"/>
    <w:rsid w:val="00DC5E53"/>
    <w:rsid w:val="00DC66B6"/>
    <w:rsid w:val="00DC778A"/>
    <w:rsid w:val="00DD0367"/>
    <w:rsid w:val="00DD0B73"/>
    <w:rsid w:val="00DD0D51"/>
    <w:rsid w:val="00DD1B78"/>
    <w:rsid w:val="00DD1EFE"/>
    <w:rsid w:val="00DD2224"/>
    <w:rsid w:val="00DD2F83"/>
    <w:rsid w:val="00DD3194"/>
    <w:rsid w:val="00DD45B8"/>
    <w:rsid w:val="00DD4703"/>
    <w:rsid w:val="00DD4E24"/>
    <w:rsid w:val="00DD4E37"/>
    <w:rsid w:val="00DD545B"/>
    <w:rsid w:val="00DD5657"/>
    <w:rsid w:val="00DD5A5F"/>
    <w:rsid w:val="00DD61D9"/>
    <w:rsid w:val="00DD6CFF"/>
    <w:rsid w:val="00DD6DAD"/>
    <w:rsid w:val="00DD6EC4"/>
    <w:rsid w:val="00DD6FBE"/>
    <w:rsid w:val="00DD7652"/>
    <w:rsid w:val="00DE1FF4"/>
    <w:rsid w:val="00DE24B7"/>
    <w:rsid w:val="00DE2ADB"/>
    <w:rsid w:val="00DE2F34"/>
    <w:rsid w:val="00DE34B9"/>
    <w:rsid w:val="00DE40F2"/>
    <w:rsid w:val="00DE51A4"/>
    <w:rsid w:val="00DE5463"/>
    <w:rsid w:val="00DE547A"/>
    <w:rsid w:val="00DF0482"/>
    <w:rsid w:val="00DF0B50"/>
    <w:rsid w:val="00DF0F56"/>
    <w:rsid w:val="00DF2549"/>
    <w:rsid w:val="00DF316B"/>
    <w:rsid w:val="00DF44C5"/>
    <w:rsid w:val="00DF4F0A"/>
    <w:rsid w:val="00DF5610"/>
    <w:rsid w:val="00DF56B3"/>
    <w:rsid w:val="00DF59A0"/>
    <w:rsid w:val="00DF676C"/>
    <w:rsid w:val="00DF790F"/>
    <w:rsid w:val="00E003EF"/>
    <w:rsid w:val="00E008AB"/>
    <w:rsid w:val="00E01613"/>
    <w:rsid w:val="00E017D3"/>
    <w:rsid w:val="00E01998"/>
    <w:rsid w:val="00E01C68"/>
    <w:rsid w:val="00E02C32"/>
    <w:rsid w:val="00E02F97"/>
    <w:rsid w:val="00E0343B"/>
    <w:rsid w:val="00E03540"/>
    <w:rsid w:val="00E046FF"/>
    <w:rsid w:val="00E047B0"/>
    <w:rsid w:val="00E048CE"/>
    <w:rsid w:val="00E04E21"/>
    <w:rsid w:val="00E06E50"/>
    <w:rsid w:val="00E101F5"/>
    <w:rsid w:val="00E1047D"/>
    <w:rsid w:val="00E12171"/>
    <w:rsid w:val="00E12930"/>
    <w:rsid w:val="00E12E0C"/>
    <w:rsid w:val="00E13BD0"/>
    <w:rsid w:val="00E154CA"/>
    <w:rsid w:val="00E16805"/>
    <w:rsid w:val="00E16C3A"/>
    <w:rsid w:val="00E20FB5"/>
    <w:rsid w:val="00E2153F"/>
    <w:rsid w:val="00E216B1"/>
    <w:rsid w:val="00E21FD7"/>
    <w:rsid w:val="00E22EB2"/>
    <w:rsid w:val="00E22F00"/>
    <w:rsid w:val="00E236CF"/>
    <w:rsid w:val="00E24285"/>
    <w:rsid w:val="00E24471"/>
    <w:rsid w:val="00E24D1C"/>
    <w:rsid w:val="00E2616D"/>
    <w:rsid w:val="00E27A5D"/>
    <w:rsid w:val="00E27F8C"/>
    <w:rsid w:val="00E3117F"/>
    <w:rsid w:val="00E32323"/>
    <w:rsid w:val="00E3271D"/>
    <w:rsid w:val="00E32720"/>
    <w:rsid w:val="00E32DFB"/>
    <w:rsid w:val="00E334F0"/>
    <w:rsid w:val="00E337D8"/>
    <w:rsid w:val="00E339FC"/>
    <w:rsid w:val="00E33D46"/>
    <w:rsid w:val="00E3449F"/>
    <w:rsid w:val="00E347D4"/>
    <w:rsid w:val="00E34982"/>
    <w:rsid w:val="00E352C4"/>
    <w:rsid w:val="00E35373"/>
    <w:rsid w:val="00E35FBF"/>
    <w:rsid w:val="00E363E2"/>
    <w:rsid w:val="00E365CC"/>
    <w:rsid w:val="00E37598"/>
    <w:rsid w:val="00E37970"/>
    <w:rsid w:val="00E4006D"/>
    <w:rsid w:val="00E40B64"/>
    <w:rsid w:val="00E40FE1"/>
    <w:rsid w:val="00E414D2"/>
    <w:rsid w:val="00E41784"/>
    <w:rsid w:val="00E424B4"/>
    <w:rsid w:val="00E42BCD"/>
    <w:rsid w:val="00E45240"/>
    <w:rsid w:val="00E45551"/>
    <w:rsid w:val="00E45F43"/>
    <w:rsid w:val="00E474F6"/>
    <w:rsid w:val="00E479CD"/>
    <w:rsid w:val="00E47C57"/>
    <w:rsid w:val="00E47F97"/>
    <w:rsid w:val="00E509A9"/>
    <w:rsid w:val="00E50A00"/>
    <w:rsid w:val="00E50CE0"/>
    <w:rsid w:val="00E51940"/>
    <w:rsid w:val="00E52738"/>
    <w:rsid w:val="00E52B13"/>
    <w:rsid w:val="00E536F3"/>
    <w:rsid w:val="00E53769"/>
    <w:rsid w:val="00E5384B"/>
    <w:rsid w:val="00E54131"/>
    <w:rsid w:val="00E5481B"/>
    <w:rsid w:val="00E556FC"/>
    <w:rsid w:val="00E5584E"/>
    <w:rsid w:val="00E559F5"/>
    <w:rsid w:val="00E57CEF"/>
    <w:rsid w:val="00E57DA3"/>
    <w:rsid w:val="00E619AE"/>
    <w:rsid w:val="00E61C41"/>
    <w:rsid w:val="00E62638"/>
    <w:rsid w:val="00E635C8"/>
    <w:rsid w:val="00E640D1"/>
    <w:rsid w:val="00E641F1"/>
    <w:rsid w:val="00E64814"/>
    <w:rsid w:val="00E64BE4"/>
    <w:rsid w:val="00E64E17"/>
    <w:rsid w:val="00E64FDE"/>
    <w:rsid w:val="00E65A6C"/>
    <w:rsid w:val="00E669E8"/>
    <w:rsid w:val="00E66A79"/>
    <w:rsid w:val="00E66F04"/>
    <w:rsid w:val="00E670C9"/>
    <w:rsid w:val="00E6793F"/>
    <w:rsid w:val="00E715A8"/>
    <w:rsid w:val="00E71E81"/>
    <w:rsid w:val="00E7207F"/>
    <w:rsid w:val="00E722B9"/>
    <w:rsid w:val="00E72668"/>
    <w:rsid w:val="00E72801"/>
    <w:rsid w:val="00E72ED0"/>
    <w:rsid w:val="00E74DEF"/>
    <w:rsid w:val="00E75018"/>
    <w:rsid w:val="00E751EE"/>
    <w:rsid w:val="00E7563F"/>
    <w:rsid w:val="00E7582A"/>
    <w:rsid w:val="00E76299"/>
    <w:rsid w:val="00E763E2"/>
    <w:rsid w:val="00E770E6"/>
    <w:rsid w:val="00E775FF"/>
    <w:rsid w:val="00E77648"/>
    <w:rsid w:val="00E81375"/>
    <w:rsid w:val="00E814B3"/>
    <w:rsid w:val="00E81506"/>
    <w:rsid w:val="00E81FA9"/>
    <w:rsid w:val="00E82784"/>
    <w:rsid w:val="00E83357"/>
    <w:rsid w:val="00E83814"/>
    <w:rsid w:val="00E8456A"/>
    <w:rsid w:val="00E84C87"/>
    <w:rsid w:val="00E85669"/>
    <w:rsid w:val="00E859A9"/>
    <w:rsid w:val="00E86004"/>
    <w:rsid w:val="00E86BA9"/>
    <w:rsid w:val="00E87853"/>
    <w:rsid w:val="00E90985"/>
    <w:rsid w:val="00E90A53"/>
    <w:rsid w:val="00E917FF"/>
    <w:rsid w:val="00E91A5C"/>
    <w:rsid w:val="00E91F38"/>
    <w:rsid w:val="00E93065"/>
    <w:rsid w:val="00E936F2"/>
    <w:rsid w:val="00E947E5"/>
    <w:rsid w:val="00E953C5"/>
    <w:rsid w:val="00E9598F"/>
    <w:rsid w:val="00E9630D"/>
    <w:rsid w:val="00E976AD"/>
    <w:rsid w:val="00E977FB"/>
    <w:rsid w:val="00E97910"/>
    <w:rsid w:val="00EA17A8"/>
    <w:rsid w:val="00EA1F8F"/>
    <w:rsid w:val="00EA37D6"/>
    <w:rsid w:val="00EA3AC4"/>
    <w:rsid w:val="00EA40F2"/>
    <w:rsid w:val="00EA41CC"/>
    <w:rsid w:val="00EA5C91"/>
    <w:rsid w:val="00EA6D89"/>
    <w:rsid w:val="00EA7265"/>
    <w:rsid w:val="00EA7F59"/>
    <w:rsid w:val="00EB01DB"/>
    <w:rsid w:val="00EB0C1A"/>
    <w:rsid w:val="00EB0CB1"/>
    <w:rsid w:val="00EB108F"/>
    <w:rsid w:val="00EB19D5"/>
    <w:rsid w:val="00EB24FF"/>
    <w:rsid w:val="00EB5C8D"/>
    <w:rsid w:val="00EB63DA"/>
    <w:rsid w:val="00EB6755"/>
    <w:rsid w:val="00EB740F"/>
    <w:rsid w:val="00EB7C08"/>
    <w:rsid w:val="00EC0A66"/>
    <w:rsid w:val="00EC1B70"/>
    <w:rsid w:val="00EC220D"/>
    <w:rsid w:val="00EC2718"/>
    <w:rsid w:val="00EC2910"/>
    <w:rsid w:val="00EC2EA7"/>
    <w:rsid w:val="00EC328A"/>
    <w:rsid w:val="00EC3CA0"/>
    <w:rsid w:val="00EC4DC8"/>
    <w:rsid w:val="00EC5379"/>
    <w:rsid w:val="00EC5594"/>
    <w:rsid w:val="00EC5978"/>
    <w:rsid w:val="00EC64B6"/>
    <w:rsid w:val="00EC6C20"/>
    <w:rsid w:val="00ED1328"/>
    <w:rsid w:val="00ED1B37"/>
    <w:rsid w:val="00ED2BB8"/>
    <w:rsid w:val="00ED3CA4"/>
    <w:rsid w:val="00ED416B"/>
    <w:rsid w:val="00ED450A"/>
    <w:rsid w:val="00ED51D8"/>
    <w:rsid w:val="00ED5555"/>
    <w:rsid w:val="00ED5AEC"/>
    <w:rsid w:val="00ED6553"/>
    <w:rsid w:val="00ED6A93"/>
    <w:rsid w:val="00ED7FB0"/>
    <w:rsid w:val="00EE0B0C"/>
    <w:rsid w:val="00EE102D"/>
    <w:rsid w:val="00EE2E0F"/>
    <w:rsid w:val="00EE328D"/>
    <w:rsid w:val="00EE3CF6"/>
    <w:rsid w:val="00EE5AD5"/>
    <w:rsid w:val="00EE6157"/>
    <w:rsid w:val="00EE6876"/>
    <w:rsid w:val="00EE6AD9"/>
    <w:rsid w:val="00EE6F55"/>
    <w:rsid w:val="00EE7218"/>
    <w:rsid w:val="00EF1A19"/>
    <w:rsid w:val="00EF1AC1"/>
    <w:rsid w:val="00EF1C2F"/>
    <w:rsid w:val="00EF24CC"/>
    <w:rsid w:val="00EF2B7A"/>
    <w:rsid w:val="00EF33A6"/>
    <w:rsid w:val="00EF34B7"/>
    <w:rsid w:val="00EF3B1E"/>
    <w:rsid w:val="00EF3C8A"/>
    <w:rsid w:val="00EF3DF3"/>
    <w:rsid w:val="00EF3FFE"/>
    <w:rsid w:val="00EF40DF"/>
    <w:rsid w:val="00EF5506"/>
    <w:rsid w:val="00EF581E"/>
    <w:rsid w:val="00EF5F14"/>
    <w:rsid w:val="00EF640D"/>
    <w:rsid w:val="00EF67F9"/>
    <w:rsid w:val="00EF7ADA"/>
    <w:rsid w:val="00EF7EC9"/>
    <w:rsid w:val="00F000FF"/>
    <w:rsid w:val="00F010E4"/>
    <w:rsid w:val="00F01423"/>
    <w:rsid w:val="00F02B17"/>
    <w:rsid w:val="00F02D72"/>
    <w:rsid w:val="00F035B8"/>
    <w:rsid w:val="00F03937"/>
    <w:rsid w:val="00F05F76"/>
    <w:rsid w:val="00F06219"/>
    <w:rsid w:val="00F07640"/>
    <w:rsid w:val="00F07EA5"/>
    <w:rsid w:val="00F11021"/>
    <w:rsid w:val="00F1145F"/>
    <w:rsid w:val="00F1155F"/>
    <w:rsid w:val="00F1235C"/>
    <w:rsid w:val="00F123FC"/>
    <w:rsid w:val="00F12A49"/>
    <w:rsid w:val="00F12AD0"/>
    <w:rsid w:val="00F12BDF"/>
    <w:rsid w:val="00F12FDE"/>
    <w:rsid w:val="00F13A52"/>
    <w:rsid w:val="00F13C6F"/>
    <w:rsid w:val="00F145D4"/>
    <w:rsid w:val="00F14794"/>
    <w:rsid w:val="00F148CC"/>
    <w:rsid w:val="00F16E21"/>
    <w:rsid w:val="00F16FE1"/>
    <w:rsid w:val="00F17397"/>
    <w:rsid w:val="00F17FFD"/>
    <w:rsid w:val="00F207C4"/>
    <w:rsid w:val="00F20E62"/>
    <w:rsid w:val="00F2134D"/>
    <w:rsid w:val="00F21688"/>
    <w:rsid w:val="00F21BE6"/>
    <w:rsid w:val="00F21FF8"/>
    <w:rsid w:val="00F2236E"/>
    <w:rsid w:val="00F2294D"/>
    <w:rsid w:val="00F22D61"/>
    <w:rsid w:val="00F2357E"/>
    <w:rsid w:val="00F23672"/>
    <w:rsid w:val="00F24C25"/>
    <w:rsid w:val="00F254F8"/>
    <w:rsid w:val="00F25BB2"/>
    <w:rsid w:val="00F25FFE"/>
    <w:rsid w:val="00F2690E"/>
    <w:rsid w:val="00F27156"/>
    <w:rsid w:val="00F2785A"/>
    <w:rsid w:val="00F300C5"/>
    <w:rsid w:val="00F3142A"/>
    <w:rsid w:val="00F31D9C"/>
    <w:rsid w:val="00F32BA3"/>
    <w:rsid w:val="00F32C28"/>
    <w:rsid w:val="00F33929"/>
    <w:rsid w:val="00F34412"/>
    <w:rsid w:val="00F3459B"/>
    <w:rsid w:val="00F34B0F"/>
    <w:rsid w:val="00F3508C"/>
    <w:rsid w:val="00F35199"/>
    <w:rsid w:val="00F35765"/>
    <w:rsid w:val="00F36508"/>
    <w:rsid w:val="00F36CD5"/>
    <w:rsid w:val="00F36CE6"/>
    <w:rsid w:val="00F379E7"/>
    <w:rsid w:val="00F40638"/>
    <w:rsid w:val="00F41ACF"/>
    <w:rsid w:val="00F423C5"/>
    <w:rsid w:val="00F42AB9"/>
    <w:rsid w:val="00F42B87"/>
    <w:rsid w:val="00F4370B"/>
    <w:rsid w:val="00F43F14"/>
    <w:rsid w:val="00F44592"/>
    <w:rsid w:val="00F45965"/>
    <w:rsid w:val="00F459E2"/>
    <w:rsid w:val="00F45DF8"/>
    <w:rsid w:val="00F460CF"/>
    <w:rsid w:val="00F46F04"/>
    <w:rsid w:val="00F47715"/>
    <w:rsid w:val="00F47A38"/>
    <w:rsid w:val="00F47B84"/>
    <w:rsid w:val="00F47C2D"/>
    <w:rsid w:val="00F47F07"/>
    <w:rsid w:val="00F50FB4"/>
    <w:rsid w:val="00F518C9"/>
    <w:rsid w:val="00F5252C"/>
    <w:rsid w:val="00F53071"/>
    <w:rsid w:val="00F530D5"/>
    <w:rsid w:val="00F5407B"/>
    <w:rsid w:val="00F54EB1"/>
    <w:rsid w:val="00F56462"/>
    <w:rsid w:val="00F5679E"/>
    <w:rsid w:val="00F56863"/>
    <w:rsid w:val="00F60155"/>
    <w:rsid w:val="00F60A4D"/>
    <w:rsid w:val="00F60A9A"/>
    <w:rsid w:val="00F618B3"/>
    <w:rsid w:val="00F61B7E"/>
    <w:rsid w:val="00F61DF7"/>
    <w:rsid w:val="00F62134"/>
    <w:rsid w:val="00F6296B"/>
    <w:rsid w:val="00F635F8"/>
    <w:rsid w:val="00F6443D"/>
    <w:rsid w:val="00F65521"/>
    <w:rsid w:val="00F65987"/>
    <w:rsid w:val="00F661C3"/>
    <w:rsid w:val="00F6718C"/>
    <w:rsid w:val="00F673E7"/>
    <w:rsid w:val="00F6760E"/>
    <w:rsid w:val="00F67F0D"/>
    <w:rsid w:val="00F7020B"/>
    <w:rsid w:val="00F70714"/>
    <w:rsid w:val="00F70B07"/>
    <w:rsid w:val="00F71718"/>
    <w:rsid w:val="00F717AB"/>
    <w:rsid w:val="00F71CD5"/>
    <w:rsid w:val="00F7206D"/>
    <w:rsid w:val="00F72CC8"/>
    <w:rsid w:val="00F735F4"/>
    <w:rsid w:val="00F73789"/>
    <w:rsid w:val="00F73980"/>
    <w:rsid w:val="00F749BF"/>
    <w:rsid w:val="00F7519C"/>
    <w:rsid w:val="00F7591B"/>
    <w:rsid w:val="00F76038"/>
    <w:rsid w:val="00F761B3"/>
    <w:rsid w:val="00F767C9"/>
    <w:rsid w:val="00F76ED5"/>
    <w:rsid w:val="00F806DA"/>
    <w:rsid w:val="00F80733"/>
    <w:rsid w:val="00F80E12"/>
    <w:rsid w:val="00F81CA8"/>
    <w:rsid w:val="00F81FAB"/>
    <w:rsid w:val="00F839F9"/>
    <w:rsid w:val="00F83FFF"/>
    <w:rsid w:val="00F84194"/>
    <w:rsid w:val="00F85999"/>
    <w:rsid w:val="00F85FE8"/>
    <w:rsid w:val="00F866FF"/>
    <w:rsid w:val="00F87B91"/>
    <w:rsid w:val="00F90442"/>
    <w:rsid w:val="00F923F4"/>
    <w:rsid w:val="00F92624"/>
    <w:rsid w:val="00F934FB"/>
    <w:rsid w:val="00F93D29"/>
    <w:rsid w:val="00F93D67"/>
    <w:rsid w:val="00F94C71"/>
    <w:rsid w:val="00F95F51"/>
    <w:rsid w:val="00F962F7"/>
    <w:rsid w:val="00F96E66"/>
    <w:rsid w:val="00F9763B"/>
    <w:rsid w:val="00F978A1"/>
    <w:rsid w:val="00F97DAF"/>
    <w:rsid w:val="00FA1500"/>
    <w:rsid w:val="00FA1E8B"/>
    <w:rsid w:val="00FA3806"/>
    <w:rsid w:val="00FA4620"/>
    <w:rsid w:val="00FA5630"/>
    <w:rsid w:val="00FA5C7A"/>
    <w:rsid w:val="00FA5D2B"/>
    <w:rsid w:val="00FA637B"/>
    <w:rsid w:val="00FA65D1"/>
    <w:rsid w:val="00FA675F"/>
    <w:rsid w:val="00FB0B1A"/>
    <w:rsid w:val="00FB18F2"/>
    <w:rsid w:val="00FB1B18"/>
    <w:rsid w:val="00FB2741"/>
    <w:rsid w:val="00FB2E47"/>
    <w:rsid w:val="00FB4FE1"/>
    <w:rsid w:val="00FB507E"/>
    <w:rsid w:val="00FB5092"/>
    <w:rsid w:val="00FB53DC"/>
    <w:rsid w:val="00FB5770"/>
    <w:rsid w:val="00FB5AD3"/>
    <w:rsid w:val="00FB6113"/>
    <w:rsid w:val="00FB6D39"/>
    <w:rsid w:val="00FB6EB9"/>
    <w:rsid w:val="00FB7622"/>
    <w:rsid w:val="00FB7A62"/>
    <w:rsid w:val="00FB7FA8"/>
    <w:rsid w:val="00FC04DC"/>
    <w:rsid w:val="00FC2568"/>
    <w:rsid w:val="00FC2811"/>
    <w:rsid w:val="00FC2FDB"/>
    <w:rsid w:val="00FC401C"/>
    <w:rsid w:val="00FC5123"/>
    <w:rsid w:val="00FC5C67"/>
    <w:rsid w:val="00FC6277"/>
    <w:rsid w:val="00FC6CC5"/>
    <w:rsid w:val="00FC717D"/>
    <w:rsid w:val="00FD0398"/>
    <w:rsid w:val="00FD12DD"/>
    <w:rsid w:val="00FD19AD"/>
    <w:rsid w:val="00FD4081"/>
    <w:rsid w:val="00FD4770"/>
    <w:rsid w:val="00FD4A27"/>
    <w:rsid w:val="00FD572E"/>
    <w:rsid w:val="00FD596D"/>
    <w:rsid w:val="00FD6E02"/>
    <w:rsid w:val="00FD6E3F"/>
    <w:rsid w:val="00FD7345"/>
    <w:rsid w:val="00FE0B20"/>
    <w:rsid w:val="00FE0B29"/>
    <w:rsid w:val="00FE1948"/>
    <w:rsid w:val="00FE268E"/>
    <w:rsid w:val="00FE2802"/>
    <w:rsid w:val="00FE40CF"/>
    <w:rsid w:val="00FE4BAF"/>
    <w:rsid w:val="00FE50BB"/>
    <w:rsid w:val="00FE59E7"/>
    <w:rsid w:val="00FE5AC5"/>
    <w:rsid w:val="00FE5AD0"/>
    <w:rsid w:val="00FE6387"/>
    <w:rsid w:val="00FE6B44"/>
    <w:rsid w:val="00FE7C29"/>
    <w:rsid w:val="00FF07F1"/>
    <w:rsid w:val="00FF0D33"/>
    <w:rsid w:val="00FF0E8D"/>
    <w:rsid w:val="00FF0EC0"/>
    <w:rsid w:val="00FF11DE"/>
    <w:rsid w:val="00FF1A0A"/>
    <w:rsid w:val="00FF1B54"/>
    <w:rsid w:val="00FF1D0A"/>
    <w:rsid w:val="00FF42F7"/>
    <w:rsid w:val="00FF46C5"/>
    <w:rsid w:val="00FF4E2C"/>
    <w:rsid w:val="00FF5657"/>
    <w:rsid w:val="00FF72C9"/>
    <w:rsid w:val="00FF781E"/>
    <w:rsid w:val="01087A93"/>
    <w:rsid w:val="011A4FBC"/>
    <w:rsid w:val="01265EF4"/>
    <w:rsid w:val="012750C5"/>
    <w:rsid w:val="01342D62"/>
    <w:rsid w:val="01352B56"/>
    <w:rsid w:val="013B3A3F"/>
    <w:rsid w:val="01543792"/>
    <w:rsid w:val="01625707"/>
    <w:rsid w:val="0169419A"/>
    <w:rsid w:val="016A2D4F"/>
    <w:rsid w:val="016B6BCA"/>
    <w:rsid w:val="017F64EE"/>
    <w:rsid w:val="01854E05"/>
    <w:rsid w:val="01863A73"/>
    <w:rsid w:val="0187060F"/>
    <w:rsid w:val="019577DD"/>
    <w:rsid w:val="01A0233E"/>
    <w:rsid w:val="01AA5ABA"/>
    <w:rsid w:val="01EE0AE9"/>
    <w:rsid w:val="01F6166F"/>
    <w:rsid w:val="020C4FBB"/>
    <w:rsid w:val="02154C12"/>
    <w:rsid w:val="021A4D78"/>
    <w:rsid w:val="0234687F"/>
    <w:rsid w:val="023A6E7E"/>
    <w:rsid w:val="0254571E"/>
    <w:rsid w:val="025D1038"/>
    <w:rsid w:val="02621F07"/>
    <w:rsid w:val="026B3B6C"/>
    <w:rsid w:val="028440C8"/>
    <w:rsid w:val="029077CD"/>
    <w:rsid w:val="02964926"/>
    <w:rsid w:val="02A21833"/>
    <w:rsid w:val="02AD5175"/>
    <w:rsid w:val="02B205E7"/>
    <w:rsid w:val="02CA4ECF"/>
    <w:rsid w:val="02DA618A"/>
    <w:rsid w:val="02E2418A"/>
    <w:rsid w:val="02E53EE1"/>
    <w:rsid w:val="02F67A46"/>
    <w:rsid w:val="0307728B"/>
    <w:rsid w:val="03087352"/>
    <w:rsid w:val="03296773"/>
    <w:rsid w:val="0342560F"/>
    <w:rsid w:val="03467E3E"/>
    <w:rsid w:val="034931A7"/>
    <w:rsid w:val="035110BB"/>
    <w:rsid w:val="03573E4B"/>
    <w:rsid w:val="03593570"/>
    <w:rsid w:val="036C3483"/>
    <w:rsid w:val="0374759C"/>
    <w:rsid w:val="03866EAC"/>
    <w:rsid w:val="03892F20"/>
    <w:rsid w:val="039325D3"/>
    <w:rsid w:val="039B0657"/>
    <w:rsid w:val="03AD0F37"/>
    <w:rsid w:val="03B4195F"/>
    <w:rsid w:val="03B8754C"/>
    <w:rsid w:val="03BB1199"/>
    <w:rsid w:val="03C32C4A"/>
    <w:rsid w:val="03C4372A"/>
    <w:rsid w:val="03CD574D"/>
    <w:rsid w:val="03D36639"/>
    <w:rsid w:val="03D5652F"/>
    <w:rsid w:val="03DF6C00"/>
    <w:rsid w:val="03E4712D"/>
    <w:rsid w:val="03E5679E"/>
    <w:rsid w:val="03F4157F"/>
    <w:rsid w:val="040922CB"/>
    <w:rsid w:val="041C2014"/>
    <w:rsid w:val="04304E7B"/>
    <w:rsid w:val="0440751E"/>
    <w:rsid w:val="04654D36"/>
    <w:rsid w:val="04690FD6"/>
    <w:rsid w:val="0472047E"/>
    <w:rsid w:val="047648DD"/>
    <w:rsid w:val="04996748"/>
    <w:rsid w:val="049E5D54"/>
    <w:rsid w:val="049E68F6"/>
    <w:rsid w:val="04A049A3"/>
    <w:rsid w:val="04A415DE"/>
    <w:rsid w:val="04AA3BA1"/>
    <w:rsid w:val="04AD54D8"/>
    <w:rsid w:val="04C77B1F"/>
    <w:rsid w:val="04D57B8B"/>
    <w:rsid w:val="04DE0989"/>
    <w:rsid w:val="04F12461"/>
    <w:rsid w:val="04F1362D"/>
    <w:rsid w:val="04F425F7"/>
    <w:rsid w:val="04F46E66"/>
    <w:rsid w:val="04F779CC"/>
    <w:rsid w:val="04F94975"/>
    <w:rsid w:val="04F9774A"/>
    <w:rsid w:val="04FA0A7B"/>
    <w:rsid w:val="050A1F99"/>
    <w:rsid w:val="050B148D"/>
    <w:rsid w:val="051E4712"/>
    <w:rsid w:val="05341DEE"/>
    <w:rsid w:val="0535562C"/>
    <w:rsid w:val="05431A21"/>
    <w:rsid w:val="05490DDB"/>
    <w:rsid w:val="05544518"/>
    <w:rsid w:val="056903FB"/>
    <w:rsid w:val="057F014C"/>
    <w:rsid w:val="05910820"/>
    <w:rsid w:val="05AA6A8D"/>
    <w:rsid w:val="05BE5C23"/>
    <w:rsid w:val="05BE79A9"/>
    <w:rsid w:val="05BF10F8"/>
    <w:rsid w:val="05DE24DD"/>
    <w:rsid w:val="05E776CD"/>
    <w:rsid w:val="061243AC"/>
    <w:rsid w:val="06124F39"/>
    <w:rsid w:val="06165F4F"/>
    <w:rsid w:val="061F0F05"/>
    <w:rsid w:val="063E0120"/>
    <w:rsid w:val="06421D43"/>
    <w:rsid w:val="064D0AC7"/>
    <w:rsid w:val="06543BCD"/>
    <w:rsid w:val="066B019B"/>
    <w:rsid w:val="06726546"/>
    <w:rsid w:val="067312DB"/>
    <w:rsid w:val="068A7E98"/>
    <w:rsid w:val="06920076"/>
    <w:rsid w:val="069A551E"/>
    <w:rsid w:val="06A50935"/>
    <w:rsid w:val="06B61C85"/>
    <w:rsid w:val="06D81AE1"/>
    <w:rsid w:val="06DA1C7D"/>
    <w:rsid w:val="06EB5822"/>
    <w:rsid w:val="06F41088"/>
    <w:rsid w:val="06FF354C"/>
    <w:rsid w:val="070815FF"/>
    <w:rsid w:val="070E616F"/>
    <w:rsid w:val="07177702"/>
    <w:rsid w:val="071E77CD"/>
    <w:rsid w:val="07201E73"/>
    <w:rsid w:val="07254193"/>
    <w:rsid w:val="07442078"/>
    <w:rsid w:val="074A6EBB"/>
    <w:rsid w:val="0757778E"/>
    <w:rsid w:val="0769019C"/>
    <w:rsid w:val="077F7128"/>
    <w:rsid w:val="079A530C"/>
    <w:rsid w:val="07A5620B"/>
    <w:rsid w:val="07A572DA"/>
    <w:rsid w:val="07CA274D"/>
    <w:rsid w:val="07CF0B77"/>
    <w:rsid w:val="07D775CF"/>
    <w:rsid w:val="07DB777F"/>
    <w:rsid w:val="07E26D84"/>
    <w:rsid w:val="07E81CF4"/>
    <w:rsid w:val="08025FDF"/>
    <w:rsid w:val="08060696"/>
    <w:rsid w:val="08122C3A"/>
    <w:rsid w:val="081235F2"/>
    <w:rsid w:val="082E5202"/>
    <w:rsid w:val="08407B27"/>
    <w:rsid w:val="0856668F"/>
    <w:rsid w:val="08590E6E"/>
    <w:rsid w:val="0874033B"/>
    <w:rsid w:val="087865AE"/>
    <w:rsid w:val="087C31CD"/>
    <w:rsid w:val="087D0D0A"/>
    <w:rsid w:val="08855A9C"/>
    <w:rsid w:val="0886019E"/>
    <w:rsid w:val="088B45C1"/>
    <w:rsid w:val="088F4710"/>
    <w:rsid w:val="08932816"/>
    <w:rsid w:val="08AE0409"/>
    <w:rsid w:val="08B25C2D"/>
    <w:rsid w:val="08BB5744"/>
    <w:rsid w:val="08C57910"/>
    <w:rsid w:val="08E52FB7"/>
    <w:rsid w:val="08EA7E3A"/>
    <w:rsid w:val="08F03B23"/>
    <w:rsid w:val="08FC0F62"/>
    <w:rsid w:val="08FF6550"/>
    <w:rsid w:val="09121428"/>
    <w:rsid w:val="091C2F00"/>
    <w:rsid w:val="094B1663"/>
    <w:rsid w:val="0952443B"/>
    <w:rsid w:val="09551826"/>
    <w:rsid w:val="09661AA1"/>
    <w:rsid w:val="096A6533"/>
    <w:rsid w:val="096E45F8"/>
    <w:rsid w:val="09711010"/>
    <w:rsid w:val="09791D75"/>
    <w:rsid w:val="09820BAD"/>
    <w:rsid w:val="09832E6C"/>
    <w:rsid w:val="09CB5E16"/>
    <w:rsid w:val="09DF55E2"/>
    <w:rsid w:val="09E0077E"/>
    <w:rsid w:val="0A085D86"/>
    <w:rsid w:val="0A0A0ACE"/>
    <w:rsid w:val="0A151B12"/>
    <w:rsid w:val="0A152E60"/>
    <w:rsid w:val="0A1E3307"/>
    <w:rsid w:val="0A211677"/>
    <w:rsid w:val="0A3B636C"/>
    <w:rsid w:val="0A423673"/>
    <w:rsid w:val="0A533A58"/>
    <w:rsid w:val="0A540642"/>
    <w:rsid w:val="0A615816"/>
    <w:rsid w:val="0A642BAF"/>
    <w:rsid w:val="0A7E338D"/>
    <w:rsid w:val="0A8C0332"/>
    <w:rsid w:val="0A921787"/>
    <w:rsid w:val="0A9452E4"/>
    <w:rsid w:val="0AA52E5E"/>
    <w:rsid w:val="0AA85BD0"/>
    <w:rsid w:val="0AAC4BBF"/>
    <w:rsid w:val="0AC47339"/>
    <w:rsid w:val="0AC85507"/>
    <w:rsid w:val="0AC96984"/>
    <w:rsid w:val="0ACA5FEF"/>
    <w:rsid w:val="0AE003A6"/>
    <w:rsid w:val="0AED45BD"/>
    <w:rsid w:val="0B011F6F"/>
    <w:rsid w:val="0B18118E"/>
    <w:rsid w:val="0B2F4396"/>
    <w:rsid w:val="0B38312C"/>
    <w:rsid w:val="0B3F0F7F"/>
    <w:rsid w:val="0B505D79"/>
    <w:rsid w:val="0B514833"/>
    <w:rsid w:val="0B6B5A8D"/>
    <w:rsid w:val="0B6B7992"/>
    <w:rsid w:val="0B765053"/>
    <w:rsid w:val="0B7F6442"/>
    <w:rsid w:val="0B816876"/>
    <w:rsid w:val="0B892467"/>
    <w:rsid w:val="0B8A6A50"/>
    <w:rsid w:val="0B8A74DC"/>
    <w:rsid w:val="0B924B6B"/>
    <w:rsid w:val="0B946032"/>
    <w:rsid w:val="0B9F72CC"/>
    <w:rsid w:val="0BA24A8A"/>
    <w:rsid w:val="0BA617DA"/>
    <w:rsid w:val="0BBD48A4"/>
    <w:rsid w:val="0BBF5E54"/>
    <w:rsid w:val="0BCE7F7F"/>
    <w:rsid w:val="0BD12E03"/>
    <w:rsid w:val="0BD17E86"/>
    <w:rsid w:val="0BD65FF4"/>
    <w:rsid w:val="0BE45BD8"/>
    <w:rsid w:val="0BF50049"/>
    <w:rsid w:val="0BF7631C"/>
    <w:rsid w:val="0C0776CB"/>
    <w:rsid w:val="0C0C30B2"/>
    <w:rsid w:val="0C21376C"/>
    <w:rsid w:val="0C2B403E"/>
    <w:rsid w:val="0C3B0FBF"/>
    <w:rsid w:val="0C3E7403"/>
    <w:rsid w:val="0C471DDF"/>
    <w:rsid w:val="0C683598"/>
    <w:rsid w:val="0C816A5C"/>
    <w:rsid w:val="0C9E2FF3"/>
    <w:rsid w:val="0CA51746"/>
    <w:rsid w:val="0CAB2310"/>
    <w:rsid w:val="0CC34E97"/>
    <w:rsid w:val="0CC74917"/>
    <w:rsid w:val="0CF06F4B"/>
    <w:rsid w:val="0CF3287E"/>
    <w:rsid w:val="0CFF2F4A"/>
    <w:rsid w:val="0D164442"/>
    <w:rsid w:val="0D1A4D9C"/>
    <w:rsid w:val="0D296A7D"/>
    <w:rsid w:val="0D4C7167"/>
    <w:rsid w:val="0D640CE1"/>
    <w:rsid w:val="0D6463E3"/>
    <w:rsid w:val="0D754FD4"/>
    <w:rsid w:val="0D771861"/>
    <w:rsid w:val="0D7E43AA"/>
    <w:rsid w:val="0D8C2043"/>
    <w:rsid w:val="0DB17568"/>
    <w:rsid w:val="0DBE67F9"/>
    <w:rsid w:val="0DE00A19"/>
    <w:rsid w:val="0DF12BC5"/>
    <w:rsid w:val="0E003A5D"/>
    <w:rsid w:val="0E0C365F"/>
    <w:rsid w:val="0E143037"/>
    <w:rsid w:val="0E1E51E5"/>
    <w:rsid w:val="0E211C32"/>
    <w:rsid w:val="0E564B9E"/>
    <w:rsid w:val="0E5B1ED4"/>
    <w:rsid w:val="0E606427"/>
    <w:rsid w:val="0E7E478A"/>
    <w:rsid w:val="0E8B26AA"/>
    <w:rsid w:val="0E8F31B6"/>
    <w:rsid w:val="0EA2330D"/>
    <w:rsid w:val="0ECB57A9"/>
    <w:rsid w:val="0ED079E1"/>
    <w:rsid w:val="0ED36E58"/>
    <w:rsid w:val="0ED648B7"/>
    <w:rsid w:val="0EDC58E0"/>
    <w:rsid w:val="0EE37388"/>
    <w:rsid w:val="0EEA24F5"/>
    <w:rsid w:val="0EEA323F"/>
    <w:rsid w:val="0F117FDC"/>
    <w:rsid w:val="0F1620FA"/>
    <w:rsid w:val="0F1847D5"/>
    <w:rsid w:val="0F2B2D28"/>
    <w:rsid w:val="0F2C3D14"/>
    <w:rsid w:val="0F32290C"/>
    <w:rsid w:val="0F324E3A"/>
    <w:rsid w:val="0F3C4618"/>
    <w:rsid w:val="0F537D0A"/>
    <w:rsid w:val="0F6743E2"/>
    <w:rsid w:val="0F6817FD"/>
    <w:rsid w:val="0F704E94"/>
    <w:rsid w:val="0F7F5C80"/>
    <w:rsid w:val="0F871DD7"/>
    <w:rsid w:val="0F8C3690"/>
    <w:rsid w:val="0F8F4B6C"/>
    <w:rsid w:val="0F980B94"/>
    <w:rsid w:val="0F9C3ECA"/>
    <w:rsid w:val="0FA51EB0"/>
    <w:rsid w:val="0FBC24A1"/>
    <w:rsid w:val="0FD32E58"/>
    <w:rsid w:val="0FDB787D"/>
    <w:rsid w:val="0FDF7576"/>
    <w:rsid w:val="10032C56"/>
    <w:rsid w:val="10126405"/>
    <w:rsid w:val="1015130C"/>
    <w:rsid w:val="10161526"/>
    <w:rsid w:val="101A414C"/>
    <w:rsid w:val="102F4C36"/>
    <w:rsid w:val="103B1D4B"/>
    <w:rsid w:val="106A3C36"/>
    <w:rsid w:val="106C1D80"/>
    <w:rsid w:val="107B3A9A"/>
    <w:rsid w:val="10850AC2"/>
    <w:rsid w:val="108F1960"/>
    <w:rsid w:val="109E35B0"/>
    <w:rsid w:val="109F50A5"/>
    <w:rsid w:val="10A12CFF"/>
    <w:rsid w:val="10AA55F1"/>
    <w:rsid w:val="10B70EA7"/>
    <w:rsid w:val="10CE043B"/>
    <w:rsid w:val="10E31361"/>
    <w:rsid w:val="1113530E"/>
    <w:rsid w:val="111E04B1"/>
    <w:rsid w:val="11274606"/>
    <w:rsid w:val="11321CB5"/>
    <w:rsid w:val="11385143"/>
    <w:rsid w:val="11404BDD"/>
    <w:rsid w:val="1158504C"/>
    <w:rsid w:val="116F1997"/>
    <w:rsid w:val="118A1799"/>
    <w:rsid w:val="11956EBA"/>
    <w:rsid w:val="11AA53FD"/>
    <w:rsid w:val="11B12907"/>
    <w:rsid w:val="11B30CDD"/>
    <w:rsid w:val="11B56CA5"/>
    <w:rsid w:val="11B80A66"/>
    <w:rsid w:val="11BF72CB"/>
    <w:rsid w:val="11C150D9"/>
    <w:rsid w:val="11C2044E"/>
    <w:rsid w:val="1207458F"/>
    <w:rsid w:val="120C77B8"/>
    <w:rsid w:val="121767AF"/>
    <w:rsid w:val="121A478D"/>
    <w:rsid w:val="121D64F2"/>
    <w:rsid w:val="121E744C"/>
    <w:rsid w:val="122527AC"/>
    <w:rsid w:val="12400097"/>
    <w:rsid w:val="12420B07"/>
    <w:rsid w:val="1243490F"/>
    <w:rsid w:val="125000AE"/>
    <w:rsid w:val="12652EE0"/>
    <w:rsid w:val="1276269F"/>
    <w:rsid w:val="129E298E"/>
    <w:rsid w:val="12A64F72"/>
    <w:rsid w:val="12BF6BA3"/>
    <w:rsid w:val="12D14B58"/>
    <w:rsid w:val="12E30500"/>
    <w:rsid w:val="12E67388"/>
    <w:rsid w:val="12E76E3D"/>
    <w:rsid w:val="12EF6C44"/>
    <w:rsid w:val="12F42994"/>
    <w:rsid w:val="13033714"/>
    <w:rsid w:val="13054109"/>
    <w:rsid w:val="130E5D19"/>
    <w:rsid w:val="13165EAA"/>
    <w:rsid w:val="13205115"/>
    <w:rsid w:val="1328607A"/>
    <w:rsid w:val="13476786"/>
    <w:rsid w:val="13513CBF"/>
    <w:rsid w:val="13537E40"/>
    <w:rsid w:val="1383424E"/>
    <w:rsid w:val="13AD2679"/>
    <w:rsid w:val="13AF697F"/>
    <w:rsid w:val="13B23F88"/>
    <w:rsid w:val="13C23562"/>
    <w:rsid w:val="13D95DC4"/>
    <w:rsid w:val="13EC5942"/>
    <w:rsid w:val="13F3254C"/>
    <w:rsid w:val="140858D0"/>
    <w:rsid w:val="14121BA5"/>
    <w:rsid w:val="141F2C05"/>
    <w:rsid w:val="142C1F6D"/>
    <w:rsid w:val="145A1E52"/>
    <w:rsid w:val="14621237"/>
    <w:rsid w:val="14692C32"/>
    <w:rsid w:val="14816406"/>
    <w:rsid w:val="148C0983"/>
    <w:rsid w:val="14D16036"/>
    <w:rsid w:val="14D4066C"/>
    <w:rsid w:val="14FE5593"/>
    <w:rsid w:val="15077329"/>
    <w:rsid w:val="150F7D4B"/>
    <w:rsid w:val="1513002A"/>
    <w:rsid w:val="15251C15"/>
    <w:rsid w:val="1525653A"/>
    <w:rsid w:val="15366333"/>
    <w:rsid w:val="155C2F18"/>
    <w:rsid w:val="15703642"/>
    <w:rsid w:val="15915837"/>
    <w:rsid w:val="15A620B3"/>
    <w:rsid w:val="15A646B5"/>
    <w:rsid w:val="15C577F8"/>
    <w:rsid w:val="15D87BF4"/>
    <w:rsid w:val="15E2447C"/>
    <w:rsid w:val="15E4176F"/>
    <w:rsid w:val="15E90DB9"/>
    <w:rsid w:val="15EF117C"/>
    <w:rsid w:val="16012B3E"/>
    <w:rsid w:val="1612691F"/>
    <w:rsid w:val="16397866"/>
    <w:rsid w:val="163F4B80"/>
    <w:rsid w:val="163F6DE5"/>
    <w:rsid w:val="16473319"/>
    <w:rsid w:val="1681115B"/>
    <w:rsid w:val="16963ACA"/>
    <w:rsid w:val="16974072"/>
    <w:rsid w:val="16C54BA8"/>
    <w:rsid w:val="16CA676A"/>
    <w:rsid w:val="16CD3FD2"/>
    <w:rsid w:val="16D6302D"/>
    <w:rsid w:val="16D80BB5"/>
    <w:rsid w:val="16DE1173"/>
    <w:rsid w:val="16EC0012"/>
    <w:rsid w:val="16F142AF"/>
    <w:rsid w:val="16F17585"/>
    <w:rsid w:val="17392A09"/>
    <w:rsid w:val="173A5693"/>
    <w:rsid w:val="173E6B0B"/>
    <w:rsid w:val="175679B4"/>
    <w:rsid w:val="176636F0"/>
    <w:rsid w:val="176B6FD8"/>
    <w:rsid w:val="177905F5"/>
    <w:rsid w:val="178D2D6F"/>
    <w:rsid w:val="17A566A3"/>
    <w:rsid w:val="17BB1876"/>
    <w:rsid w:val="17BE28E8"/>
    <w:rsid w:val="17C03643"/>
    <w:rsid w:val="17CE5281"/>
    <w:rsid w:val="17D36549"/>
    <w:rsid w:val="17D803EC"/>
    <w:rsid w:val="17DE39C6"/>
    <w:rsid w:val="17DF1603"/>
    <w:rsid w:val="17EC6363"/>
    <w:rsid w:val="17F608CA"/>
    <w:rsid w:val="1811489E"/>
    <w:rsid w:val="18373DD0"/>
    <w:rsid w:val="183F1A65"/>
    <w:rsid w:val="18483E05"/>
    <w:rsid w:val="18484863"/>
    <w:rsid w:val="18496797"/>
    <w:rsid w:val="1859463A"/>
    <w:rsid w:val="185E6A95"/>
    <w:rsid w:val="18684743"/>
    <w:rsid w:val="186A4932"/>
    <w:rsid w:val="187138F8"/>
    <w:rsid w:val="188D74E6"/>
    <w:rsid w:val="188F55D2"/>
    <w:rsid w:val="189B7C76"/>
    <w:rsid w:val="18A82C87"/>
    <w:rsid w:val="18A95A5C"/>
    <w:rsid w:val="18B120E4"/>
    <w:rsid w:val="18B2243F"/>
    <w:rsid w:val="18B612AF"/>
    <w:rsid w:val="18B64343"/>
    <w:rsid w:val="18B86CD8"/>
    <w:rsid w:val="18C04D4D"/>
    <w:rsid w:val="18C84DE5"/>
    <w:rsid w:val="18DC031E"/>
    <w:rsid w:val="18DF67B5"/>
    <w:rsid w:val="18E307F1"/>
    <w:rsid w:val="18EA113C"/>
    <w:rsid w:val="18EE7961"/>
    <w:rsid w:val="18EF3BD0"/>
    <w:rsid w:val="18F27B86"/>
    <w:rsid w:val="18FD5A37"/>
    <w:rsid w:val="1904733D"/>
    <w:rsid w:val="190B307D"/>
    <w:rsid w:val="191258F4"/>
    <w:rsid w:val="192F6DDA"/>
    <w:rsid w:val="194C1901"/>
    <w:rsid w:val="194E101E"/>
    <w:rsid w:val="195107A6"/>
    <w:rsid w:val="1955715F"/>
    <w:rsid w:val="195D3FFD"/>
    <w:rsid w:val="196A4777"/>
    <w:rsid w:val="196F51A7"/>
    <w:rsid w:val="19704CF1"/>
    <w:rsid w:val="197746F8"/>
    <w:rsid w:val="199155F1"/>
    <w:rsid w:val="19F026B6"/>
    <w:rsid w:val="19F34E94"/>
    <w:rsid w:val="19FE05C5"/>
    <w:rsid w:val="1A157A06"/>
    <w:rsid w:val="1A243AF0"/>
    <w:rsid w:val="1A325F3C"/>
    <w:rsid w:val="1A334379"/>
    <w:rsid w:val="1A387CF0"/>
    <w:rsid w:val="1A397F1A"/>
    <w:rsid w:val="1A402685"/>
    <w:rsid w:val="1A4C34C2"/>
    <w:rsid w:val="1A4E6BC3"/>
    <w:rsid w:val="1A5C1021"/>
    <w:rsid w:val="1A697013"/>
    <w:rsid w:val="1A8F2FBD"/>
    <w:rsid w:val="1A931284"/>
    <w:rsid w:val="1AA712F2"/>
    <w:rsid w:val="1AB2459A"/>
    <w:rsid w:val="1AB276F8"/>
    <w:rsid w:val="1AD904D2"/>
    <w:rsid w:val="1AE503D1"/>
    <w:rsid w:val="1AE72646"/>
    <w:rsid w:val="1B38625D"/>
    <w:rsid w:val="1B5622D6"/>
    <w:rsid w:val="1B596184"/>
    <w:rsid w:val="1B617200"/>
    <w:rsid w:val="1B6C2D90"/>
    <w:rsid w:val="1B7F0B2B"/>
    <w:rsid w:val="1B884C10"/>
    <w:rsid w:val="1B89291D"/>
    <w:rsid w:val="1B89461B"/>
    <w:rsid w:val="1B9E26BB"/>
    <w:rsid w:val="1BA369A5"/>
    <w:rsid w:val="1BA85476"/>
    <w:rsid w:val="1BB52247"/>
    <w:rsid w:val="1BBA3842"/>
    <w:rsid w:val="1BE70117"/>
    <w:rsid w:val="1BEA37E8"/>
    <w:rsid w:val="1C073B90"/>
    <w:rsid w:val="1C1447FB"/>
    <w:rsid w:val="1C1D5A71"/>
    <w:rsid w:val="1C2B18F5"/>
    <w:rsid w:val="1C343D7F"/>
    <w:rsid w:val="1C390A2E"/>
    <w:rsid w:val="1C3B2416"/>
    <w:rsid w:val="1C3F6B63"/>
    <w:rsid w:val="1C4975EC"/>
    <w:rsid w:val="1C4B55A4"/>
    <w:rsid w:val="1C6006A8"/>
    <w:rsid w:val="1C6A6E87"/>
    <w:rsid w:val="1C8661BC"/>
    <w:rsid w:val="1CA5175B"/>
    <w:rsid w:val="1CA8708E"/>
    <w:rsid w:val="1CB8702D"/>
    <w:rsid w:val="1CC62984"/>
    <w:rsid w:val="1CC64C3F"/>
    <w:rsid w:val="1CC766FA"/>
    <w:rsid w:val="1CD31185"/>
    <w:rsid w:val="1CD6277B"/>
    <w:rsid w:val="1CD95A21"/>
    <w:rsid w:val="1CDF6666"/>
    <w:rsid w:val="1CE20B75"/>
    <w:rsid w:val="1CE61319"/>
    <w:rsid w:val="1CF0072A"/>
    <w:rsid w:val="1CFE0704"/>
    <w:rsid w:val="1D08199F"/>
    <w:rsid w:val="1D095A66"/>
    <w:rsid w:val="1D110CAF"/>
    <w:rsid w:val="1D115F82"/>
    <w:rsid w:val="1D1A4299"/>
    <w:rsid w:val="1D1D1C1D"/>
    <w:rsid w:val="1D372DA6"/>
    <w:rsid w:val="1D3F5E28"/>
    <w:rsid w:val="1D401D34"/>
    <w:rsid w:val="1D7B3C8C"/>
    <w:rsid w:val="1D892524"/>
    <w:rsid w:val="1D966ADE"/>
    <w:rsid w:val="1DAD53DF"/>
    <w:rsid w:val="1DB566B2"/>
    <w:rsid w:val="1DC03CF0"/>
    <w:rsid w:val="1DCE4F3F"/>
    <w:rsid w:val="1DDF07D2"/>
    <w:rsid w:val="1DF52153"/>
    <w:rsid w:val="1DF946B8"/>
    <w:rsid w:val="1E07453C"/>
    <w:rsid w:val="1E110BB9"/>
    <w:rsid w:val="1E1513C9"/>
    <w:rsid w:val="1E21510D"/>
    <w:rsid w:val="1E255BCF"/>
    <w:rsid w:val="1E2F091C"/>
    <w:rsid w:val="1E3615C3"/>
    <w:rsid w:val="1E401F1D"/>
    <w:rsid w:val="1E4909FF"/>
    <w:rsid w:val="1E4D0389"/>
    <w:rsid w:val="1E6A2502"/>
    <w:rsid w:val="1E773E55"/>
    <w:rsid w:val="1E813530"/>
    <w:rsid w:val="1E8C679D"/>
    <w:rsid w:val="1E91665E"/>
    <w:rsid w:val="1E9A79D7"/>
    <w:rsid w:val="1E9E3DC8"/>
    <w:rsid w:val="1EA9518B"/>
    <w:rsid w:val="1EAA241D"/>
    <w:rsid w:val="1EF73F53"/>
    <w:rsid w:val="1EFE5C04"/>
    <w:rsid w:val="1F0508F5"/>
    <w:rsid w:val="1F056F36"/>
    <w:rsid w:val="1F0C4F23"/>
    <w:rsid w:val="1F276088"/>
    <w:rsid w:val="1F412E59"/>
    <w:rsid w:val="1F61124E"/>
    <w:rsid w:val="1F63431F"/>
    <w:rsid w:val="1F725A2E"/>
    <w:rsid w:val="1F752B3D"/>
    <w:rsid w:val="1F7B2FEF"/>
    <w:rsid w:val="1F83778A"/>
    <w:rsid w:val="1F857494"/>
    <w:rsid w:val="1F8A2AF7"/>
    <w:rsid w:val="1F8D78E3"/>
    <w:rsid w:val="1F9546E3"/>
    <w:rsid w:val="1FA7690D"/>
    <w:rsid w:val="1FA9188D"/>
    <w:rsid w:val="1FB20E38"/>
    <w:rsid w:val="1FB44C7A"/>
    <w:rsid w:val="1FB9650E"/>
    <w:rsid w:val="1FC226D0"/>
    <w:rsid w:val="1FD37D88"/>
    <w:rsid w:val="1FDC1629"/>
    <w:rsid w:val="1FF0327F"/>
    <w:rsid w:val="1FF33CFA"/>
    <w:rsid w:val="1FFFBA28"/>
    <w:rsid w:val="20105DC2"/>
    <w:rsid w:val="20152E97"/>
    <w:rsid w:val="2018206F"/>
    <w:rsid w:val="204629AF"/>
    <w:rsid w:val="20480471"/>
    <w:rsid w:val="204E5231"/>
    <w:rsid w:val="205B27D3"/>
    <w:rsid w:val="20646FD1"/>
    <w:rsid w:val="20767256"/>
    <w:rsid w:val="207958DA"/>
    <w:rsid w:val="20811B4B"/>
    <w:rsid w:val="208931DB"/>
    <w:rsid w:val="208A4B48"/>
    <w:rsid w:val="20EA648D"/>
    <w:rsid w:val="20ED729F"/>
    <w:rsid w:val="20F33D14"/>
    <w:rsid w:val="20F54490"/>
    <w:rsid w:val="210807F1"/>
    <w:rsid w:val="211C787D"/>
    <w:rsid w:val="21212AAB"/>
    <w:rsid w:val="21263C02"/>
    <w:rsid w:val="21297226"/>
    <w:rsid w:val="21346A79"/>
    <w:rsid w:val="215E6480"/>
    <w:rsid w:val="21731DFE"/>
    <w:rsid w:val="218A2631"/>
    <w:rsid w:val="21A144B4"/>
    <w:rsid w:val="21A712C6"/>
    <w:rsid w:val="21AB4547"/>
    <w:rsid w:val="21B53694"/>
    <w:rsid w:val="21BF1092"/>
    <w:rsid w:val="21C40547"/>
    <w:rsid w:val="21C95C1F"/>
    <w:rsid w:val="21CA4834"/>
    <w:rsid w:val="21D33231"/>
    <w:rsid w:val="21D644C6"/>
    <w:rsid w:val="21DF7A0D"/>
    <w:rsid w:val="21E75989"/>
    <w:rsid w:val="21EA46C1"/>
    <w:rsid w:val="21F20010"/>
    <w:rsid w:val="2201740A"/>
    <w:rsid w:val="22215A47"/>
    <w:rsid w:val="22385705"/>
    <w:rsid w:val="227C6BAD"/>
    <w:rsid w:val="227F1C09"/>
    <w:rsid w:val="228A5065"/>
    <w:rsid w:val="228A6727"/>
    <w:rsid w:val="228C4D98"/>
    <w:rsid w:val="22956805"/>
    <w:rsid w:val="2298053F"/>
    <w:rsid w:val="22A17D5F"/>
    <w:rsid w:val="22A42B80"/>
    <w:rsid w:val="22AE2456"/>
    <w:rsid w:val="22D947A0"/>
    <w:rsid w:val="22DF2517"/>
    <w:rsid w:val="22E20809"/>
    <w:rsid w:val="22E4372A"/>
    <w:rsid w:val="22EF7159"/>
    <w:rsid w:val="22F01B6C"/>
    <w:rsid w:val="22FA0CC9"/>
    <w:rsid w:val="23025BF0"/>
    <w:rsid w:val="23066136"/>
    <w:rsid w:val="230F110F"/>
    <w:rsid w:val="232433F1"/>
    <w:rsid w:val="232A645C"/>
    <w:rsid w:val="232E7A81"/>
    <w:rsid w:val="236429C8"/>
    <w:rsid w:val="2365796B"/>
    <w:rsid w:val="236B12A0"/>
    <w:rsid w:val="236B2068"/>
    <w:rsid w:val="236D6E8E"/>
    <w:rsid w:val="23721EFC"/>
    <w:rsid w:val="23875E6E"/>
    <w:rsid w:val="23883DBB"/>
    <w:rsid w:val="238F10EF"/>
    <w:rsid w:val="23A15E0D"/>
    <w:rsid w:val="23B5569D"/>
    <w:rsid w:val="23BB7BC0"/>
    <w:rsid w:val="23BD0622"/>
    <w:rsid w:val="23E74447"/>
    <w:rsid w:val="23EB4CC5"/>
    <w:rsid w:val="240E7F1E"/>
    <w:rsid w:val="24110C8F"/>
    <w:rsid w:val="241509E3"/>
    <w:rsid w:val="24187948"/>
    <w:rsid w:val="24191E25"/>
    <w:rsid w:val="24220AEC"/>
    <w:rsid w:val="242B795A"/>
    <w:rsid w:val="242C1B2B"/>
    <w:rsid w:val="24473722"/>
    <w:rsid w:val="244E0106"/>
    <w:rsid w:val="24664007"/>
    <w:rsid w:val="24695039"/>
    <w:rsid w:val="246F7CDB"/>
    <w:rsid w:val="247542D7"/>
    <w:rsid w:val="24786DF4"/>
    <w:rsid w:val="247D304F"/>
    <w:rsid w:val="247F2910"/>
    <w:rsid w:val="249D3562"/>
    <w:rsid w:val="249D7B20"/>
    <w:rsid w:val="24B2356E"/>
    <w:rsid w:val="24B63F00"/>
    <w:rsid w:val="24C22306"/>
    <w:rsid w:val="24DB77FB"/>
    <w:rsid w:val="24EB689C"/>
    <w:rsid w:val="250D4CEC"/>
    <w:rsid w:val="25197D61"/>
    <w:rsid w:val="251F3F3E"/>
    <w:rsid w:val="253107C1"/>
    <w:rsid w:val="253631EE"/>
    <w:rsid w:val="2540662C"/>
    <w:rsid w:val="25465352"/>
    <w:rsid w:val="25514B4D"/>
    <w:rsid w:val="25567A80"/>
    <w:rsid w:val="256F28F1"/>
    <w:rsid w:val="259A76D1"/>
    <w:rsid w:val="25BF7042"/>
    <w:rsid w:val="25C430DD"/>
    <w:rsid w:val="25CB7386"/>
    <w:rsid w:val="25D83D8E"/>
    <w:rsid w:val="25D91E1A"/>
    <w:rsid w:val="25D92A0D"/>
    <w:rsid w:val="25E24C71"/>
    <w:rsid w:val="25E8033C"/>
    <w:rsid w:val="25E84123"/>
    <w:rsid w:val="25F6528A"/>
    <w:rsid w:val="260B27F7"/>
    <w:rsid w:val="262F3F3D"/>
    <w:rsid w:val="263440FC"/>
    <w:rsid w:val="263766BB"/>
    <w:rsid w:val="2650558E"/>
    <w:rsid w:val="26557AF3"/>
    <w:rsid w:val="265A51C4"/>
    <w:rsid w:val="265C5068"/>
    <w:rsid w:val="265E67B4"/>
    <w:rsid w:val="265F2A72"/>
    <w:rsid w:val="266309A5"/>
    <w:rsid w:val="266B4A44"/>
    <w:rsid w:val="266B59A3"/>
    <w:rsid w:val="26763C7F"/>
    <w:rsid w:val="267924E9"/>
    <w:rsid w:val="26803EF0"/>
    <w:rsid w:val="269B2503"/>
    <w:rsid w:val="269F5BE9"/>
    <w:rsid w:val="26AA5433"/>
    <w:rsid w:val="26AA6122"/>
    <w:rsid w:val="26B21DFA"/>
    <w:rsid w:val="26C451AF"/>
    <w:rsid w:val="26C63593"/>
    <w:rsid w:val="26C94848"/>
    <w:rsid w:val="26E808A7"/>
    <w:rsid w:val="26EA5797"/>
    <w:rsid w:val="26ED20AD"/>
    <w:rsid w:val="2717198C"/>
    <w:rsid w:val="274C0308"/>
    <w:rsid w:val="274D2841"/>
    <w:rsid w:val="276B7270"/>
    <w:rsid w:val="27756ECD"/>
    <w:rsid w:val="279A288D"/>
    <w:rsid w:val="279E14B6"/>
    <w:rsid w:val="27A85C6C"/>
    <w:rsid w:val="27BA0437"/>
    <w:rsid w:val="27C6141F"/>
    <w:rsid w:val="27C73E2F"/>
    <w:rsid w:val="27C80C75"/>
    <w:rsid w:val="27D05F59"/>
    <w:rsid w:val="27D42237"/>
    <w:rsid w:val="27DA0FF8"/>
    <w:rsid w:val="27EC0996"/>
    <w:rsid w:val="27EC3078"/>
    <w:rsid w:val="28066ECA"/>
    <w:rsid w:val="28162118"/>
    <w:rsid w:val="28244643"/>
    <w:rsid w:val="28250DB4"/>
    <w:rsid w:val="282E4925"/>
    <w:rsid w:val="2831709C"/>
    <w:rsid w:val="283821BA"/>
    <w:rsid w:val="283C1BE5"/>
    <w:rsid w:val="283E4B0A"/>
    <w:rsid w:val="28557EEA"/>
    <w:rsid w:val="285C7D4E"/>
    <w:rsid w:val="286168C8"/>
    <w:rsid w:val="286B48DE"/>
    <w:rsid w:val="28725C02"/>
    <w:rsid w:val="287552E7"/>
    <w:rsid w:val="28894C9D"/>
    <w:rsid w:val="289C59FF"/>
    <w:rsid w:val="28B35D76"/>
    <w:rsid w:val="28B6007F"/>
    <w:rsid w:val="28BF71C9"/>
    <w:rsid w:val="28CA6096"/>
    <w:rsid w:val="28D862B3"/>
    <w:rsid w:val="29074B10"/>
    <w:rsid w:val="29106CE8"/>
    <w:rsid w:val="292965B5"/>
    <w:rsid w:val="293B0D87"/>
    <w:rsid w:val="294B22C6"/>
    <w:rsid w:val="29674D80"/>
    <w:rsid w:val="299A357F"/>
    <w:rsid w:val="299E66A4"/>
    <w:rsid w:val="29BC613C"/>
    <w:rsid w:val="29CD2000"/>
    <w:rsid w:val="29D10F1D"/>
    <w:rsid w:val="29D866B0"/>
    <w:rsid w:val="29F735FB"/>
    <w:rsid w:val="2A017CAF"/>
    <w:rsid w:val="2A042B00"/>
    <w:rsid w:val="2A043423"/>
    <w:rsid w:val="2A04348F"/>
    <w:rsid w:val="2A0543C6"/>
    <w:rsid w:val="2A334895"/>
    <w:rsid w:val="2A3F2F10"/>
    <w:rsid w:val="2A44757C"/>
    <w:rsid w:val="2A587238"/>
    <w:rsid w:val="2A62415D"/>
    <w:rsid w:val="2A641D7A"/>
    <w:rsid w:val="2A684630"/>
    <w:rsid w:val="2A776C05"/>
    <w:rsid w:val="2A7A51A8"/>
    <w:rsid w:val="2A8779B0"/>
    <w:rsid w:val="2A8D1D60"/>
    <w:rsid w:val="2A9308AD"/>
    <w:rsid w:val="2A9C1988"/>
    <w:rsid w:val="2AAC5455"/>
    <w:rsid w:val="2AB02A38"/>
    <w:rsid w:val="2AD47C95"/>
    <w:rsid w:val="2AD82CB0"/>
    <w:rsid w:val="2AF27B5D"/>
    <w:rsid w:val="2AF82FCF"/>
    <w:rsid w:val="2AFC357B"/>
    <w:rsid w:val="2B08304C"/>
    <w:rsid w:val="2B0B39DC"/>
    <w:rsid w:val="2B0F003C"/>
    <w:rsid w:val="2B150F6A"/>
    <w:rsid w:val="2B1F1533"/>
    <w:rsid w:val="2B1F2DD5"/>
    <w:rsid w:val="2B4F734B"/>
    <w:rsid w:val="2B6849BE"/>
    <w:rsid w:val="2B6C5576"/>
    <w:rsid w:val="2B7717F5"/>
    <w:rsid w:val="2B85311F"/>
    <w:rsid w:val="2BA411B4"/>
    <w:rsid w:val="2BA92D16"/>
    <w:rsid w:val="2BBB6E5E"/>
    <w:rsid w:val="2BC307AD"/>
    <w:rsid w:val="2BC55D06"/>
    <w:rsid w:val="2BD832CA"/>
    <w:rsid w:val="2BD84376"/>
    <w:rsid w:val="2BE0481E"/>
    <w:rsid w:val="2BE17367"/>
    <w:rsid w:val="2BE17C5A"/>
    <w:rsid w:val="2BE7208F"/>
    <w:rsid w:val="2BF16424"/>
    <w:rsid w:val="2BF95FC9"/>
    <w:rsid w:val="2BFC7C17"/>
    <w:rsid w:val="2C010E37"/>
    <w:rsid w:val="2C093CC4"/>
    <w:rsid w:val="2C177228"/>
    <w:rsid w:val="2C246086"/>
    <w:rsid w:val="2C251DEC"/>
    <w:rsid w:val="2C344D48"/>
    <w:rsid w:val="2C426F58"/>
    <w:rsid w:val="2C4F70E6"/>
    <w:rsid w:val="2C50597F"/>
    <w:rsid w:val="2C551DB1"/>
    <w:rsid w:val="2C571B79"/>
    <w:rsid w:val="2C5A77F2"/>
    <w:rsid w:val="2C5B35A0"/>
    <w:rsid w:val="2C60670A"/>
    <w:rsid w:val="2C6A6776"/>
    <w:rsid w:val="2C786982"/>
    <w:rsid w:val="2C7E5DF8"/>
    <w:rsid w:val="2C887471"/>
    <w:rsid w:val="2C9476BC"/>
    <w:rsid w:val="2C9C6AAB"/>
    <w:rsid w:val="2C9E5960"/>
    <w:rsid w:val="2CA72FC6"/>
    <w:rsid w:val="2CE07DEE"/>
    <w:rsid w:val="2CEB7ACD"/>
    <w:rsid w:val="2D157B49"/>
    <w:rsid w:val="2D3A29F4"/>
    <w:rsid w:val="2D3B616C"/>
    <w:rsid w:val="2D3E311B"/>
    <w:rsid w:val="2D413FAE"/>
    <w:rsid w:val="2D480C06"/>
    <w:rsid w:val="2D56496C"/>
    <w:rsid w:val="2D5D321E"/>
    <w:rsid w:val="2D643464"/>
    <w:rsid w:val="2D6D32BF"/>
    <w:rsid w:val="2D8262FB"/>
    <w:rsid w:val="2D882533"/>
    <w:rsid w:val="2D8903A7"/>
    <w:rsid w:val="2DAB7994"/>
    <w:rsid w:val="2DBE09E4"/>
    <w:rsid w:val="2DC2613E"/>
    <w:rsid w:val="2DC37926"/>
    <w:rsid w:val="2DCC23DF"/>
    <w:rsid w:val="2DE111A7"/>
    <w:rsid w:val="2DEB50B9"/>
    <w:rsid w:val="2DFF09A4"/>
    <w:rsid w:val="2E010A65"/>
    <w:rsid w:val="2E0914CB"/>
    <w:rsid w:val="2E10426F"/>
    <w:rsid w:val="2E1A048B"/>
    <w:rsid w:val="2E1A59FE"/>
    <w:rsid w:val="2E1A71B1"/>
    <w:rsid w:val="2E2757C9"/>
    <w:rsid w:val="2E5345E6"/>
    <w:rsid w:val="2E5C485A"/>
    <w:rsid w:val="2E6420BF"/>
    <w:rsid w:val="2E6439DE"/>
    <w:rsid w:val="2E652BB6"/>
    <w:rsid w:val="2E775452"/>
    <w:rsid w:val="2E7B50B4"/>
    <w:rsid w:val="2E8D3915"/>
    <w:rsid w:val="2E9D2988"/>
    <w:rsid w:val="2EA224EE"/>
    <w:rsid w:val="2EA32225"/>
    <w:rsid w:val="2EA57AAE"/>
    <w:rsid w:val="2EB603AD"/>
    <w:rsid w:val="2EB674BA"/>
    <w:rsid w:val="2EC359E0"/>
    <w:rsid w:val="2ED409CA"/>
    <w:rsid w:val="2ED75A6A"/>
    <w:rsid w:val="2EF66980"/>
    <w:rsid w:val="2F0A6FEE"/>
    <w:rsid w:val="2F1E6997"/>
    <w:rsid w:val="2F2C6B39"/>
    <w:rsid w:val="2F416BD6"/>
    <w:rsid w:val="2F5615F0"/>
    <w:rsid w:val="2F6D0A28"/>
    <w:rsid w:val="2F6F7FA0"/>
    <w:rsid w:val="2F7273D5"/>
    <w:rsid w:val="2F7C72A0"/>
    <w:rsid w:val="2F896C85"/>
    <w:rsid w:val="2F8D44B4"/>
    <w:rsid w:val="2F9364EC"/>
    <w:rsid w:val="2FA813C7"/>
    <w:rsid w:val="2FAE0C71"/>
    <w:rsid w:val="2FB24A54"/>
    <w:rsid w:val="2FB64ABA"/>
    <w:rsid w:val="2FB8656B"/>
    <w:rsid w:val="2FBB6BC1"/>
    <w:rsid w:val="2FC15FB3"/>
    <w:rsid w:val="2FC90CFA"/>
    <w:rsid w:val="2FCB7AD6"/>
    <w:rsid w:val="2FD64A08"/>
    <w:rsid w:val="2FF7094A"/>
    <w:rsid w:val="2FF87685"/>
    <w:rsid w:val="2FFB56C8"/>
    <w:rsid w:val="301D7CF3"/>
    <w:rsid w:val="302535D3"/>
    <w:rsid w:val="3032677B"/>
    <w:rsid w:val="303A2460"/>
    <w:rsid w:val="303F15BB"/>
    <w:rsid w:val="3043393C"/>
    <w:rsid w:val="30532C37"/>
    <w:rsid w:val="307D443E"/>
    <w:rsid w:val="30885854"/>
    <w:rsid w:val="309A32FA"/>
    <w:rsid w:val="30B2256F"/>
    <w:rsid w:val="30B90F1C"/>
    <w:rsid w:val="30C77B35"/>
    <w:rsid w:val="30DD1501"/>
    <w:rsid w:val="30E649A5"/>
    <w:rsid w:val="30F16E34"/>
    <w:rsid w:val="30F22307"/>
    <w:rsid w:val="311D42E7"/>
    <w:rsid w:val="31230E2D"/>
    <w:rsid w:val="313C1E8F"/>
    <w:rsid w:val="314015BA"/>
    <w:rsid w:val="314B2F7C"/>
    <w:rsid w:val="31743655"/>
    <w:rsid w:val="31AC4CD7"/>
    <w:rsid w:val="31B63BB2"/>
    <w:rsid w:val="31B70669"/>
    <w:rsid w:val="31C322E3"/>
    <w:rsid w:val="31C90EA0"/>
    <w:rsid w:val="31D82650"/>
    <w:rsid w:val="31DD2974"/>
    <w:rsid w:val="31E4672E"/>
    <w:rsid w:val="31E605E1"/>
    <w:rsid w:val="31FA18AB"/>
    <w:rsid w:val="321D0528"/>
    <w:rsid w:val="3221020E"/>
    <w:rsid w:val="32455E2D"/>
    <w:rsid w:val="3269382D"/>
    <w:rsid w:val="32700286"/>
    <w:rsid w:val="32704DCB"/>
    <w:rsid w:val="327152A8"/>
    <w:rsid w:val="32854762"/>
    <w:rsid w:val="32862630"/>
    <w:rsid w:val="328D5E70"/>
    <w:rsid w:val="329111EB"/>
    <w:rsid w:val="329B5D08"/>
    <w:rsid w:val="32A2744E"/>
    <w:rsid w:val="32CC1729"/>
    <w:rsid w:val="32D86F5C"/>
    <w:rsid w:val="32E4616C"/>
    <w:rsid w:val="32E63493"/>
    <w:rsid w:val="32FD2BB5"/>
    <w:rsid w:val="3304494F"/>
    <w:rsid w:val="333E4AA1"/>
    <w:rsid w:val="33A501AF"/>
    <w:rsid w:val="33A5342A"/>
    <w:rsid w:val="33B07390"/>
    <w:rsid w:val="33B455E3"/>
    <w:rsid w:val="33BC298D"/>
    <w:rsid w:val="33BE29FF"/>
    <w:rsid w:val="33C41760"/>
    <w:rsid w:val="33C61052"/>
    <w:rsid w:val="33C85BF6"/>
    <w:rsid w:val="33CA6C0B"/>
    <w:rsid w:val="33F64848"/>
    <w:rsid w:val="340F41C4"/>
    <w:rsid w:val="341B08B5"/>
    <w:rsid w:val="342E5545"/>
    <w:rsid w:val="3452255B"/>
    <w:rsid w:val="34645C73"/>
    <w:rsid w:val="348171AF"/>
    <w:rsid w:val="34864ABE"/>
    <w:rsid w:val="348A69AC"/>
    <w:rsid w:val="348E0F46"/>
    <w:rsid w:val="34910835"/>
    <w:rsid w:val="34982F5A"/>
    <w:rsid w:val="34C05067"/>
    <w:rsid w:val="34E03A10"/>
    <w:rsid w:val="34EE31D1"/>
    <w:rsid w:val="34F44A36"/>
    <w:rsid w:val="34FD3441"/>
    <w:rsid w:val="35032CE7"/>
    <w:rsid w:val="350512F3"/>
    <w:rsid w:val="35094C76"/>
    <w:rsid w:val="350A09B5"/>
    <w:rsid w:val="35152180"/>
    <w:rsid w:val="352B5EFA"/>
    <w:rsid w:val="353372F2"/>
    <w:rsid w:val="353F61F1"/>
    <w:rsid w:val="354C66EA"/>
    <w:rsid w:val="355C174B"/>
    <w:rsid w:val="356A6881"/>
    <w:rsid w:val="35735319"/>
    <w:rsid w:val="357414B0"/>
    <w:rsid w:val="3587135D"/>
    <w:rsid w:val="35882183"/>
    <w:rsid w:val="358A4F2F"/>
    <w:rsid w:val="358D0124"/>
    <w:rsid w:val="358D78AF"/>
    <w:rsid w:val="35985423"/>
    <w:rsid w:val="35AA4762"/>
    <w:rsid w:val="35AE6F7E"/>
    <w:rsid w:val="35B00A57"/>
    <w:rsid w:val="35C56F1B"/>
    <w:rsid w:val="35C96213"/>
    <w:rsid w:val="35CC1D09"/>
    <w:rsid w:val="35CC5A51"/>
    <w:rsid w:val="35D66FEF"/>
    <w:rsid w:val="35D70891"/>
    <w:rsid w:val="35DB7867"/>
    <w:rsid w:val="35DD713E"/>
    <w:rsid w:val="35EE1A0E"/>
    <w:rsid w:val="36014725"/>
    <w:rsid w:val="36290CB7"/>
    <w:rsid w:val="36304E6B"/>
    <w:rsid w:val="363E2759"/>
    <w:rsid w:val="36413908"/>
    <w:rsid w:val="3674726C"/>
    <w:rsid w:val="367C520F"/>
    <w:rsid w:val="36870A44"/>
    <w:rsid w:val="368B5D06"/>
    <w:rsid w:val="36904507"/>
    <w:rsid w:val="36A20EA7"/>
    <w:rsid w:val="36A303DF"/>
    <w:rsid w:val="36AE48A7"/>
    <w:rsid w:val="36B3473F"/>
    <w:rsid w:val="36C15B4B"/>
    <w:rsid w:val="36C71B5F"/>
    <w:rsid w:val="36D32297"/>
    <w:rsid w:val="36D650F7"/>
    <w:rsid w:val="36D913FB"/>
    <w:rsid w:val="36EC5CB9"/>
    <w:rsid w:val="37033037"/>
    <w:rsid w:val="37094830"/>
    <w:rsid w:val="371259E6"/>
    <w:rsid w:val="376A3734"/>
    <w:rsid w:val="377A20AC"/>
    <w:rsid w:val="377D1D9A"/>
    <w:rsid w:val="377D53C0"/>
    <w:rsid w:val="378643E2"/>
    <w:rsid w:val="378C06E7"/>
    <w:rsid w:val="378F130F"/>
    <w:rsid w:val="37992498"/>
    <w:rsid w:val="379A523A"/>
    <w:rsid w:val="37DB57FA"/>
    <w:rsid w:val="37ED4803"/>
    <w:rsid w:val="38110E09"/>
    <w:rsid w:val="38195C1F"/>
    <w:rsid w:val="381D726B"/>
    <w:rsid w:val="381E7C17"/>
    <w:rsid w:val="38216643"/>
    <w:rsid w:val="382B5DCD"/>
    <w:rsid w:val="38374611"/>
    <w:rsid w:val="38387EDA"/>
    <w:rsid w:val="38535627"/>
    <w:rsid w:val="386119AA"/>
    <w:rsid w:val="386C155C"/>
    <w:rsid w:val="3888313E"/>
    <w:rsid w:val="388D20E7"/>
    <w:rsid w:val="38951964"/>
    <w:rsid w:val="38980DD2"/>
    <w:rsid w:val="389A34D7"/>
    <w:rsid w:val="38B82310"/>
    <w:rsid w:val="38B94422"/>
    <w:rsid w:val="38BB18EB"/>
    <w:rsid w:val="38CD2567"/>
    <w:rsid w:val="38CE4524"/>
    <w:rsid w:val="38D013D5"/>
    <w:rsid w:val="38D34E86"/>
    <w:rsid w:val="38E225E6"/>
    <w:rsid w:val="38F06712"/>
    <w:rsid w:val="39130A7E"/>
    <w:rsid w:val="391B70DF"/>
    <w:rsid w:val="39205DBA"/>
    <w:rsid w:val="392D4758"/>
    <w:rsid w:val="39352627"/>
    <w:rsid w:val="39453AAA"/>
    <w:rsid w:val="39560068"/>
    <w:rsid w:val="39584AB8"/>
    <w:rsid w:val="395C4243"/>
    <w:rsid w:val="396059DE"/>
    <w:rsid w:val="397B6482"/>
    <w:rsid w:val="397C0028"/>
    <w:rsid w:val="399C2686"/>
    <w:rsid w:val="39A67D8B"/>
    <w:rsid w:val="39BD6638"/>
    <w:rsid w:val="39D26021"/>
    <w:rsid w:val="39E21394"/>
    <w:rsid w:val="3A106D2F"/>
    <w:rsid w:val="3A1755FC"/>
    <w:rsid w:val="3A1A3531"/>
    <w:rsid w:val="3A364FE6"/>
    <w:rsid w:val="3A3801D0"/>
    <w:rsid w:val="3A54595E"/>
    <w:rsid w:val="3A58266B"/>
    <w:rsid w:val="3A5C4A5A"/>
    <w:rsid w:val="3A7633F1"/>
    <w:rsid w:val="3A78307D"/>
    <w:rsid w:val="3A8638D2"/>
    <w:rsid w:val="3AA43C5E"/>
    <w:rsid w:val="3AC548B4"/>
    <w:rsid w:val="3AD45565"/>
    <w:rsid w:val="3B0F40D8"/>
    <w:rsid w:val="3B1235E3"/>
    <w:rsid w:val="3B137A18"/>
    <w:rsid w:val="3B1663A5"/>
    <w:rsid w:val="3B1F50B9"/>
    <w:rsid w:val="3B2E524F"/>
    <w:rsid w:val="3B3754CF"/>
    <w:rsid w:val="3B4E6552"/>
    <w:rsid w:val="3B574FE7"/>
    <w:rsid w:val="3B6022E1"/>
    <w:rsid w:val="3B6255FF"/>
    <w:rsid w:val="3B8B4D1C"/>
    <w:rsid w:val="3B9562F5"/>
    <w:rsid w:val="3B980F7C"/>
    <w:rsid w:val="3B9F1A5F"/>
    <w:rsid w:val="3BA87661"/>
    <w:rsid w:val="3BC135E9"/>
    <w:rsid w:val="3BC62F0F"/>
    <w:rsid w:val="3BC76B1A"/>
    <w:rsid w:val="3BD91A0F"/>
    <w:rsid w:val="3BD96BAF"/>
    <w:rsid w:val="3BEE5CC0"/>
    <w:rsid w:val="3BF4422D"/>
    <w:rsid w:val="3BFB3E47"/>
    <w:rsid w:val="3C147157"/>
    <w:rsid w:val="3C1E0CB5"/>
    <w:rsid w:val="3C335285"/>
    <w:rsid w:val="3C557CE8"/>
    <w:rsid w:val="3C602386"/>
    <w:rsid w:val="3C764C4A"/>
    <w:rsid w:val="3CB243F2"/>
    <w:rsid w:val="3CD106D0"/>
    <w:rsid w:val="3CD331A2"/>
    <w:rsid w:val="3CD61F71"/>
    <w:rsid w:val="3CDB6AE2"/>
    <w:rsid w:val="3CDC0D48"/>
    <w:rsid w:val="3CE964D9"/>
    <w:rsid w:val="3CEF1AB3"/>
    <w:rsid w:val="3CF10A0C"/>
    <w:rsid w:val="3CFA022E"/>
    <w:rsid w:val="3D0A7A9B"/>
    <w:rsid w:val="3D0C0BD1"/>
    <w:rsid w:val="3D12031E"/>
    <w:rsid w:val="3D162D7B"/>
    <w:rsid w:val="3D285DAD"/>
    <w:rsid w:val="3D4C54D7"/>
    <w:rsid w:val="3D800A2B"/>
    <w:rsid w:val="3D9C31D4"/>
    <w:rsid w:val="3DA0713F"/>
    <w:rsid w:val="3DA30A10"/>
    <w:rsid w:val="3DAA3D8B"/>
    <w:rsid w:val="3DAB51D7"/>
    <w:rsid w:val="3DBB557D"/>
    <w:rsid w:val="3DC524EA"/>
    <w:rsid w:val="3DCB7799"/>
    <w:rsid w:val="3DD214B5"/>
    <w:rsid w:val="3DD23F59"/>
    <w:rsid w:val="3DF911C6"/>
    <w:rsid w:val="3DFB4D0D"/>
    <w:rsid w:val="3DFB5F99"/>
    <w:rsid w:val="3E0E2768"/>
    <w:rsid w:val="3E143DFF"/>
    <w:rsid w:val="3E1755EA"/>
    <w:rsid w:val="3E1B533F"/>
    <w:rsid w:val="3E4E0CC9"/>
    <w:rsid w:val="3E586339"/>
    <w:rsid w:val="3E5A7136"/>
    <w:rsid w:val="3E7C608C"/>
    <w:rsid w:val="3E7D2FA8"/>
    <w:rsid w:val="3E9A0C08"/>
    <w:rsid w:val="3E9A4006"/>
    <w:rsid w:val="3EA51E1E"/>
    <w:rsid w:val="3EB72D1B"/>
    <w:rsid w:val="3EC70EA4"/>
    <w:rsid w:val="3ECC1BF3"/>
    <w:rsid w:val="3ECD3F67"/>
    <w:rsid w:val="3EF33DA6"/>
    <w:rsid w:val="3EFF2CE1"/>
    <w:rsid w:val="3F055B4E"/>
    <w:rsid w:val="3F110F93"/>
    <w:rsid w:val="3F1B7C39"/>
    <w:rsid w:val="3F27016D"/>
    <w:rsid w:val="3F2E7C31"/>
    <w:rsid w:val="3F3417FD"/>
    <w:rsid w:val="3F3C4575"/>
    <w:rsid w:val="3F421465"/>
    <w:rsid w:val="3F4F2F0F"/>
    <w:rsid w:val="3F550D8E"/>
    <w:rsid w:val="3F5A7279"/>
    <w:rsid w:val="3F5D5728"/>
    <w:rsid w:val="3F832F2F"/>
    <w:rsid w:val="3F8410BF"/>
    <w:rsid w:val="3F930DCC"/>
    <w:rsid w:val="3FA71DFD"/>
    <w:rsid w:val="3FDD25D2"/>
    <w:rsid w:val="3FE439FB"/>
    <w:rsid w:val="3FF95A49"/>
    <w:rsid w:val="400458EB"/>
    <w:rsid w:val="400510BD"/>
    <w:rsid w:val="40260638"/>
    <w:rsid w:val="40340EB6"/>
    <w:rsid w:val="404A2824"/>
    <w:rsid w:val="405278F4"/>
    <w:rsid w:val="409448D7"/>
    <w:rsid w:val="40A16525"/>
    <w:rsid w:val="40A34653"/>
    <w:rsid w:val="40A86291"/>
    <w:rsid w:val="40AC7F15"/>
    <w:rsid w:val="40B24DF5"/>
    <w:rsid w:val="40C709A7"/>
    <w:rsid w:val="40D33227"/>
    <w:rsid w:val="40D956B7"/>
    <w:rsid w:val="40D973ED"/>
    <w:rsid w:val="40E932BD"/>
    <w:rsid w:val="40F72FD8"/>
    <w:rsid w:val="4100258C"/>
    <w:rsid w:val="41183027"/>
    <w:rsid w:val="411D02E1"/>
    <w:rsid w:val="411D383B"/>
    <w:rsid w:val="411D3C70"/>
    <w:rsid w:val="412A09A8"/>
    <w:rsid w:val="413F5772"/>
    <w:rsid w:val="414C11E9"/>
    <w:rsid w:val="41542874"/>
    <w:rsid w:val="41551BA4"/>
    <w:rsid w:val="415F139B"/>
    <w:rsid w:val="416A1CC5"/>
    <w:rsid w:val="4171040F"/>
    <w:rsid w:val="41724AAC"/>
    <w:rsid w:val="41800B7C"/>
    <w:rsid w:val="41922B75"/>
    <w:rsid w:val="419D43D9"/>
    <w:rsid w:val="41A144BD"/>
    <w:rsid w:val="41B31826"/>
    <w:rsid w:val="41C00655"/>
    <w:rsid w:val="41C1677A"/>
    <w:rsid w:val="41C53266"/>
    <w:rsid w:val="41CF3026"/>
    <w:rsid w:val="41DB17B6"/>
    <w:rsid w:val="41F453E5"/>
    <w:rsid w:val="41F5172E"/>
    <w:rsid w:val="421D510F"/>
    <w:rsid w:val="42272785"/>
    <w:rsid w:val="422B61CB"/>
    <w:rsid w:val="422E577D"/>
    <w:rsid w:val="425A5C8A"/>
    <w:rsid w:val="42893225"/>
    <w:rsid w:val="428D4A8E"/>
    <w:rsid w:val="42980EC1"/>
    <w:rsid w:val="42A5544E"/>
    <w:rsid w:val="42C84D09"/>
    <w:rsid w:val="42CA3615"/>
    <w:rsid w:val="42D15A05"/>
    <w:rsid w:val="42DE3E09"/>
    <w:rsid w:val="42EB2CF3"/>
    <w:rsid w:val="43262C7F"/>
    <w:rsid w:val="43300A47"/>
    <w:rsid w:val="43422ED7"/>
    <w:rsid w:val="43443C09"/>
    <w:rsid w:val="434A4E49"/>
    <w:rsid w:val="43516BA0"/>
    <w:rsid w:val="438C2FE7"/>
    <w:rsid w:val="439F369E"/>
    <w:rsid w:val="43AD711E"/>
    <w:rsid w:val="43B70268"/>
    <w:rsid w:val="43C26A87"/>
    <w:rsid w:val="43CB4B40"/>
    <w:rsid w:val="43D95EA2"/>
    <w:rsid w:val="43DC166E"/>
    <w:rsid w:val="43E223E9"/>
    <w:rsid w:val="43FD194D"/>
    <w:rsid w:val="441265B9"/>
    <w:rsid w:val="44200C1E"/>
    <w:rsid w:val="44225E2B"/>
    <w:rsid w:val="442A2654"/>
    <w:rsid w:val="445E3514"/>
    <w:rsid w:val="44617E7D"/>
    <w:rsid w:val="448D7318"/>
    <w:rsid w:val="44A47D57"/>
    <w:rsid w:val="44A57D07"/>
    <w:rsid w:val="44A90A3B"/>
    <w:rsid w:val="44AF170B"/>
    <w:rsid w:val="44B0347C"/>
    <w:rsid w:val="44B862CE"/>
    <w:rsid w:val="44BD26C3"/>
    <w:rsid w:val="44C85FF0"/>
    <w:rsid w:val="44DF6B20"/>
    <w:rsid w:val="44FF0C21"/>
    <w:rsid w:val="44FF6FCD"/>
    <w:rsid w:val="45044B25"/>
    <w:rsid w:val="45053F9F"/>
    <w:rsid w:val="45144EE9"/>
    <w:rsid w:val="451B6700"/>
    <w:rsid w:val="453B3E56"/>
    <w:rsid w:val="453F4545"/>
    <w:rsid w:val="45415DD5"/>
    <w:rsid w:val="455B58E4"/>
    <w:rsid w:val="4561366C"/>
    <w:rsid w:val="45666221"/>
    <w:rsid w:val="458A0FC3"/>
    <w:rsid w:val="45FF4EEE"/>
    <w:rsid w:val="46145E02"/>
    <w:rsid w:val="46173488"/>
    <w:rsid w:val="461E1416"/>
    <w:rsid w:val="46281DDA"/>
    <w:rsid w:val="462E647A"/>
    <w:rsid w:val="464C4CFF"/>
    <w:rsid w:val="465D1E5F"/>
    <w:rsid w:val="46621BC8"/>
    <w:rsid w:val="46635B26"/>
    <w:rsid w:val="467030B5"/>
    <w:rsid w:val="4673146B"/>
    <w:rsid w:val="467B1633"/>
    <w:rsid w:val="467C7384"/>
    <w:rsid w:val="46853042"/>
    <w:rsid w:val="46894538"/>
    <w:rsid w:val="46912271"/>
    <w:rsid w:val="469164D4"/>
    <w:rsid w:val="46A978A2"/>
    <w:rsid w:val="46B75D74"/>
    <w:rsid w:val="46C66740"/>
    <w:rsid w:val="46D87E6B"/>
    <w:rsid w:val="46DD54BB"/>
    <w:rsid w:val="46E77108"/>
    <w:rsid w:val="4705466C"/>
    <w:rsid w:val="47056F58"/>
    <w:rsid w:val="471F1C19"/>
    <w:rsid w:val="475727CB"/>
    <w:rsid w:val="476E1C3A"/>
    <w:rsid w:val="47731195"/>
    <w:rsid w:val="47745DB7"/>
    <w:rsid w:val="47847395"/>
    <w:rsid w:val="47A26BE4"/>
    <w:rsid w:val="47BA6685"/>
    <w:rsid w:val="47BB6954"/>
    <w:rsid w:val="47BB6FB5"/>
    <w:rsid w:val="47DC2006"/>
    <w:rsid w:val="47F571C0"/>
    <w:rsid w:val="47F7299A"/>
    <w:rsid w:val="48076B76"/>
    <w:rsid w:val="48113782"/>
    <w:rsid w:val="481F72C8"/>
    <w:rsid w:val="48317D1F"/>
    <w:rsid w:val="484846F1"/>
    <w:rsid w:val="487239CA"/>
    <w:rsid w:val="48730676"/>
    <w:rsid w:val="48793FF2"/>
    <w:rsid w:val="487D6944"/>
    <w:rsid w:val="488D3D02"/>
    <w:rsid w:val="48A1719F"/>
    <w:rsid w:val="48AE6651"/>
    <w:rsid w:val="48B773EE"/>
    <w:rsid w:val="48C63C4C"/>
    <w:rsid w:val="490C157D"/>
    <w:rsid w:val="49262789"/>
    <w:rsid w:val="492F1729"/>
    <w:rsid w:val="49393846"/>
    <w:rsid w:val="494215D5"/>
    <w:rsid w:val="495523D0"/>
    <w:rsid w:val="49557CD1"/>
    <w:rsid w:val="495D19B4"/>
    <w:rsid w:val="495E1EFB"/>
    <w:rsid w:val="497C4AD3"/>
    <w:rsid w:val="49973D5B"/>
    <w:rsid w:val="49AC67AD"/>
    <w:rsid w:val="49AD30D6"/>
    <w:rsid w:val="49B25EDB"/>
    <w:rsid w:val="49C076E6"/>
    <w:rsid w:val="49D22F38"/>
    <w:rsid w:val="49E50A97"/>
    <w:rsid w:val="49EE66EE"/>
    <w:rsid w:val="49FD567C"/>
    <w:rsid w:val="49FF37BD"/>
    <w:rsid w:val="4A293989"/>
    <w:rsid w:val="4A294542"/>
    <w:rsid w:val="4A3D290A"/>
    <w:rsid w:val="4A482C46"/>
    <w:rsid w:val="4A514477"/>
    <w:rsid w:val="4A604993"/>
    <w:rsid w:val="4A6C7464"/>
    <w:rsid w:val="4A771C30"/>
    <w:rsid w:val="4A7C406A"/>
    <w:rsid w:val="4A7C4435"/>
    <w:rsid w:val="4A7D706D"/>
    <w:rsid w:val="4A97291E"/>
    <w:rsid w:val="4A99744C"/>
    <w:rsid w:val="4A9B0410"/>
    <w:rsid w:val="4AAD6710"/>
    <w:rsid w:val="4ABA5D48"/>
    <w:rsid w:val="4AC57D81"/>
    <w:rsid w:val="4AE54DCC"/>
    <w:rsid w:val="4AF22C1C"/>
    <w:rsid w:val="4AF87F15"/>
    <w:rsid w:val="4AF93409"/>
    <w:rsid w:val="4B170FAA"/>
    <w:rsid w:val="4B182BCD"/>
    <w:rsid w:val="4B211301"/>
    <w:rsid w:val="4B3B0809"/>
    <w:rsid w:val="4B5D6060"/>
    <w:rsid w:val="4B62324F"/>
    <w:rsid w:val="4B720468"/>
    <w:rsid w:val="4B756E4D"/>
    <w:rsid w:val="4B8F7C01"/>
    <w:rsid w:val="4B9A72C2"/>
    <w:rsid w:val="4BAE346A"/>
    <w:rsid w:val="4BC20656"/>
    <w:rsid w:val="4BC913B0"/>
    <w:rsid w:val="4BD74903"/>
    <w:rsid w:val="4BE23BF2"/>
    <w:rsid w:val="4BF6575E"/>
    <w:rsid w:val="4BF82A3F"/>
    <w:rsid w:val="4BFF75D5"/>
    <w:rsid w:val="4C022961"/>
    <w:rsid w:val="4C1048AE"/>
    <w:rsid w:val="4C147699"/>
    <w:rsid w:val="4C152F4B"/>
    <w:rsid w:val="4C2729E3"/>
    <w:rsid w:val="4C2C04DD"/>
    <w:rsid w:val="4C3A71E8"/>
    <w:rsid w:val="4C3B1CCD"/>
    <w:rsid w:val="4C432679"/>
    <w:rsid w:val="4C441D94"/>
    <w:rsid w:val="4C4A4DE7"/>
    <w:rsid w:val="4C503E5E"/>
    <w:rsid w:val="4C5D3D55"/>
    <w:rsid w:val="4C8374E9"/>
    <w:rsid w:val="4C961018"/>
    <w:rsid w:val="4C9C0E75"/>
    <w:rsid w:val="4C9F07C8"/>
    <w:rsid w:val="4CA72A0E"/>
    <w:rsid w:val="4CC61471"/>
    <w:rsid w:val="4CCC79A7"/>
    <w:rsid w:val="4CCF5550"/>
    <w:rsid w:val="4CE11854"/>
    <w:rsid w:val="4CF90D33"/>
    <w:rsid w:val="4CFB36C7"/>
    <w:rsid w:val="4D103D08"/>
    <w:rsid w:val="4D361D8E"/>
    <w:rsid w:val="4D3C7250"/>
    <w:rsid w:val="4D442190"/>
    <w:rsid w:val="4D4B3C5A"/>
    <w:rsid w:val="4D6F452E"/>
    <w:rsid w:val="4D757931"/>
    <w:rsid w:val="4D823593"/>
    <w:rsid w:val="4D8755EF"/>
    <w:rsid w:val="4D8966C5"/>
    <w:rsid w:val="4D8D64FF"/>
    <w:rsid w:val="4D927F0B"/>
    <w:rsid w:val="4DA13E8F"/>
    <w:rsid w:val="4DB554B0"/>
    <w:rsid w:val="4DB604FC"/>
    <w:rsid w:val="4DB94F20"/>
    <w:rsid w:val="4DCA154C"/>
    <w:rsid w:val="4DE23307"/>
    <w:rsid w:val="4DEF266D"/>
    <w:rsid w:val="4DFF1A45"/>
    <w:rsid w:val="4E037A6D"/>
    <w:rsid w:val="4E086261"/>
    <w:rsid w:val="4E0E553F"/>
    <w:rsid w:val="4E100B61"/>
    <w:rsid w:val="4E154664"/>
    <w:rsid w:val="4E1F57CA"/>
    <w:rsid w:val="4E264007"/>
    <w:rsid w:val="4E2938F1"/>
    <w:rsid w:val="4E407A18"/>
    <w:rsid w:val="4E5D56D3"/>
    <w:rsid w:val="4E726FF9"/>
    <w:rsid w:val="4E750776"/>
    <w:rsid w:val="4E97079E"/>
    <w:rsid w:val="4EAA42D4"/>
    <w:rsid w:val="4EAF770A"/>
    <w:rsid w:val="4EB7755C"/>
    <w:rsid w:val="4EBF7BB5"/>
    <w:rsid w:val="4EC05F57"/>
    <w:rsid w:val="4EDB5AFB"/>
    <w:rsid w:val="4EDC4002"/>
    <w:rsid w:val="4EE064E6"/>
    <w:rsid w:val="4EEE4D65"/>
    <w:rsid w:val="4EEF5044"/>
    <w:rsid w:val="4EFB3439"/>
    <w:rsid w:val="4EFE0D30"/>
    <w:rsid w:val="4F000235"/>
    <w:rsid w:val="4F003627"/>
    <w:rsid w:val="4F120B82"/>
    <w:rsid w:val="4F18763F"/>
    <w:rsid w:val="4F3105F1"/>
    <w:rsid w:val="4F3D1EA3"/>
    <w:rsid w:val="4F493EE5"/>
    <w:rsid w:val="4F543BA2"/>
    <w:rsid w:val="4F5969F6"/>
    <w:rsid w:val="4F84453B"/>
    <w:rsid w:val="4F914076"/>
    <w:rsid w:val="4FA63421"/>
    <w:rsid w:val="4FA76634"/>
    <w:rsid w:val="4FAC18D8"/>
    <w:rsid w:val="4FAD6236"/>
    <w:rsid w:val="4FB36E73"/>
    <w:rsid w:val="4FC465CA"/>
    <w:rsid w:val="4FCA6E29"/>
    <w:rsid w:val="4FCF54D5"/>
    <w:rsid w:val="50053DE2"/>
    <w:rsid w:val="50070BC0"/>
    <w:rsid w:val="501320E8"/>
    <w:rsid w:val="5013341D"/>
    <w:rsid w:val="50141D66"/>
    <w:rsid w:val="50291719"/>
    <w:rsid w:val="503D4005"/>
    <w:rsid w:val="50442EEA"/>
    <w:rsid w:val="504A5930"/>
    <w:rsid w:val="504A6CA1"/>
    <w:rsid w:val="50700670"/>
    <w:rsid w:val="50782675"/>
    <w:rsid w:val="508D3D5A"/>
    <w:rsid w:val="509C4916"/>
    <w:rsid w:val="50A3040E"/>
    <w:rsid w:val="50B51517"/>
    <w:rsid w:val="50CF3C62"/>
    <w:rsid w:val="50D507AB"/>
    <w:rsid w:val="50D57639"/>
    <w:rsid w:val="50D72E73"/>
    <w:rsid w:val="50FD39F7"/>
    <w:rsid w:val="510B1C42"/>
    <w:rsid w:val="510D74EF"/>
    <w:rsid w:val="51117005"/>
    <w:rsid w:val="513067C9"/>
    <w:rsid w:val="51617A25"/>
    <w:rsid w:val="51752959"/>
    <w:rsid w:val="51844E36"/>
    <w:rsid w:val="519161EB"/>
    <w:rsid w:val="519565CB"/>
    <w:rsid w:val="519F335D"/>
    <w:rsid w:val="51B55E29"/>
    <w:rsid w:val="51B902DC"/>
    <w:rsid w:val="51C52E38"/>
    <w:rsid w:val="51CC0CA7"/>
    <w:rsid w:val="51E056A6"/>
    <w:rsid w:val="51E10194"/>
    <w:rsid w:val="520936AF"/>
    <w:rsid w:val="52113FBB"/>
    <w:rsid w:val="522D4227"/>
    <w:rsid w:val="522E717A"/>
    <w:rsid w:val="52370DB8"/>
    <w:rsid w:val="523762BF"/>
    <w:rsid w:val="527121E0"/>
    <w:rsid w:val="528600BD"/>
    <w:rsid w:val="52A61260"/>
    <w:rsid w:val="52AD4823"/>
    <w:rsid w:val="52AE568E"/>
    <w:rsid w:val="52B1743D"/>
    <w:rsid w:val="52B5237C"/>
    <w:rsid w:val="52B958AF"/>
    <w:rsid w:val="52C61747"/>
    <w:rsid w:val="52E610C0"/>
    <w:rsid w:val="52EE768A"/>
    <w:rsid w:val="52F13A3C"/>
    <w:rsid w:val="52FD0CC8"/>
    <w:rsid w:val="53046F59"/>
    <w:rsid w:val="53104F19"/>
    <w:rsid w:val="53262D8A"/>
    <w:rsid w:val="53355A69"/>
    <w:rsid w:val="533A056C"/>
    <w:rsid w:val="534529C7"/>
    <w:rsid w:val="53663BC7"/>
    <w:rsid w:val="536B0775"/>
    <w:rsid w:val="53845E16"/>
    <w:rsid w:val="53884CBB"/>
    <w:rsid w:val="539115A5"/>
    <w:rsid w:val="5394146E"/>
    <w:rsid w:val="53957B0B"/>
    <w:rsid w:val="53971CE8"/>
    <w:rsid w:val="5397367E"/>
    <w:rsid w:val="53C6644B"/>
    <w:rsid w:val="53C9514A"/>
    <w:rsid w:val="53D57F23"/>
    <w:rsid w:val="53DD292E"/>
    <w:rsid w:val="53DF36A2"/>
    <w:rsid w:val="53E27943"/>
    <w:rsid w:val="53EF50C7"/>
    <w:rsid w:val="53F44E73"/>
    <w:rsid w:val="54052955"/>
    <w:rsid w:val="54164C51"/>
    <w:rsid w:val="54310A8F"/>
    <w:rsid w:val="543D4258"/>
    <w:rsid w:val="544557E2"/>
    <w:rsid w:val="54475A76"/>
    <w:rsid w:val="544C090F"/>
    <w:rsid w:val="544F16E5"/>
    <w:rsid w:val="545259CC"/>
    <w:rsid w:val="54723B51"/>
    <w:rsid w:val="547F4FF8"/>
    <w:rsid w:val="547F50EF"/>
    <w:rsid w:val="54845109"/>
    <w:rsid w:val="548677CA"/>
    <w:rsid w:val="549D630C"/>
    <w:rsid w:val="549E2395"/>
    <w:rsid w:val="54AD16D5"/>
    <w:rsid w:val="54AD5EC3"/>
    <w:rsid w:val="54BE7E3C"/>
    <w:rsid w:val="54BF7B05"/>
    <w:rsid w:val="54C44BB1"/>
    <w:rsid w:val="54C6247F"/>
    <w:rsid w:val="54D82C41"/>
    <w:rsid w:val="54D906C2"/>
    <w:rsid w:val="54E96621"/>
    <w:rsid w:val="54F85A04"/>
    <w:rsid w:val="55154AAE"/>
    <w:rsid w:val="55207DA4"/>
    <w:rsid w:val="552D5605"/>
    <w:rsid w:val="553736DA"/>
    <w:rsid w:val="554C2C4A"/>
    <w:rsid w:val="55531E3F"/>
    <w:rsid w:val="557A7A6E"/>
    <w:rsid w:val="55924E79"/>
    <w:rsid w:val="55A573F9"/>
    <w:rsid w:val="55AE6970"/>
    <w:rsid w:val="55BC6152"/>
    <w:rsid w:val="55BE4695"/>
    <w:rsid w:val="55C1371E"/>
    <w:rsid w:val="55C742C1"/>
    <w:rsid w:val="55CB25E6"/>
    <w:rsid w:val="55CE11CC"/>
    <w:rsid w:val="55DE31E6"/>
    <w:rsid w:val="55E24B74"/>
    <w:rsid w:val="55EB69DC"/>
    <w:rsid w:val="55F30B3D"/>
    <w:rsid w:val="56424834"/>
    <w:rsid w:val="5659060E"/>
    <w:rsid w:val="565F2FF4"/>
    <w:rsid w:val="56634082"/>
    <w:rsid w:val="567103D9"/>
    <w:rsid w:val="568F0614"/>
    <w:rsid w:val="569E2B28"/>
    <w:rsid w:val="56A74464"/>
    <w:rsid w:val="56A92055"/>
    <w:rsid w:val="56A942A3"/>
    <w:rsid w:val="56AB5BB0"/>
    <w:rsid w:val="56B911C0"/>
    <w:rsid w:val="56B975DE"/>
    <w:rsid w:val="56C67981"/>
    <w:rsid w:val="56D00923"/>
    <w:rsid w:val="56D751C8"/>
    <w:rsid w:val="56DF5B00"/>
    <w:rsid w:val="56E24DF4"/>
    <w:rsid w:val="570827D1"/>
    <w:rsid w:val="570835B0"/>
    <w:rsid w:val="5712368F"/>
    <w:rsid w:val="571B4688"/>
    <w:rsid w:val="573B6AE2"/>
    <w:rsid w:val="577867A3"/>
    <w:rsid w:val="577B5737"/>
    <w:rsid w:val="579A1F40"/>
    <w:rsid w:val="57D01858"/>
    <w:rsid w:val="57DA2BF3"/>
    <w:rsid w:val="57DD644B"/>
    <w:rsid w:val="57E30481"/>
    <w:rsid w:val="57E92D46"/>
    <w:rsid w:val="57EB5CB9"/>
    <w:rsid w:val="57EC183D"/>
    <w:rsid w:val="57F524F2"/>
    <w:rsid w:val="580B0930"/>
    <w:rsid w:val="580B468F"/>
    <w:rsid w:val="58103B00"/>
    <w:rsid w:val="58176636"/>
    <w:rsid w:val="582F24E2"/>
    <w:rsid w:val="58446B46"/>
    <w:rsid w:val="584D7718"/>
    <w:rsid w:val="584F7A00"/>
    <w:rsid w:val="58536F0A"/>
    <w:rsid w:val="5868065A"/>
    <w:rsid w:val="587A2A34"/>
    <w:rsid w:val="58870EF8"/>
    <w:rsid w:val="5888345C"/>
    <w:rsid w:val="58AA461B"/>
    <w:rsid w:val="58C35C5A"/>
    <w:rsid w:val="58C419D1"/>
    <w:rsid w:val="58C44D8F"/>
    <w:rsid w:val="58DB1D95"/>
    <w:rsid w:val="5903217F"/>
    <w:rsid w:val="59101764"/>
    <w:rsid w:val="593C1B72"/>
    <w:rsid w:val="593D2B64"/>
    <w:rsid w:val="59533FBD"/>
    <w:rsid w:val="596308D2"/>
    <w:rsid w:val="596463BC"/>
    <w:rsid w:val="59681A7F"/>
    <w:rsid w:val="59751212"/>
    <w:rsid w:val="59784587"/>
    <w:rsid w:val="59807A06"/>
    <w:rsid w:val="598A288A"/>
    <w:rsid w:val="599A39F8"/>
    <w:rsid w:val="59B268A5"/>
    <w:rsid w:val="59B60D67"/>
    <w:rsid w:val="59B91D1F"/>
    <w:rsid w:val="59BC4495"/>
    <w:rsid w:val="59E34325"/>
    <w:rsid w:val="59E4388E"/>
    <w:rsid w:val="5A053708"/>
    <w:rsid w:val="5A22764E"/>
    <w:rsid w:val="5A2F1CE1"/>
    <w:rsid w:val="5A425DD0"/>
    <w:rsid w:val="5A4956DF"/>
    <w:rsid w:val="5A6F4665"/>
    <w:rsid w:val="5A786D70"/>
    <w:rsid w:val="5A846122"/>
    <w:rsid w:val="5A8869A2"/>
    <w:rsid w:val="5A982351"/>
    <w:rsid w:val="5A9B3947"/>
    <w:rsid w:val="5AA53944"/>
    <w:rsid w:val="5AA65E5C"/>
    <w:rsid w:val="5AB4613F"/>
    <w:rsid w:val="5AB745F1"/>
    <w:rsid w:val="5ABE1308"/>
    <w:rsid w:val="5AD10B93"/>
    <w:rsid w:val="5AD667E9"/>
    <w:rsid w:val="5AE076F6"/>
    <w:rsid w:val="5AE801C6"/>
    <w:rsid w:val="5AEF777F"/>
    <w:rsid w:val="5AF05301"/>
    <w:rsid w:val="5AFB7A99"/>
    <w:rsid w:val="5AFC1DEC"/>
    <w:rsid w:val="5B035B7A"/>
    <w:rsid w:val="5B095EC2"/>
    <w:rsid w:val="5B0B6CC8"/>
    <w:rsid w:val="5B111B46"/>
    <w:rsid w:val="5B15739D"/>
    <w:rsid w:val="5B2648AF"/>
    <w:rsid w:val="5B410A07"/>
    <w:rsid w:val="5B4325C6"/>
    <w:rsid w:val="5B473873"/>
    <w:rsid w:val="5B682F3C"/>
    <w:rsid w:val="5B743EFA"/>
    <w:rsid w:val="5B7E1FE6"/>
    <w:rsid w:val="5B8A12D1"/>
    <w:rsid w:val="5B8C3250"/>
    <w:rsid w:val="5B952383"/>
    <w:rsid w:val="5B96647E"/>
    <w:rsid w:val="5B9E70A7"/>
    <w:rsid w:val="5BA97A4C"/>
    <w:rsid w:val="5BB60557"/>
    <w:rsid w:val="5BB73330"/>
    <w:rsid w:val="5BBC567D"/>
    <w:rsid w:val="5BC2522C"/>
    <w:rsid w:val="5BD86B0F"/>
    <w:rsid w:val="5BF76AFF"/>
    <w:rsid w:val="5C0B16D0"/>
    <w:rsid w:val="5C150216"/>
    <w:rsid w:val="5C1A577B"/>
    <w:rsid w:val="5C3F15D1"/>
    <w:rsid w:val="5C435DA2"/>
    <w:rsid w:val="5C4656F2"/>
    <w:rsid w:val="5C5830BD"/>
    <w:rsid w:val="5C6D6F38"/>
    <w:rsid w:val="5C851CE4"/>
    <w:rsid w:val="5C8A74DF"/>
    <w:rsid w:val="5C9231A0"/>
    <w:rsid w:val="5C9A32B6"/>
    <w:rsid w:val="5C9A5B3D"/>
    <w:rsid w:val="5C9D6150"/>
    <w:rsid w:val="5CAB3739"/>
    <w:rsid w:val="5CB436A5"/>
    <w:rsid w:val="5CB61560"/>
    <w:rsid w:val="5CD0261D"/>
    <w:rsid w:val="5CD56E1D"/>
    <w:rsid w:val="5CDE193D"/>
    <w:rsid w:val="5CE115AE"/>
    <w:rsid w:val="5CE57A80"/>
    <w:rsid w:val="5CF20B6E"/>
    <w:rsid w:val="5CF21906"/>
    <w:rsid w:val="5CF67A38"/>
    <w:rsid w:val="5CF95583"/>
    <w:rsid w:val="5D1866B0"/>
    <w:rsid w:val="5D217666"/>
    <w:rsid w:val="5D223775"/>
    <w:rsid w:val="5D2913CE"/>
    <w:rsid w:val="5D350C29"/>
    <w:rsid w:val="5D3C2F59"/>
    <w:rsid w:val="5D442AD8"/>
    <w:rsid w:val="5D514A8D"/>
    <w:rsid w:val="5D6B3E4E"/>
    <w:rsid w:val="5D7956C0"/>
    <w:rsid w:val="5D8466F2"/>
    <w:rsid w:val="5DAB5ADD"/>
    <w:rsid w:val="5DB4008F"/>
    <w:rsid w:val="5DB73418"/>
    <w:rsid w:val="5DC0482A"/>
    <w:rsid w:val="5DCC4E45"/>
    <w:rsid w:val="5DD86D02"/>
    <w:rsid w:val="5DDF544F"/>
    <w:rsid w:val="5DF33A02"/>
    <w:rsid w:val="5DFB6846"/>
    <w:rsid w:val="5E0E4ED0"/>
    <w:rsid w:val="5E140CCA"/>
    <w:rsid w:val="5E2329B3"/>
    <w:rsid w:val="5E296ECF"/>
    <w:rsid w:val="5E3A3D88"/>
    <w:rsid w:val="5E516812"/>
    <w:rsid w:val="5E58762F"/>
    <w:rsid w:val="5E610573"/>
    <w:rsid w:val="5E69572B"/>
    <w:rsid w:val="5E775FEB"/>
    <w:rsid w:val="5E8D5F04"/>
    <w:rsid w:val="5EB01F7D"/>
    <w:rsid w:val="5EB35BB8"/>
    <w:rsid w:val="5EB47219"/>
    <w:rsid w:val="5EB86C7D"/>
    <w:rsid w:val="5EBD71E2"/>
    <w:rsid w:val="5EDA2B01"/>
    <w:rsid w:val="5EE8405C"/>
    <w:rsid w:val="5EF32213"/>
    <w:rsid w:val="5F115688"/>
    <w:rsid w:val="5F125CF8"/>
    <w:rsid w:val="5F1705A9"/>
    <w:rsid w:val="5F257C5D"/>
    <w:rsid w:val="5F275029"/>
    <w:rsid w:val="5F2E05FC"/>
    <w:rsid w:val="5F306E17"/>
    <w:rsid w:val="5F380DB0"/>
    <w:rsid w:val="5F38212D"/>
    <w:rsid w:val="5F5978BA"/>
    <w:rsid w:val="5F5FFE38"/>
    <w:rsid w:val="5F69628A"/>
    <w:rsid w:val="5F6A072E"/>
    <w:rsid w:val="5F6C3FED"/>
    <w:rsid w:val="5F7B10DB"/>
    <w:rsid w:val="5F7E2456"/>
    <w:rsid w:val="5F7E33A3"/>
    <w:rsid w:val="5F8106B5"/>
    <w:rsid w:val="5F8C0940"/>
    <w:rsid w:val="5F8F02E1"/>
    <w:rsid w:val="5F956298"/>
    <w:rsid w:val="5F98157D"/>
    <w:rsid w:val="5F9D670D"/>
    <w:rsid w:val="5FB707B0"/>
    <w:rsid w:val="5FD25D4F"/>
    <w:rsid w:val="5FD5319D"/>
    <w:rsid w:val="5FD6248C"/>
    <w:rsid w:val="5FE01BA0"/>
    <w:rsid w:val="5FE1485F"/>
    <w:rsid w:val="602D0C0F"/>
    <w:rsid w:val="603830DD"/>
    <w:rsid w:val="60384B41"/>
    <w:rsid w:val="60590C12"/>
    <w:rsid w:val="60670E56"/>
    <w:rsid w:val="60673877"/>
    <w:rsid w:val="60673A29"/>
    <w:rsid w:val="6085453E"/>
    <w:rsid w:val="60AE48A0"/>
    <w:rsid w:val="60C40042"/>
    <w:rsid w:val="60D72C76"/>
    <w:rsid w:val="60E854C3"/>
    <w:rsid w:val="610542BE"/>
    <w:rsid w:val="611B6C2B"/>
    <w:rsid w:val="61234E0C"/>
    <w:rsid w:val="613A1FA7"/>
    <w:rsid w:val="613B077C"/>
    <w:rsid w:val="61444045"/>
    <w:rsid w:val="614F743B"/>
    <w:rsid w:val="61557D50"/>
    <w:rsid w:val="619009DE"/>
    <w:rsid w:val="61A17EA2"/>
    <w:rsid w:val="61A82643"/>
    <w:rsid w:val="61BD7E80"/>
    <w:rsid w:val="61C27004"/>
    <w:rsid w:val="61CD0996"/>
    <w:rsid w:val="61D21289"/>
    <w:rsid w:val="61ED2B48"/>
    <w:rsid w:val="61EF6675"/>
    <w:rsid w:val="61EF6A48"/>
    <w:rsid w:val="61F76C0F"/>
    <w:rsid w:val="61FB4CC6"/>
    <w:rsid w:val="620A2D8E"/>
    <w:rsid w:val="621721A7"/>
    <w:rsid w:val="62233EBD"/>
    <w:rsid w:val="62386E71"/>
    <w:rsid w:val="62417FA2"/>
    <w:rsid w:val="6247703F"/>
    <w:rsid w:val="627E2EA3"/>
    <w:rsid w:val="6280137D"/>
    <w:rsid w:val="628076B0"/>
    <w:rsid w:val="6284418B"/>
    <w:rsid w:val="62936594"/>
    <w:rsid w:val="62A016CA"/>
    <w:rsid w:val="62B3503F"/>
    <w:rsid w:val="62DE4533"/>
    <w:rsid w:val="62EF5036"/>
    <w:rsid w:val="62FA7568"/>
    <w:rsid w:val="63290AF2"/>
    <w:rsid w:val="632C40B7"/>
    <w:rsid w:val="63345386"/>
    <w:rsid w:val="63467B54"/>
    <w:rsid w:val="63895F52"/>
    <w:rsid w:val="639D69BF"/>
    <w:rsid w:val="639D7F81"/>
    <w:rsid w:val="63A315A2"/>
    <w:rsid w:val="63AA5768"/>
    <w:rsid w:val="63BC4D8A"/>
    <w:rsid w:val="63BC7FD3"/>
    <w:rsid w:val="63D3544C"/>
    <w:rsid w:val="63DB15F8"/>
    <w:rsid w:val="63DC6B94"/>
    <w:rsid w:val="63F16C37"/>
    <w:rsid w:val="641710C7"/>
    <w:rsid w:val="64207E5F"/>
    <w:rsid w:val="643463B5"/>
    <w:rsid w:val="643B6BFE"/>
    <w:rsid w:val="6445721A"/>
    <w:rsid w:val="64577BAD"/>
    <w:rsid w:val="64663618"/>
    <w:rsid w:val="646A47A1"/>
    <w:rsid w:val="646F0582"/>
    <w:rsid w:val="6481064F"/>
    <w:rsid w:val="64885352"/>
    <w:rsid w:val="64910A9A"/>
    <w:rsid w:val="64A43710"/>
    <w:rsid w:val="64A96C3D"/>
    <w:rsid w:val="64AC4F31"/>
    <w:rsid w:val="64B01E65"/>
    <w:rsid w:val="64B24A66"/>
    <w:rsid w:val="64BE2D9A"/>
    <w:rsid w:val="64C77D7C"/>
    <w:rsid w:val="64CE6E16"/>
    <w:rsid w:val="64E34E04"/>
    <w:rsid w:val="64F762A9"/>
    <w:rsid w:val="64F767D3"/>
    <w:rsid w:val="64FA03DE"/>
    <w:rsid w:val="65136DF4"/>
    <w:rsid w:val="65223E27"/>
    <w:rsid w:val="652837E8"/>
    <w:rsid w:val="65374728"/>
    <w:rsid w:val="65431A33"/>
    <w:rsid w:val="65590D2F"/>
    <w:rsid w:val="657B5DD8"/>
    <w:rsid w:val="65811ADB"/>
    <w:rsid w:val="65813C74"/>
    <w:rsid w:val="65903CA8"/>
    <w:rsid w:val="65A36BBD"/>
    <w:rsid w:val="65A8695B"/>
    <w:rsid w:val="65CC0CA8"/>
    <w:rsid w:val="65DD66FF"/>
    <w:rsid w:val="65DE4EDB"/>
    <w:rsid w:val="65F61963"/>
    <w:rsid w:val="65FA466C"/>
    <w:rsid w:val="65FE2F43"/>
    <w:rsid w:val="662C4227"/>
    <w:rsid w:val="6633568B"/>
    <w:rsid w:val="664A7314"/>
    <w:rsid w:val="665066E0"/>
    <w:rsid w:val="66506D31"/>
    <w:rsid w:val="66596C7C"/>
    <w:rsid w:val="665E64D0"/>
    <w:rsid w:val="666E1AB1"/>
    <w:rsid w:val="666E2DBB"/>
    <w:rsid w:val="667C45EE"/>
    <w:rsid w:val="667F5729"/>
    <w:rsid w:val="6687749C"/>
    <w:rsid w:val="669B5274"/>
    <w:rsid w:val="66A42FC8"/>
    <w:rsid w:val="66A7712A"/>
    <w:rsid w:val="66CD6688"/>
    <w:rsid w:val="66CE34FD"/>
    <w:rsid w:val="66EF2735"/>
    <w:rsid w:val="66F33592"/>
    <w:rsid w:val="66FC5194"/>
    <w:rsid w:val="66FE211A"/>
    <w:rsid w:val="670A22F8"/>
    <w:rsid w:val="670B73DF"/>
    <w:rsid w:val="67230F71"/>
    <w:rsid w:val="67266E87"/>
    <w:rsid w:val="67285DEF"/>
    <w:rsid w:val="672924DE"/>
    <w:rsid w:val="672A18B4"/>
    <w:rsid w:val="673503B1"/>
    <w:rsid w:val="673D7C4A"/>
    <w:rsid w:val="673E2453"/>
    <w:rsid w:val="67487AFB"/>
    <w:rsid w:val="67543CC2"/>
    <w:rsid w:val="675751E8"/>
    <w:rsid w:val="675B7D8C"/>
    <w:rsid w:val="67645673"/>
    <w:rsid w:val="67696855"/>
    <w:rsid w:val="676A7681"/>
    <w:rsid w:val="67705846"/>
    <w:rsid w:val="678243FA"/>
    <w:rsid w:val="67843A1A"/>
    <w:rsid w:val="678F3849"/>
    <w:rsid w:val="679953D7"/>
    <w:rsid w:val="67B04B69"/>
    <w:rsid w:val="67C13682"/>
    <w:rsid w:val="67C53246"/>
    <w:rsid w:val="67D10744"/>
    <w:rsid w:val="67D7174B"/>
    <w:rsid w:val="68111300"/>
    <w:rsid w:val="681B2D09"/>
    <w:rsid w:val="682E501D"/>
    <w:rsid w:val="683A3FD7"/>
    <w:rsid w:val="683B59A3"/>
    <w:rsid w:val="683D3D59"/>
    <w:rsid w:val="68443E8B"/>
    <w:rsid w:val="685417B7"/>
    <w:rsid w:val="685B7632"/>
    <w:rsid w:val="68673F2B"/>
    <w:rsid w:val="686B44EC"/>
    <w:rsid w:val="686B537D"/>
    <w:rsid w:val="68810992"/>
    <w:rsid w:val="68833899"/>
    <w:rsid w:val="688A6A5E"/>
    <w:rsid w:val="68A70086"/>
    <w:rsid w:val="68AB3623"/>
    <w:rsid w:val="68AC697C"/>
    <w:rsid w:val="68C91EA5"/>
    <w:rsid w:val="68D642A7"/>
    <w:rsid w:val="68E2015F"/>
    <w:rsid w:val="68E34AA0"/>
    <w:rsid w:val="68E96ABB"/>
    <w:rsid w:val="68F163C4"/>
    <w:rsid w:val="68FB4E6C"/>
    <w:rsid w:val="69082BA7"/>
    <w:rsid w:val="6925188B"/>
    <w:rsid w:val="6933073F"/>
    <w:rsid w:val="693C2CDE"/>
    <w:rsid w:val="69470973"/>
    <w:rsid w:val="6959678E"/>
    <w:rsid w:val="695D5147"/>
    <w:rsid w:val="69790679"/>
    <w:rsid w:val="69885982"/>
    <w:rsid w:val="69897A4D"/>
    <w:rsid w:val="699B14AA"/>
    <w:rsid w:val="69B9150B"/>
    <w:rsid w:val="69CB0CF6"/>
    <w:rsid w:val="69D46804"/>
    <w:rsid w:val="69DA18CC"/>
    <w:rsid w:val="69E465A3"/>
    <w:rsid w:val="69EF3701"/>
    <w:rsid w:val="69F05894"/>
    <w:rsid w:val="6A04386C"/>
    <w:rsid w:val="6A0F2126"/>
    <w:rsid w:val="6A1D5B98"/>
    <w:rsid w:val="6A2253A3"/>
    <w:rsid w:val="6A4F3DCF"/>
    <w:rsid w:val="6A786D8C"/>
    <w:rsid w:val="6A7F435F"/>
    <w:rsid w:val="6A803D68"/>
    <w:rsid w:val="6A857BB1"/>
    <w:rsid w:val="6A87032B"/>
    <w:rsid w:val="6A9034D5"/>
    <w:rsid w:val="6AA45FB2"/>
    <w:rsid w:val="6AAD1E37"/>
    <w:rsid w:val="6AC20B38"/>
    <w:rsid w:val="6AC44351"/>
    <w:rsid w:val="6ACA45C3"/>
    <w:rsid w:val="6AE803DE"/>
    <w:rsid w:val="6AEE0308"/>
    <w:rsid w:val="6AF93A96"/>
    <w:rsid w:val="6B0A119B"/>
    <w:rsid w:val="6B0B5618"/>
    <w:rsid w:val="6B1D4AF5"/>
    <w:rsid w:val="6B1F0807"/>
    <w:rsid w:val="6B452637"/>
    <w:rsid w:val="6B463882"/>
    <w:rsid w:val="6B546998"/>
    <w:rsid w:val="6B630251"/>
    <w:rsid w:val="6B8B6BAC"/>
    <w:rsid w:val="6BA17685"/>
    <w:rsid w:val="6BA72195"/>
    <w:rsid w:val="6BA80CAC"/>
    <w:rsid w:val="6BA93112"/>
    <w:rsid w:val="6BDC06AA"/>
    <w:rsid w:val="6BDD51A7"/>
    <w:rsid w:val="6BE86611"/>
    <w:rsid w:val="6BF1246C"/>
    <w:rsid w:val="6BFB3EF1"/>
    <w:rsid w:val="6C0D699D"/>
    <w:rsid w:val="6C0E595A"/>
    <w:rsid w:val="6C127BBB"/>
    <w:rsid w:val="6C145117"/>
    <w:rsid w:val="6C180693"/>
    <w:rsid w:val="6C1A5138"/>
    <w:rsid w:val="6C1E002A"/>
    <w:rsid w:val="6C2F2320"/>
    <w:rsid w:val="6C2F39A4"/>
    <w:rsid w:val="6C3350B3"/>
    <w:rsid w:val="6C3E1A48"/>
    <w:rsid w:val="6C433F22"/>
    <w:rsid w:val="6C546151"/>
    <w:rsid w:val="6C6F52CE"/>
    <w:rsid w:val="6C913BBE"/>
    <w:rsid w:val="6C9B138E"/>
    <w:rsid w:val="6C9B7F3D"/>
    <w:rsid w:val="6CA72135"/>
    <w:rsid w:val="6CB475AE"/>
    <w:rsid w:val="6CC37E6B"/>
    <w:rsid w:val="6CCD31CA"/>
    <w:rsid w:val="6CD02C2D"/>
    <w:rsid w:val="6CD413A3"/>
    <w:rsid w:val="6CDD58D2"/>
    <w:rsid w:val="6CE460F2"/>
    <w:rsid w:val="6CEC010D"/>
    <w:rsid w:val="6CFE7181"/>
    <w:rsid w:val="6D0D0B3C"/>
    <w:rsid w:val="6D0F4F96"/>
    <w:rsid w:val="6D1064C8"/>
    <w:rsid w:val="6D1A2949"/>
    <w:rsid w:val="6D2B79D6"/>
    <w:rsid w:val="6D335B63"/>
    <w:rsid w:val="6D3A3724"/>
    <w:rsid w:val="6D442AAE"/>
    <w:rsid w:val="6D533538"/>
    <w:rsid w:val="6D5731A0"/>
    <w:rsid w:val="6D5C68F5"/>
    <w:rsid w:val="6D680282"/>
    <w:rsid w:val="6D6C758B"/>
    <w:rsid w:val="6D6F2919"/>
    <w:rsid w:val="6D733394"/>
    <w:rsid w:val="6D785A21"/>
    <w:rsid w:val="6D880F46"/>
    <w:rsid w:val="6D8C6905"/>
    <w:rsid w:val="6D8C79DB"/>
    <w:rsid w:val="6DA510B5"/>
    <w:rsid w:val="6DA561B0"/>
    <w:rsid w:val="6DAC09D4"/>
    <w:rsid w:val="6DAC3882"/>
    <w:rsid w:val="6DBB31A2"/>
    <w:rsid w:val="6DC50FB6"/>
    <w:rsid w:val="6DC91432"/>
    <w:rsid w:val="6DED5C5A"/>
    <w:rsid w:val="6DEF3365"/>
    <w:rsid w:val="6E127899"/>
    <w:rsid w:val="6E191D6A"/>
    <w:rsid w:val="6E1A3648"/>
    <w:rsid w:val="6E1F74D0"/>
    <w:rsid w:val="6E305BDD"/>
    <w:rsid w:val="6E3154FD"/>
    <w:rsid w:val="6E350BA7"/>
    <w:rsid w:val="6E3B0757"/>
    <w:rsid w:val="6E421DD3"/>
    <w:rsid w:val="6E453773"/>
    <w:rsid w:val="6E52386A"/>
    <w:rsid w:val="6E6155E5"/>
    <w:rsid w:val="6E631214"/>
    <w:rsid w:val="6E674159"/>
    <w:rsid w:val="6E7D3266"/>
    <w:rsid w:val="6E7D3C1F"/>
    <w:rsid w:val="6E83647A"/>
    <w:rsid w:val="6E9618F0"/>
    <w:rsid w:val="6E971420"/>
    <w:rsid w:val="6EAB75A0"/>
    <w:rsid w:val="6EAC004F"/>
    <w:rsid w:val="6EAD48BB"/>
    <w:rsid w:val="6EB42D5F"/>
    <w:rsid w:val="6EB525CF"/>
    <w:rsid w:val="6EC354F0"/>
    <w:rsid w:val="6EC73688"/>
    <w:rsid w:val="6ECA1DB5"/>
    <w:rsid w:val="6EE03D94"/>
    <w:rsid w:val="6EE67B3B"/>
    <w:rsid w:val="6EE80EBA"/>
    <w:rsid w:val="6EFB5961"/>
    <w:rsid w:val="6F0E5DEB"/>
    <w:rsid w:val="6F0F76C1"/>
    <w:rsid w:val="6F137A0E"/>
    <w:rsid w:val="6F236289"/>
    <w:rsid w:val="6F236B22"/>
    <w:rsid w:val="6F2C33B6"/>
    <w:rsid w:val="6F371854"/>
    <w:rsid w:val="6F56688C"/>
    <w:rsid w:val="6F5C11AE"/>
    <w:rsid w:val="6F653D83"/>
    <w:rsid w:val="6F6E2213"/>
    <w:rsid w:val="6F731B90"/>
    <w:rsid w:val="6FB10BF9"/>
    <w:rsid w:val="6FC8220C"/>
    <w:rsid w:val="6FCE1A7A"/>
    <w:rsid w:val="6FD303D6"/>
    <w:rsid w:val="6FD47B2A"/>
    <w:rsid w:val="6FD53B48"/>
    <w:rsid w:val="6FE908DA"/>
    <w:rsid w:val="6FEF7035"/>
    <w:rsid w:val="6FF3453A"/>
    <w:rsid w:val="6FFD2B3E"/>
    <w:rsid w:val="6FFE21CD"/>
    <w:rsid w:val="700E7076"/>
    <w:rsid w:val="702567BB"/>
    <w:rsid w:val="70375233"/>
    <w:rsid w:val="703764A3"/>
    <w:rsid w:val="70831DAE"/>
    <w:rsid w:val="708F6368"/>
    <w:rsid w:val="70A214D5"/>
    <w:rsid w:val="70A46937"/>
    <w:rsid w:val="70B07450"/>
    <w:rsid w:val="70BC57AE"/>
    <w:rsid w:val="70E02508"/>
    <w:rsid w:val="70E208CB"/>
    <w:rsid w:val="70FB6DA6"/>
    <w:rsid w:val="71065ABC"/>
    <w:rsid w:val="711255C3"/>
    <w:rsid w:val="711C19BE"/>
    <w:rsid w:val="7120178B"/>
    <w:rsid w:val="714B658D"/>
    <w:rsid w:val="715A448E"/>
    <w:rsid w:val="71642071"/>
    <w:rsid w:val="7177754A"/>
    <w:rsid w:val="717C504B"/>
    <w:rsid w:val="717D6400"/>
    <w:rsid w:val="719C7978"/>
    <w:rsid w:val="71C9008B"/>
    <w:rsid w:val="71D5035F"/>
    <w:rsid w:val="71E75A96"/>
    <w:rsid w:val="71EE1B60"/>
    <w:rsid w:val="71F904FD"/>
    <w:rsid w:val="720A76E3"/>
    <w:rsid w:val="720F27CE"/>
    <w:rsid w:val="72122BA7"/>
    <w:rsid w:val="721362C9"/>
    <w:rsid w:val="722E1BAA"/>
    <w:rsid w:val="72353CEF"/>
    <w:rsid w:val="723B21BC"/>
    <w:rsid w:val="724637A1"/>
    <w:rsid w:val="724C644A"/>
    <w:rsid w:val="724F07C9"/>
    <w:rsid w:val="7253653D"/>
    <w:rsid w:val="72574841"/>
    <w:rsid w:val="725E2923"/>
    <w:rsid w:val="72636A65"/>
    <w:rsid w:val="726E4515"/>
    <w:rsid w:val="727D5006"/>
    <w:rsid w:val="72AF024B"/>
    <w:rsid w:val="72E81086"/>
    <w:rsid w:val="72EE6B5D"/>
    <w:rsid w:val="730279CA"/>
    <w:rsid w:val="73117F29"/>
    <w:rsid w:val="7316512F"/>
    <w:rsid w:val="7336784F"/>
    <w:rsid w:val="735966F2"/>
    <w:rsid w:val="736C7A1B"/>
    <w:rsid w:val="737A71FE"/>
    <w:rsid w:val="739C67A4"/>
    <w:rsid w:val="739F03FC"/>
    <w:rsid w:val="73A44CEB"/>
    <w:rsid w:val="73A94CE3"/>
    <w:rsid w:val="73BA6AAD"/>
    <w:rsid w:val="73C37D20"/>
    <w:rsid w:val="73C44EF6"/>
    <w:rsid w:val="73DB4417"/>
    <w:rsid w:val="73E12F3B"/>
    <w:rsid w:val="73E15344"/>
    <w:rsid w:val="73F34056"/>
    <w:rsid w:val="74053607"/>
    <w:rsid w:val="740D7EC6"/>
    <w:rsid w:val="741C1E88"/>
    <w:rsid w:val="74307D41"/>
    <w:rsid w:val="74392F6A"/>
    <w:rsid w:val="747B3475"/>
    <w:rsid w:val="74826C3B"/>
    <w:rsid w:val="749161C0"/>
    <w:rsid w:val="749810A5"/>
    <w:rsid w:val="74BB6A86"/>
    <w:rsid w:val="74C0029A"/>
    <w:rsid w:val="74C43446"/>
    <w:rsid w:val="74C71D54"/>
    <w:rsid w:val="74C76798"/>
    <w:rsid w:val="74FA1446"/>
    <w:rsid w:val="75173E74"/>
    <w:rsid w:val="751E0A08"/>
    <w:rsid w:val="752A18DE"/>
    <w:rsid w:val="7536075E"/>
    <w:rsid w:val="755641D6"/>
    <w:rsid w:val="755978B2"/>
    <w:rsid w:val="755A0B2D"/>
    <w:rsid w:val="755B3601"/>
    <w:rsid w:val="75740AC0"/>
    <w:rsid w:val="75751AAB"/>
    <w:rsid w:val="7577501E"/>
    <w:rsid w:val="75792F84"/>
    <w:rsid w:val="75856A7E"/>
    <w:rsid w:val="75A9385B"/>
    <w:rsid w:val="75B75AD4"/>
    <w:rsid w:val="75B90589"/>
    <w:rsid w:val="75BE7ECD"/>
    <w:rsid w:val="75C70D5D"/>
    <w:rsid w:val="75CA4C46"/>
    <w:rsid w:val="75DF391A"/>
    <w:rsid w:val="75F6321D"/>
    <w:rsid w:val="76175239"/>
    <w:rsid w:val="761819C2"/>
    <w:rsid w:val="761B2EAA"/>
    <w:rsid w:val="761C5BBB"/>
    <w:rsid w:val="762A5A6B"/>
    <w:rsid w:val="764F2288"/>
    <w:rsid w:val="76AD5657"/>
    <w:rsid w:val="76BE786A"/>
    <w:rsid w:val="76C360FA"/>
    <w:rsid w:val="76CA2C59"/>
    <w:rsid w:val="76EB1B6D"/>
    <w:rsid w:val="76F80CD5"/>
    <w:rsid w:val="76F93ABB"/>
    <w:rsid w:val="77046273"/>
    <w:rsid w:val="77123106"/>
    <w:rsid w:val="771815D0"/>
    <w:rsid w:val="771D1185"/>
    <w:rsid w:val="771E3757"/>
    <w:rsid w:val="77242661"/>
    <w:rsid w:val="772909A0"/>
    <w:rsid w:val="772D521C"/>
    <w:rsid w:val="772D7D44"/>
    <w:rsid w:val="773226BE"/>
    <w:rsid w:val="77392363"/>
    <w:rsid w:val="773D0FB9"/>
    <w:rsid w:val="775805AB"/>
    <w:rsid w:val="7766071F"/>
    <w:rsid w:val="776C5DA2"/>
    <w:rsid w:val="777C4D8D"/>
    <w:rsid w:val="77854048"/>
    <w:rsid w:val="77907018"/>
    <w:rsid w:val="779805F4"/>
    <w:rsid w:val="77AC37DA"/>
    <w:rsid w:val="77BA018D"/>
    <w:rsid w:val="77E86D2D"/>
    <w:rsid w:val="77F132E1"/>
    <w:rsid w:val="77F5344F"/>
    <w:rsid w:val="77FA62FB"/>
    <w:rsid w:val="78173477"/>
    <w:rsid w:val="781C3FF5"/>
    <w:rsid w:val="78240D25"/>
    <w:rsid w:val="7827634C"/>
    <w:rsid w:val="782D79DC"/>
    <w:rsid w:val="783B62A6"/>
    <w:rsid w:val="7846471D"/>
    <w:rsid w:val="78530E91"/>
    <w:rsid w:val="78552913"/>
    <w:rsid w:val="7872105A"/>
    <w:rsid w:val="788020F2"/>
    <w:rsid w:val="78845FA5"/>
    <w:rsid w:val="78A234D1"/>
    <w:rsid w:val="78A64125"/>
    <w:rsid w:val="78B426D0"/>
    <w:rsid w:val="78B4469C"/>
    <w:rsid w:val="78C41CBA"/>
    <w:rsid w:val="78CE0F70"/>
    <w:rsid w:val="78D42182"/>
    <w:rsid w:val="78D855C6"/>
    <w:rsid w:val="78DC01DD"/>
    <w:rsid w:val="78E351BB"/>
    <w:rsid w:val="78F8402F"/>
    <w:rsid w:val="7900244B"/>
    <w:rsid w:val="79080C71"/>
    <w:rsid w:val="79584FBF"/>
    <w:rsid w:val="79843DD9"/>
    <w:rsid w:val="799526A1"/>
    <w:rsid w:val="79A34D1F"/>
    <w:rsid w:val="79B8545F"/>
    <w:rsid w:val="79C20993"/>
    <w:rsid w:val="79C93AFE"/>
    <w:rsid w:val="79E648EE"/>
    <w:rsid w:val="79F002AC"/>
    <w:rsid w:val="79F86B2F"/>
    <w:rsid w:val="7A0A6ACC"/>
    <w:rsid w:val="7A0F2C8C"/>
    <w:rsid w:val="7A175207"/>
    <w:rsid w:val="7A61549E"/>
    <w:rsid w:val="7A6A424A"/>
    <w:rsid w:val="7A6B028F"/>
    <w:rsid w:val="7A724267"/>
    <w:rsid w:val="7A7F3A5C"/>
    <w:rsid w:val="7A811C33"/>
    <w:rsid w:val="7ABB07CD"/>
    <w:rsid w:val="7ABC4B4D"/>
    <w:rsid w:val="7ABD7E24"/>
    <w:rsid w:val="7AD21EB2"/>
    <w:rsid w:val="7AD9403B"/>
    <w:rsid w:val="7AF35A66"/>
    <w:rsid w:val="7AFA7920"/>
    <w:rsid w:val="7B224353"/>
    <w:rsid w:val="7B2E7AE4"/>
    <w:rsid w:val="7B300B35"/>
    <w:rsid w:val="7B355154"/>
    <w:rsid w:val="7B4B041E"/>
    <w:rsid w:val="7B5135DB"/>
    <w:rsid w:val="7B570CDE"/>
    <w:rsid w:val="7B69649F"/>
    <w:rsid w:val="7B6B33D4"/>
    <w:rsid w:val="7B6D0F20"/>
    <w:rsid w:val="7B730036"/>
    <w:rsid w:val="7B73449B"/>
    <w:rsid w:val="7B9805C4"/>
    <w:rsid w:val="7BA31D0A"/>
    <w:rsid w:val="7BA82C22"/>
    <w:rsid w:val="7BAC150B"/>
    <w:rsid w:val="7BC82D6B"/>
    <w:rsid w:val="7BD2366A"/>
    <w:rsid w:val="7BDF4E0D"/>
    <w:rsid w:val="7BEB4E92"/>
    <w:rsid w:val="7BF010CD"/>
    <w:rsid w:val="7C063CF4"/>
    <w:rsid w:val="7C0B4B98"/>
    <w:rsid w:val="7C187E23"/>
    <w:rsid w:val="7C237AD5"/>
    <w:rsid w:val="7C276151"/>
    <w:rsid w:val="7C4003C4"/>
    <w:rsid w:val="7C4F1F91"/>
    <w:rsid w:val="7C597169"/>
    <w:rsid w:val="7C644367"/>
    <w:rsid w:val="7C6A3921"/>
    <w:rsid w:val="7C6F7075"/>
    <w:rsid w:val="7C88454E"/>
    <w:rsid w:val="7C914DBA"/>
    <w:rsid w:val="7C9447C3"/>
    <w:rsid w:val="7CA0610B"/>
    <w:rsid w:val="7CB37421"/>
    <w:rsid w:val="7CB643DF"/>
    <w:rsid w:val="7CE00EED"/>
    <w:rsid w:val="7D066A98"/>
    <w:rsid w:val="7D11534A"/>
    <w:rsid w:val="7D120C4B"/>
    <w:rsid w:val="7D1C077A"/>
    <w:rsid w:val="7D1D57EA"/>
    <w:rsid w:val="7D1E1F2B"/>
    <w:rsid w:val="7D5D7349"/>
    <w:rsid w:val="7D6153B6"/>
    <w:rsid w:val="7D636737"/>
    <w:rsid w:val="7D6542C8"/>
    <w:rsid w:val="7D697E7E"/>
    <w:rsid w:val="7D6B6655"/>
    <w:rsid w:val="7D74315B"/>
    <w:rsid w:val="7D8A0E59"/>
    <w:rsid w:val="7D9F3027"/>
    <w:rsid w:val="7DAB5A73"/>
    <w:rsid w:val="7DAF1868"/>
    <w:rsid w:val="7DB73E15"/>
    <w:rsid w:val="7DC21F51"/>
    <w:rsid w:val="7DC60D6F"/>
    <w:rsid w:val="7DDD1961"/>
    <w:rsid w:val="7DDF6B79"/>
    <w:rsid w:val="7DE6365C"/>
    <w:rsid w:val="7DE6759A"/>
    <w:rsid w:val="7E1339BA"/>
    <w:rsid w:val="7E186A4A"/>
    <w:rsid w:val="7E19320E"/>
    <w:rsid w:val="7E1C13B8"/>
    <w:rsid w:val="7E22209C"/>
    <w:rsid w:val="7E382C3F"/>
    <w:rsid w:val="7E416191"/>
    <w:rsid w:val="7E4E5490"/>
    <w:rsid w:val="7E614684"/>
    <w:rsid w:val="7E70185C"/>
    <w:rsid w:val="7E7A7EF8"/>
    <w:rsid w:val="7E802E60"/>
    <w:rsid w:val="7E83034F"/>
    <w:rsid w:val="7E864D65"/>
    <w:rsid w:val="7E900350"/>
    <w:rsid w:val="7E923B40"/>
    <w:rsid w:val="7EA01070"/>
    <w:rsid w:val="7EA065FF"/>
    <w:rsid w:val="7EB414B3"/>
    <w:rsid w:val="7EB86D33"/>
    <w:rsid w:val="7ECB134E"/>
    <w:rsid w:val="7ECB79E4"/>
    <w:rsid w:val="7ED25D74"/>
    <w:rsid w:val="7ED40E2E"/>
    <w:rsid w:val="7ED5613C"/>
    <w:rsid w:val="7EDA6DAC"/>
    <w:rsid w:val="7EE4233F"/>
    <w:rsid w:val="7EF81FE8"/>
    <w:rsid w:val="7F061010"/>
    <w:rsid w:val="7F08114D"/>
    <w:rsid w:val="7F0966A3"/>
    <w:rsid w:val="7F0A60E4"/>
    <w:rsid w:val="7F285F4F"/>
    <w:rsid w:val="7F2912BE"/>
    <w:rsid w:val="7F435246"/>
    <w:rsid w:val="7F5647CC"/>
    <w:rsid w:val="7F741969"/>
    <w:rsid w:val="7F8777C3"/>
    <w:rsid w:val="7F93493C"/>
    <w:rsid w:val="7F957575"/>
    <w:rsid w:val="7FC87B2E"/>
    <w:rsid w:val="7FD06718"/>
    <w:rsid w:val="7FDF1D4F"/>
    <w:rsid w:val="7FEE726C"/>
    <w:rsid w:val="7FF35005"/>
    <w:rsid w:val="7FFF7D56"/>
    <w:rsid w:val="B7AF0329"/>
    <w:rsid w:val="F6FB6D6E"/>
    <w:rsid w:val="FBF93D1C"/>
    <w:rsid w:val="FFFF3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8"/>
    <w:qFormat/>
    <w:uiPriority w:val="0"/>
    <w:pPr>
      <w:keepNext/>
      <w:autoSpaceDE w:val="0"/>
      <w:autoSpaceDN w:val="0"/>
      <w:adjustRightInd w:val="0"/>
      <w:spacing w:line="360" w:lineRule="auto"/>
      <w:jc w:val="center"/>
      <w:outlineLvl w:val="0"/>
    </w:pPr>
    <w:rPr>
      <w:b/>
      <w:bCs/>
      <w:kern w:val="0"/>
      <w:sz w:val="52"/>
    </w:rPr>
  </w:style>
  <w:style w:type="paragraph" w:styleId="5">
    <w:name w:val="heading 2"/>
    <w:basedOn w:val="1"/>
    <w:next w:val="1"/>
    <w:link w:val="49"/>
    <w:qFormat/>
    <w:uiPriority w:val="0"/>
    <w:pPr>
      <w:keepNext/>
      <w:keepLines/>
      <w:spacing w:before="260" w:beforeLines="0" w:after="260" w:afterLines="0" w:line="416" w:lineRule="auto"/>
      <w:jc w:val="center"/>
      <w:outlineLvl w:val="1"/>
    </w:pPr>
    <w:rPr>
      <w:rFonts w:ascii="Arial" w:hAnsi="Arial"/>
      <w:b/>
      <w:bCs/>
      <w:kern w:val="0"/>
      <w:sz w:val="36"/>
      <w:szCs w:val="32"/>
    </w:rPr>
  </w:style>
  <w:style w:type="paragraph" w:styleId="6">
    <w:name w:val="heading 3"/>
    <w:basedOn w:val="1"/>
    <w:next w:val="1"/>
    <w:link w:val="50"/>
    <w:qFormat/>
    <w:uiPriority w:val="0"/>
    <w:pPr>
      <w:keepNext/>
      <w:keepLines/>
      <w:spacing w:before="20" w:beforeLines="0" w:after="20" w:afterLines="0" w:line="416" w:lineRule="auto"/>
      <w:outlineLvl w:val="2"/>
    </w:pPr>
    <w:rPr>
      <w:rFonts w:ascii="Times New Roman" w:hAnsi="Times New Roman"/>
      <w:b/>
      <w:bCs/>
      <w:sz w:val="32"/>
      <w:szCs w:val="32"/>
    </w:rPr>
  </w:style>
  <w:style w:type="paragraph" w:styleId="7">
    <w:name w:val="heading 4"/>
    <w:basedOn w:val="1"/>
    <w:next w:val="1"/>
    <w:link w:val="51"/>
    <w:qFormat/>
    <w:uiPriority w:val="0"/>
    <w:pPr>
      <w:keepNext/>
      <w:keepLines/>
      <w:widowControl/>
      <w:spacing w:before="280" w:beforeLines="0" w:after="290" w:afterLines="0" w:line="376"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rPr>
  </w:style>
  <w:style w:type="character" w:default="1" w:styleId="40">
    <w:name w:val="Default Paragraph Font"/>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12" w:lineRule="atLeast"/>
      <w:ind w:firstLine="420"/>
    </w:pPr>
  </w:style>
  <w:style w:type="paragraph" w:styleId="3">
    <w:name w:val="Body Text Indent"/>
    <w:basedOn w:val="1"/>
    <w:next w:val="1"/>
    <w:qFormat/>
    <w:uiPriority w:val="0"/>
    <w:pPr>
      <w:spacing w:line="360" w:lineRule="auto"/>
      <w:ind w:left="735" w:leftChars="350" w:firstLine="523" w:firstLineChars="218"/>
    </w:pPr>
    <w:rPr>
      <w:sz w:val="24"/>
    </w:rPr>
  </w:style>
  <w:style w:type="paragraph" w:styleId="9">
    <w:name w:val="toc 7"/>
    <w:basedOn w:val="1"/>
    <w:next w:val="1"/>
    <w:qFormat/>
    <w:uiPriority w:val="39"/>
    <w:pPr>
      <w:ind w:left="2520" w:leftChars="1200"/>
    </w:pPr>
  </w:style>
  <w:style w:type="paragraph" w:styleId="10">
    <w:name w:val="Normal Indent"/>
    <w:basedOn w:val="1"/>
    <w:link w:val="52"/>
    <w:qFormat/>
    <w:uiPriority w:val="0"/>
    <w:pPr>
      <w:snapToGrid w:val="0"/>
      <w:spacing w:line="440" w:lineRule="exact"/>
      <w:ind w:left="-21"/>
    </w:pPr>
    <w:rPr>
      <w:rFonts w:ascii="宋体"/>
      <w:color w:val="000000"/>
      <w:sz w:val="28"/>
      <w:szCs w:val="28"/>
    </w:rPr>
  </w:style>
  <w:style w:type="paragraph" w:styleId="11">
    <w:name w:val="Document Map"/>
    <w:basedOn w:val="1"/>
    <w:qFormat/>
    <w:uiPriority w:val="0"/>
    <w:pPr>
      <w:shd w:val="clear" w:color="auto" w:fill="000080"/>
    </w:p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link w:val="53"/>
    <w:qFormat/>
    <w:uiPriority w:val="0"/>
    <w:pPr>
      <w:widowControl/>
      <w:jc w:val="left"/>
    </w:pPr>
    <w:rPr>
      <w:szCs w:val="20"/>
    </w:rPr>
  </w:style>
  <w:style w:type="paragraph" w:styleId="14">
    <w:name w:val="Body Text 3"/>
    <w:basedOn w:val="1"/>
    <w:qFormat/>
    <w:uiPriority w:val="0"/>
    <w:pPr>
      <w:autoSpaceDE w:val="0"/>
      <w:autoSpaceDN w:val="0"/>
      <w:adjustRightInd w:val="0"/>
      <w:spacing w:line="400" w:lineRule="exact"/>
      <w:ind w:right="6"/>
      <w:jc w:val="center"/>
    </w:pPr>
    <w:rPr>
      <w:rFonts w:ascii="Arial" w:hAnsi="Arial"/>
      <w:bCs/>
    </w:rPr>
  </w:style>
  <w:style w:type="paragraph" w:styleId="15">
    <w:name w:val="Body Text"/>
    <w:basedOn w:val="1"/>
    <w:next w:val="1"/>
    <w:qFormat/>
    <w:uiPriority w:val="0"/>
    <w:pPr>
      <w:autoSpaceDE w:val="0"/>
      <w:autoSpaceDN w:val="0"/>
      <w:adjustRightInd w:val="0"/>
      <w:spacing w:line="360" w:lineRule="auto"/>
      <w:ind w:right="246"/>
    </w:pPr>
    <w:rPr>
      <w:kern w:val="0"/>
      <w:sz w:val="24"/>
    </w:rPr>
  </w:style>
  <w:style w:type="paragraph" w:styleId="16">
    <w:name w:val="Block Text"/>
    <w:basedOn w:val="1"/>
    <w:qFormat/>
    <w:uiPriority w:val="0"/>
    <w:pPr>
      <w:autoSpaceDE w:val="0"/>
      <w:autoSpaceDN w:val="0"/>
      <w:adjustRightInd w:val="0"/>
      <w:spacing w:line="360" w:lineRule="auto"/>
      <w:ind w:left="286" w:right="6" w:firstLine="554"/>
    </w:pPr>
    <w:rPr>
      <w:kern w:val="0"/>
      <w:sz w:val="24"/>
    </w:r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right" w:leader="dot" w:pos="9061"/>
      </w:tabs>
      <w:ind w:left="840" w:leftChars="400"/>
    </w:pPr>
  </w:style>
  <w:style w:type="paragraph" w:styleId="19">
    <w:name w:val="Plain Text"/>
    <w:basedOn w:val="1"/>
    <w:link w:val="54"/>
    <w:qFormat/>
    <w:uiPriority w:val="0"/>
    <w:rPr>
      <w:rFonts w:ascii="宋体" w:hAnsi="Courier New"/>
      <w:szCs w:val="21"/>
    </w:rPr>
  </w:style>
  <w:style w:type="paragraph" w:styleId="20">
    <w:name w:val="toc 8"/>
    <w:basedOn w:val="1"/>
    <w:next w:val="1"/>
    <w:qFormat/>
    <w:uiPriority w:val="39"/>
    <w:pPr>
      <w:ind w:left="2940" w:leftChars="1400"/>
    </w:pPr>
  </w:style>
  <w:style w:type="paragraph" w:styleId="21">
    <w:name w:val="Date"/>
    <w:basedOn w:val="1"/>
    <w:next w:val="1"/>
    <w:qFormat/>
    <w:uiPriority w:val="0"/>
    <w:pPr>
      <w:ind w:left="100" w:leftChars="2500"/>
    </w:pPr>
  </w:style>
  <w:style w:type="paragraph" w:styleId="22">
    <w:name w:val="Body Text Indent 2"/>
    <w:basedOn w:val="1"/>
    <w:qFormat/>
    <w:uiPriority w:val="0"/>
    <w:pPr>
      <w:widowControl/>
      <w:autoSpaceDE w:val="0"/>
      <w:autoSpaceDN w:val="0"/>
      <w:spacing w:line="360" w:lineRule="auto"/>
      <w:ind w:firstLine="630"/>
      <w:textAlignment w:val="bottom"/>
    </w:pPr>
    <w:rPr>
      <w:rFonts w:ascii="Arial" w:hAnsi="Arial"/>
      <w:bCs/>
      <w:sz w:val="24"/>
    </w:rPr>
  </w:style>
  <w:style w:type="paragraph" w:styleId="23">
    <w:name w:val="Balloon Text"/>
    <w:basedOn w:val="1"/>
    <w:qFormat/>
    <w:uiPriority w:val="0"/>
    <w:rPr>
      <w:sz w:val="18"/>
      <w:szCs w:val="18"/>
    </w:rPr>
  </w:style>
  <w:style w:type="paragraph" w:styleId="24">
    <w:name w:val="footer"/>
    <w:basedOn w:val="1"/>
    <w:link w:val="55"/>
    <w:qFormat/>
    <w:uiPriority w:val="99"/>
    <w:pPr>
      <w:tabs>
        <w:tab w:val="center" w:pos="4153"/>
        <w:tab w:val="right" w:pos="8306"/>
      </w:tabs>
      <w:snapToGrid w:val="0"/>
      <w:jc w:val="center"/>
    </w:pPr>
    <w:rPr>
      <w:sz w:val="18"/>
      <w:szCs w:val="18"/>
    </w:rPr>
  </w:style>
  <w:style w:type="paragraph" w:styleId="25">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left" w:pos="1020"/>
        <w:tab w:val="right" w:leader="dot" w:pos="9030"/>
      </w:tabs>
      <w:adjustRightInd w:val="0"/>
      <w:snapToGrid w:val="0"/>
      <w:spacing w:before="156" w:beforeLines="50" w:line="360" w:lineRule="auto"/>
    </w:pPr>
    <w:rPr>
      <w:rFonts w:ascii="宋体" w:hAnsi="宋体"/>
      <w:b/>
      <w:sz w:val="24"/>
      <w:szCs w:val="20"/>
    </w:rPr>
  </w:style>
  <w:style w:type="paragraph" w:styleId="27">
    <w:name w:val="toc 4"/>
    <w:basedOn w:val="1"/>
    <w:next w:val="1"/>
    <w:qFormat/>
    <w:uiPriority w:val="39"/>
    <w:pPr>
      <w:ind w:left="1260" w:leftChars="600"/>
    </w:pPr>
  </w:style>
  <w:style w:type="paragraph" w:styleId="28">
    <w:name w:val="footnote text"/>
    <w:basedOn w:val="1"/>
    <w:link w:val="57"/>
    <w:qFormat/>
    <w:uiPriority w:val="0"/>
    <w:pPr>
      <w:snapToGrid w:val="0"/>
      <w:jc w:val="left"/>
    </w:pPr>
    <w:rPr>
      <w:sz w:val="18"/>
      <w:szCs w:val="18"/>
    </w:rPr>
  </w:style>
  <w:style w:type="paragraph" w:styleId="29">
    <w:name w:val="toc 6"/>
    <w:basedOn w:val="1"/>
    <w:next w:val="1"/>
    <w:qFormat/>
    <w:uiPriority w:val="39"/>
    <w:pPr>
      <w:ind w:left="2100" w:leftChars="1000"/>
    </w:pPr>
  </w:style>
  <w:style w:type="paragraph" w:styleId="30">
    <w:name w:val="Body Text Indent 3"/>
    <w:basedOn w:val="1"/>
    <w:qFormat/>
    <w:uiPriority w:val="0"/>
    <w:pPr>
      <w:widowControl/>
      <w:autoSpaceDE w:val="0"/>
      <w:autoSpaceDN w:val="0"/>
      <w:spacing w:line="360" w:lineRule="auto"/>
      <w:ind w:left="559" w:firstLine="490" w:firstLineChars="204"/>
      <w:textAlignment w:val="bottom"/>
    </w:pPr>
    <w:rPr>
      <w:rFonts w:ascii="Arial" w:hAnsi="Arial"/>
      <w:sz w:val="24"/>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link w:val="58"/>
    <w:qFormat/>
    <w:uiPriority w:val="0"/>
    <w:pPr>
      <w:spacing w:line="400" w:lineRule="exact"/>
    </w:pPr>
    <w:rPr>
      <w:sz w:val="30"/>
    </w:rPr>
  </w:style>
  <w:style w:type="paragraph" w:styleId="34">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styleId="36">
    <w:name w:val="index 1"/>
    <w:basedOn w:val="1"/>
    <w:next w:val="1"/>
    <w:qFormat/>
    <w:uiPriority w:val="0"/>
    <w:pPr>
      <w:jc w:val="center"/>
    </w:pPr>
    <w:rPr>
      <w:rFonts w:ascii="华文宋体" w:hAnsi="华文宋体" w:eastAsia="华文宋体"/>
      <w:color w:val="000000"/>
      <w:szCs w:val="21"/>
    </w:rPr>
  </w:style>
  <w:style w:type="paragraph" w:styleId="37">
    <w:name w:val="annotation subject"/>
    <w:basedOn w:val="13"/>
    <w:next w:val="13"/>
    <w:link w:val="60"/>
    <w:qFormat/>
    <w:uiPriority w:val="0"/>
    <w:pPr>
      <w:widowControl w:val="0"/>
    </w:pPr>
    <w:rPr>
      <w:b/>
      <w:bCs/>
      <w:szCs w:val="24"/>
      <w:lang w:val="en-US" w:eastAsia="zh-CN"/>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21201E"/>
      <w:u w:val="none"/>
    </w:rPr>
  </w:style>
  <w:style w:type="character" w:styleId="44">
    <w:name w:val="Emphasis"/>
    <w:qFormat/>
    <w:uiPriority w:val="0"/>
    <w:rPr>
      <w:color w:val="CC0000"/>
    </w:rPr>
  </w:style>
  <w:style w:type="character" w:styleId="45">
    <w:name w:val="Hyperlink"/>
    <w:qFormat/>
    <w:uiPriority w:val="99"/>
    <w:rPr>
      <w:color w:val="21201E"/>
      <w:u w:val="non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标题 1 Char"/>
    <w:link w:val="4"/>
    <w:qFormat/>
    <w:uiPriority w:val="0"/>
    <w:rPr>
      <w:b/>
      <w:bCs/>
      <w:sz w:val="52"/>
      <w:szCs w:val="24"/>
    </w:rPr>
  </w:style>
  <w:style w:type="character" w:customStyle="1" w:styleId="49">
    <w:name w:val="标题 2 Char"/>
    <w:link w:val="5"/>
    <w:qFormat/>
    <w:uiPriority w:val="0"/>
    <w:rPr>
      <w:rFonts w:ascii="Arial" w:hAnsi="Arial"/>
      <w:b/>
      <w:bCs/>
      <w:kern w:val="0"/>
      <w:sz w:val="36"/>
      <w:szCs w:val="32"/>
    </w:rPr>
  </w:style>
  <w:style w:type="character" w:customStyle="1" w:styleId="50">
    <w:name w:val="标题 3 Char"/>
    <w:link w:val="6"/>
    <w:qFormat/>
    <w:uiPriority w:val="0"/>
    <w:rPr>
      <w:rFonts w:ascii="Times New Roman" w:hAnsi="Times New Roman" w:eastAsia="宋体"/>
      <w:b/>
      <w:bCs/>
      <w:kern w:val="2"/>
      <w:sz w:val="32"/>
      <w:szCs w:val="32"/>
      <w:lang w:val="en-US" w:eastAsia="zh-CN" w:bidi="ar-SA"/>
    </w:rPr>
  </w:style>
  <w:style w:type="character" w:customStyle="1" w:styleId="51">
    <w:name w:val="标题 4 Char"/>
    <w:link w:val="7"/>
    <w:qFormat/>
    <w:uiPriority w:val="0"/>
    <w:rPr>
      <w:rFonts w:ascii="Arial" w:hAnsi="Arial" w:eastAsia="黑体"/>
      <w:b/>
      <w:bCs/>
      <w:kern w:val="2"/>
      <w:sz w:val="28"/>
      <w:szCs w:val="28"/>
    </w:rPr>
  </w:style>
  <w:style w:type="character" w:customStyle="1" w:styleId="52">
    <w:name w:val="正文缩进 Char"/>
    <w:link w:val="10"/>
    <w:qFormat/>
    <w:uiPriority w:val="0"/>
    <w:rPr>
      <w:rFonts w:ascii="宋体" w:eastAsia="宋体"/>
      <w:color w:val="000000"/>
      <w:kern w:val="2"/>
      <w:sz w:val="28"/>
      <w:szCs w:val="28"/>
      <w:lang w:val="en-US" w:eastAsia="zh-CN" w:bidi="ar-SA"/>
    </w:rPr>
  </w:style>
  <w:style w:type="character" w:customStyle="1" w:styleId="53">
    <w:name w:val="批注文字 Char"/>
    <w:link w:val="13"/>
    <w:qFormat/>
    <w:uiPriority w:val="0"/>
    <w:rPr>
      <w:kern w:val="2"/>
      <w:sz w:val="21"/>
    </w:rPr>
  </w:style>
  <w:style w:type="character" w:customStyle="1" w:styleId="54">
    <w:name w:val="纯文本 Char"/>
    <w:link w:val="19"/>
    <w:qFormat/>
    <w:locked/>
    <w:uiPriority w:val="0"/>
    <w:rPr>
      <w:rFonts w:ascii="宋体" w:hAnsi="Courier New" w:eastAsia="宋体"/>
      <w:kern w:val="2"/>
      <w:sz w:val="21"/>
      <w:szCs w:val="21"/>
      <w:lang w:val="en-US" w:eastAsia="zh-CN" w:bidi="ar-SA"/>
    </w:rPr>
  </w:style>
  <w:style w:type="character" w:customStyle="1" w:styleId="55">
    <w:name w:val="页脚 Char"/>
    <w:link w:val="24"/>
    <w:qFormat/>
    <w:uiPriority w:val="99"/>
    <w:rPr>
      <w:kern w:val="2"/>
      <w:sz w:val="18"/>
      <w:szCs w:val="18"/>
    </w:rPr>
  </w:style>
  <w:style w:type="character" w:customStyle="1" w:styleId="56">
    <w:name w:val="页眉 Char"/>
    <w:link w:val="25"/>
    <w:qFormat/>
    <w:uiPriority w:val="99"/>
    <w:rPr>
      <w:kern w:val="2"/>
      <w:sz w:val="18"/>
      <w:szCs w:val="18"/>
    </w:rPr>
  </w:style>
  <w:style w:type="character" w:customStyle="1" w:styleId="57">
    <w:name w:val="脚注文本 Char"/>
    <w:link w:val="28"/>
    <w:qFormat/>
    <w:uiPriority w:val="0"/>
    <w:rPr>
      <w:kern w:val="2"/>
      <w:sz w:val="18"/>
      <w:szCs w:val="18"/>
    </w:rPr>
  </w:style>
  <w:style w:type="character" w:customStyle="1" w:styleId="58">
    <w:name w:val="正文文本 2 Char"/>
    <w:link w:val="33"/>
    <w:qFormat/>
    <w:uiPriority w:val="0"/>
    <w:rPr>
      <w:kern w:val="2"/>
      <w:sz w:val="30"/>
      <w:szCs w:val="24"/>
    </w:rPr>
  </w:style>
  <w:style w:type="character" w:customStyle="1" w:styleId="59">
    <w:name w:val="HTML 预设格式 Char"/>
    <w:link w:val="34"/>
    <w:qFormat/>
    <w:uiPriority w:val="99"/>
    <w:rPr>
      <w:rFonts w:ascii="宋体" w:hAnsi="宋体" w:cs="宋体"/>
      <w:sz w:val="24"/>
      <w:szCs w:val="24"/>
    </w:rPr>
  </w:style>
  <w:style w:type="character" w:customStyle="1" w:styleId="60">
    <w:name w:val="批注主题 Char"/>
    <w:basedOn w:val="53"/>
    <w:link w:val="37"/>
    <w:qFormat/>
    <w:uiPriority w:val="0"/>
  </w:style>
  <w:style w:type="character" w:customStyle="1" w:styleId="61">
    <w:name w:val=" Char Char3"/>
    <w:qFormat/>
    <w:uiPriority w:val="0"/>
    <w:rPr>
      <w:rFonts w:ascii="Arial" w:hAnsi="Arial"/>
      <w:b/>
      <w:bCs/>
      <w:kern w:val="0"/>
      <w:sz w:val="36"/>
      <w:szCs w:val="32"/>
    </w:rPr>
  </w:style>
  <w:style w:type="character" w:customStyle="1" w:styleId="62">
    <w:name w:val="fontstyle01"/>
    <w:qFormat/>
    <w:uiPriority w:val="0"/>
    <w:rPr>
      <w:rFonts w:hint="default" w:ascii="Times New Roman" w:hAnsi="Times New Roman" w:cs="Times New Roman"/>
      <w:color w:val="000000"/>
      <w:sz w:val="24"/>
      <w:szCs w:val="24"/>
    </w:rPr>
  </w:style>
  <w:style w:type="character" w:customStyle="1" w:styleId="63">
    <w:name w:val="标题 2 Char Char"/>
    <w:qFormat/>
    <w:uiPriority w:val="0"/>
    <w:rPr>
      <w:rFonts w:ascii="Arial" w:hAnsi="Arial" w:eastAsia="宋体"/>
      <w:b/>
      <w:bCs/>
      <w:sz w:val="36"/>
      <w:szCs w:val="32"/>
      <w:lang w:val="en-US" w:eastAsia="zh-CN" w:bidi="ar-SA"/>
    </w:rPr>
  </w:style>
  <w:style w:type="character" w:customStyle="1" w:styleId="64">
    <w:name w:val="fontstyle21"/>
    <w:qFormat/>
    <w:uiPriority w:val="0"/>
    <w:rPr>
      <w:rFonts w:hint="eastAsia" w:ascii="宋体" w:hAnsi="宋体" w:eastAsia="宋体"/>
      <w:color w:val="000000"/>
      <w:sz w:val="24"/>
      <w:szCs w:val="24"/>
    </w:rPr>
  </w:style>
  <w:style w:type="character" w:customStyle="1" w:styleId="65">
    <w:name w:val="c Char Char"/>
    <w:qFormat/>
    <w:uiPriority w:val="0"/>
    <w:rPr>
      <w:rFonts w:ascii="宋体" w:hAnsi="宋体" w:eastAsia="宋体"/>
      <w:b/>
      <w:bCs/>
      <w:sz w:val="24"/>
      <w:szCs w:val="24"/>
      <w:lang w:val="en-US" w:eastAsia="zh-CN" w:bidi="ar-SA"/>
    </w:rPr>
  </w:style>
  <w:style w:type="character" w:customStyle="1" w:styleId="66">
    <w:name w:val="bulletintext1"/>
    <w:qFormat/>
    <w:uiPriority w:val="0"/>
    <w:rPr>
      <w:color w:val="000000"/>
      <w:sz w:val="18"/>
      <w:szCs w:val="18"/>
    </w:rPr>
  </w:style>
  <w:style w:type="character" w:customStyle="1" w:styleId="67">
    <w:name w:val="正文文本 (2) + 10 pt23"/>
    <w:qFormat/>
    <w:uiPriority w:val="0"/>
    <w:rPr>
      <w:rFonts w:ascii="宋体" w:hAnsi="宋体" w:cs="宋体"/>
      <w:sz w:val="20"/>
      <w:szCs w:val="20"/>
      <w:u w:val="none"/>
      <w:lang w:bidi="ar-SA"/>
    </w:rPr>
  </w:style>
  <w:style w:type="character" w:customStyle="1" w:styleId="68">
    <w:name w:val="正文1"/>
    <w:qFormat/>
    <w:uiPriority w:val="0"/>
    <w:rPr>
      <w:rFonts w:ascii="宋体" w:hAnsi="宋体"/>
      <w:color w:val="000000"/>
    </w:rPr>
  </w:style>
  <w:style w:type="character" w:customStyle="1" w:styleId="69">
    <w:name w:val="正文缩进 Char1"/>
    <w:qFormat/>
    <w:locked/>
    <w:uiPriority w:val="0"/>
    <w:rPr>
      <w:rFonts w:eastAsia="宋体"/>
      <w:kern w:val="2"/>
      <w:sz w:val="21"/>
      <w:lang w:val="en-US" w:eastAsia="zh-CN" w:bidi="ar-SA"/>
    </w:rPr>
  </w:style>
  <w:style w:type="character" w:customStyle="1" w:styleId="70">
    <w:name w:val="apple-style-span"/>
    <w:basedOn w:val="40"/>
    <w:qFormat/>
    <w:uiPriority w:val="0"/>
  </w:style>
  <w:style w:type="character" w:customStyle="1" w:styleId="71">
    <w:name w:val="large1"/>
    <w:qFormat/>
    <w:uiPriority w:val="0"/>
    <w:rPr>
      <w:rFonts w:hint="eastAsia" w:ascii="宋体" w:hAnsi="宋体" w:eastAsia="宋体"/>
      <w:sz w:val="21"/>
      <w:szCs w:val="21"/>
    </w:rPr>
  </w:style>
  <w:style w:type="character" w:customStyle="1" w:styleId="72">
    <w:name w:val="apple-converted-space"/>
    <w:basedOn w:val="40"/>
    <w:qFormat/>
    <w:uiPriority w:val="0"/>
  </w:style>
  <w:style w:type="paragraph" w:customStyle="1" w:styleId="73">
    <w:name w:val=" Char"/>
    <w:basedOn w:val="1"/>
    <w:qFormat/>
    <w:uiPriority w:val="0"/>
    <w:rPr>
      <w:szCs w:val="20"/>
    </w:rPr>
  </w:style>
  <w:style w:type="paragraph" w:customStyle="1" w:styleId="74">
    <w:name w:val=" Char Char"/>
    <w:basedOn w:val="1"/>
    <w:qFormat/>
    <w:uiPriority w:val="0"/>
    <w:rPr>
      <w:rFonts w:ascii="Tahoma" w:hAnsi="Tahoma"/>
      <w:sz w:val="24"/>
      <w:szCs w:val="20"/>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CM62"/>
    <w:basedOn w:val="1"/>
    <w:next w:val="1"/>
    <w:qFormat/>
    <w:uiPriority w:val="0"/>
    <w:pPr>
      <w:autoSpaceDE w:val="0"/>
      <w:autoSpaceDN w:val="0"/>
      <w:adjustRightInd w:val="0"/>
      <w:spacing w:line="400" w:lineRule="atLeast"/>
      <w:jc w:val="left"/>
    </w:pPr>
    <w:rPr>
      <w:rFonts w:ascii="宋体"/>
      <w:kern w:val="0"/>
      <w:sz w:val="24"/>
      <w:szCs w:val="20"/>
    </w:rPr>
  </w:style>
  <w:style w:type="paragraph" w:customStyle="1" w:styleId="77">
    <w:name w:val="默认段落字体 Para Char"/>
    <w:basedOn w:val="1"/>
    <w:qFormat/>
    <w:uiPriority w:val="0"/>
  </w:style>
  <w:style w:type="paragraph" w:customStyle="1" w:styleId="78">
    <w:name w:val="章-附录1.2.3...."/>
    <w:basedOn w:val="5"/>
    <w:next w:val="1"/>
    <w:qFormat/>
    <w:uiPriority w:val="0"/>
    <w:pPr>
      <w:numPr>
        <w:ilvl w:val="0"/>
        <w:numId w:val="0"/>
      </w:numPr>
      <w:adjustRightInd w:val="0"/>
      <w:snapToGrid w:val="0"/>
      <w:spacing w:before="0" w:after="0" w:line="440" w:lineRule="exact"/>
      <w:jc w:val="both"/>
    </w:pPr>
    <w:rPr>
      <w:rFonts w:ascii="黑体"/>
      <w:sz w:val="28"/>
      <w:szCs w:val="28"/>
    </w:rPr>
  </w:style>
  <w:style w:type="paragraph" w:customStyle="1" w:styleId="79">
    <w:name w:val="CM91"/>
    <w:basedOn w:val="80"/>
    <w:next w:val="80"/>
    <w:qFormat/>
    <w:uiPriority w:val="0"/>
    <w:pPr>
      <w:spacing w:after="160"/>
    </w:pPr>
    <w:rPr>
      <w:rFonts w:cs="Times New Roman"/>
      <w:color w:val="auto"/>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CM19"/>
    <w:basedOn w:val="80"/>
    <w:next w:val="80"/>
    <w:qFormat/>
    <w:uiPriority w:val="0"/>
    <w:pPr>
      <w:spacing w:line="398" w:lineRule="atLeast"/>
    </w:pPr>
    <w:rPr>
      <w:rFonts w:cs="Times New Roman"/>
      <w:color w:val="auto"/>
    </w:rPr>
  </w:style>
  <w:style w:type="paragraph" w:customStyle="1" w:styleId="82">
    <w:name w:val="样式2"/>
    <w:basedOn w:val="83"/>
    <w:qFormat/>
    <w:uiPriority w:val="0"/>
    <w:pPr>
      <w:tabs>
        <w:tab w:val="right" w:leader="dot" w:pos="8392"/>
      </w:tabs>
      <w:adjustRightInd/>
      <w:snapToGrid/>
      <w:spacing w:before="120" w:beforeLines="0" w:after="120" w:line="0" w:lineRule="atLeast"/>
      <w:jc w:val="center"/>
      <w:outlineLvl w:val="0"/>
    </w:pPr>
    <w:rPr>
      <w:rFonts w:ascii="Times New Roman" w:hAnsi="Times New Roman"/>
      <w:b/>
      <w:caps/>
      <w:sz w:val="32"/>
      <w:lang w:val="en-US" w:eastAsia="zh-CN"/>
    </w:rPr>
  </w:style>
  <w:style w:type="paragraph" w:customStyle="1" w:styleId="83">
    <w:name w:val="样式1"/>
    <w:basedOn w:val="1"/>
    <w:next w:val="7"/>
    <w:qFormat/>
    <w:uiPriority w:val="0"/>
    <w:pPr>
      <w:spacing w:line="360" w:lineRule="auto"/>
      <w:ind w:firstLine="420" w:firstLineChars="200"/>
    </w:pPr>
    <w:rPr>
      <w:rFonts w:ascii="宋体" w:hAnsi="宋体"/>
      <w:szCs w:val="21"/>
    </w:rPr>
  </w:style>
  <w:style w:type="paragraph" w:customStyle="1" w:styleId="84">
    <w:name w:val=" Char Char Char Char Char Char Char"/>
    <w:basedOn w:val="1"/>
    <w:qFormat/>
    <w:uiPriority w:val="0"/>
    <w:rPr>
      <w:rFonts w:ascii="宋体"/>
      <w:spacing w:val="-12"/>
      <w:kern w:val="21"/>
      <w:sz w:val="24"/>
      <w:szCs w:val="20"/>
    </w:rPr>
  </w:style>
  <w:style w:type="paragraph" w:customStyle="1" w:styleId="85">
    <w:name w:val="商务3"/>
    <w:basedOn w:val="1"/>
    <w:qFormat/>
    <w:uiPriority w:val="0"/>
    <w:pPr>
      <w:spacing w:before="100" w:beforeLines="0" w:after="20" w:afterLines="0"/>
      <w:outlineLvl w:val="2"/>
    </w:pPr>
    <w:rPr>
      <w:rFonts w:ascii="宋体"/>
      <w:b/>
      <w:szCs w:val="20"/>
    </w:rPr>
  </w:style>
  <w:style w:type="paragraph" w:customStyle="1" w:styleId="86">
    <w:name w:val="普通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87">
    <w:name w:val="Body Text 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88">
    <w:name w:val="c"/>
    <w:basedOn w:val="5"/>
    <w:qFormat/>
    <w:uiPriority w:val="0"/>
    <w:pPr>
      <w:ind w:firstLine="601" w:firstLineChars="250"/>
      <w:jc w:val="both"/>
    </w:pPr>
    <w:rPr>
      <w:rFonts w:ascii="宋体" w:hAnsi="宋体"/>
      <w:sz w:val="24"/>
      <w:szCs w:val="24"/>
    </w:rPr>
  </w:style>
  <w:style w:type="paragraph" w:customStyle="1" w:styleId="89">
    <w:name w:val=" Char Char1 Char Char Char"/>
    <w:basedOn w:val="1"/>
    <w:qFormat/>
    <w:uiPriority w:val="0"/>
    <w:rPr>
      <w:kern w:val="0"/>
      <w:sz w:val="20"/>
      <w:szCs w:val="20"/>
    </w:rPr>
  </w:style>
  <w:style w:type="paragraph" w:customStyle="1" w:styleId="90">
    <w:name w:val="1"/>
    <w:basedOn w:val="1"/>
    <w:next w:val="1"/>
    <w:qFormat/>
    <w:uiPriority w:val="0"/>
  </w:style>
  <w:style w:type="paragraph" w:customStyle="1" w:styleId="91">
    <w:name w:val="Char"/>
    <w:basedOn w:val="1"/>
    <w:qFormat/>
    <w:uiPriority w:val="0"/>
    <w:pPr>
      <w:widowControl/>
      <w:jc w:val="center"/>
    </w:pPr>
    <w:rPr>
      <w:szCs w:val="20"/>
    </w:rPr>
  </w:style>
  <w:style w:type="paragraph" w:customStyle="1" w:styleId="92">
    <w:name w:val="规范文本"/>
    <w:basedOn w:val="19"/>
    <w:qFormat/>
    <w:uiPriority w:val="0"/>
    <w:pPr>
      <w:adjustRightInd w:val="0"/>
      <w:snapToGrid w:val="0"/>
      <w:spacing w:line="360" w:lineRule="exact"/>
      <w:ind w:firstLine="420"/>
    </w:pPr>
    <w:rPr>
      <w:snapToGrid w:val="0"/>
      <w:kern w:val="0"/>
      <w:szCs w:val="20"/>
    </w:rPr>
  </w:style>
  <w:style w:type="paragraph" w:customStyle="1" w:styleId="93">
    <w:name w:val="项目符号"/>
    <w:basedOn w:val="1"/>
    <w:qFormat/>
    <w:uiPriority w:val="0"/>
    <w:pPr>
      <w:tabs>
        <w:tab w:val="left" w:pos="360"/>
      </w:tabs>
      <w:adjustRightInd w:val="0"/>
      <w:spacing w:line="360" w:lineRule="atLeast"/>
      <w:ind w:left="340" w:hanging="340"/>
      <w:jc w:val="left"/>
      <w:textAlignment w:val="baseline"/>
    </w:pPr>
    <w:rPr>
      <w:kern w:val="0"/>
      <w:sz w:val="24"/>
      <w:szCs w:val="20"/>
    </w:rPr>
  </w:style>
  <w:style w:type="paragraph" w:customStyle="1" w:styleId="94">
    <w:name w:val="题目"/>
    <w:basedOn w:val="1"/>
    <w:qFormat/>
    <w:uiPriority w:val="0"/>
    <w:pPr>
      <w:spacing w:before="480" w:beforeLines="200" w:after="240" w:afterLines="100"/>
      <w:jc w:val="center"/>
    </w:pPr>
    <w:rPr>
      <w:rFonts w:ascii="黑体" w:eastAsia="黑体"/>
      <w:color w:val="C00000"/>
      <w:sz w:val="28"/>
      <w:szCs w:val="28"/>
    </w:rPr>
  </w:style>
  <w:style w:type="table" w:customStyle="1" w:styleId="95">
    <w:name w:val="浅色列表1"/>
    <w:basedOn w:val="3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9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95821</Words>
  <Characters>103222</Characters>
  <Lines>760</Lines>
  <Paragraphs>214</Paragraphs>
  <TotalTime>1</TotalTime>
  <ScaleCrop>false</ScaleCrop>
  <LinksUpToDate>false</LinksUpToDate>
  <CharactersWithSpaces>110603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2017-08-24T01:57:00Z</dcterms:created>
  <dc:creator>福州信源</dc:creator>
  <cp:lastModifiedBy>xmadmin</cp:lastModifiedBy>
  <cp:lastPrinted>2020-04-22T17:42:00Z</cp:lastPrinted>
  <dcterms:modified xsi:type="dcterms:W3CDTF">2024-03-06T11:12:36Z</dcterms:modified>
  <dc:title>填海造地工程施工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C586A9D05D3145C0A59B13CC842CFE08</vt:lpwstr>
  </property>
</Properties>
</file>