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overflowPunct w:val="0"/>
        <w:adjustRightInd w:val="0"/>
        <w:snapToGrid w:val="0"/>
        <w:spacing w:line="560" w:lineRule="exact"/>
        <w:ind w:firstLine="0" w:firstLineChars="0"/>
        <w:rPr>
          <w:rFonts w:ascii="黑体" w:hAnsi="黑体" w:eastAsia="黑体"/>
          <w:snapToGrid w:val="0"/>
          <w:kern w:val="0"/>
          <w:szCs w:val="28"/>
        </w:rPr>
      </w:pPr>
      <w:r>
        <w:rPr>
          <w:rFonts w:ascii="黑体" w:hAnsi="黑体" w:eastAsia="黑体"/>
          <w:snapToGrid w:val="0"/>
          <w:kern w:val="0"/>
          <w:szCs w:val="28"/>
        </w:rPr>
        <w:t>附件1</w:t>
      </w:r>
    </w:p>
    <w:p>
      <w:pPr>
        <w:pStyle w:val="6"/>
        <w:overflowPunct w:val="0"/>
        <w:adjustRightInd w:val="0"/>
        <w:snapToGrid w:val="0"/>
        <w:spacing w:line="500" w:lineRule="exact"/>
        <w:rPr>
          <w:snapToGrid w:val="0"/>
          <w:kern w:val="0"/>
        </w:rPr>
      </w:pPr>
      <w:bookmarkStart w:id="0" w:name="_GoBack"/>
      <w:r>
        <w:rPr>
          <w:rFonts w:hint="eastAsia"/>
          <w:snapToGrid w:val="0"/>
          <w:kern w:val="0"/>
        </w:rPr>
        <w:t>山东省</w:t>
      </w:r>
      <w:r>
        <w:rPr>
          <w:snapToGrid w:val="0"/>
          <w:kern w:val="0"/>
        </w:rPr>
        <w:t>非油气矿产矿业权出让收益起始价标准</w:t>
      </w:r>
      <w:bookmarkEnd w:id="0"/>
    </w:p>
    <w:p>
      <w:pPr>
        <w:pStyle w:val="6"/>
        <w:overflowPunct w:val="0"/>
        <w:adjustRightInd w:val="0"/>
        <w:snapToGrid w:val="0"/>
        <w:spacing w:line="500" w:lineRule="exact"/>
        <w:rPr>
          <w:rFonts w:hint="eastAsia"/>
          <w:snapToGrid w:val="0"/>
          <w:kern w:val="0"/>
        </w:rPr>
      </w:pPr>
    </w:p>
    <w:tbl>
      <w:tblPr>
        <w:tblStyle w:val="3"/>
        <w:tblW w:w="14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74"/>
        <w:gridCol w:w="6960"/>
        <w:gridCol w:w="885"/>
        <w:gridCol w:w="4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  <w:t>矿业权出让收益起始价标准</w:t>
            </w:r>
          </w:p>
        </w:tc>
        <w:tc>
          <w:tcPr>
            <w:tcW w:w="78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  <w:t>成矿地质条件调整系数</w:t>
            </w:r>
          </w:p>
        </w:tc>
        <w:tc>
          <w:tcPr>
            <w:tcW w:w="5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8"/>
                <w:szCs w:val="28"/>
              </w:rPr>
              <w:t>勘查工作程度调整系数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napToGrid w:val="0"/>
                <w:kern w:val="0"/>
                <w:sz w:val="28"/>
                <w:szCs w:val="28"/>
              </w:rPr>
            </w:pPr>
          </w:p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napToGrid w:val="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Times New Roman" w:eastAsia="仿宋_GB2312"/>
                <w:snapToGrid w:val="0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  <w:t>万元</w:t>
            </w:r>
          </w:p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hint="eastAsia" w:ascii="仿宋_GB2312" w:hAnsi="Times New Roman" w:eastAsia="仿宋_GB2312"/>
                <w:snapToGrid w:val="0"/>
                <w:color w:val="000000"/>
                <w:kern w:val="0"/>
                <w:sz w:val="28"/>
                <w:szCs w:val="28"/>
              </w:rPr>
              <w:t>平方千米）</w:t>
            </w:r>
          </w:p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8"/>
                <w:szCs w:val="28"/>
              </w:rPr>
              <w:t>系数</w:t>
            </w:r>
          </w:p>
        </w:tc>
        <w:tc>
          <w:tcPr>
            <w:tcW w:w="6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8"/>
                <w:szCs w:val="28"/>
              </w:rPr>
              <w:t>类型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8"/>
                <w:szCs w:val="28"/>
              </w:rPr>
              <w:t>系数</w:t>
            </w:r>
          </w:p>
        </w:tc>
        <w:tc>
          <w:tcPr>
            <w:tcW w:w="4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8"/>
                <w:szCs w:val="28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napToGrid w:val="0"/>
                <w:kern w:val="0"/>
                <w:sz w:val="26"/>
                <w:szCs w:val="26"/>
              </w:rPr>
            </w:pPr>
            <w:r>
              <w:rPr>
                <w:rFonts w:ascii="仿宋_GB2312" w:hAnsi="Times New Roman" w:eastAsia="仿宋_GB2312"/>
                <w:snapToGrid w:val="0"/>
                <w:kern w:val="0"/>
                <w:sz w:val="26"/>
                <w:szCs w:val="26"/>
              </w:rPr>
              <w:t>2.5</w:t>
            </w:r>
          </w:p>
        </w:tc>
        <w:tc>
          <w:tcPr>
            <w:tcW w:w="6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rPr>
                <w:rFonts w:ascii="Times New Roman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4"/>
              </w:rPr>
              <w:t>简单型。主要包括沉积型锰、铁、铝土矿、煤、油页岩、磷、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2"/>
              </w:rPr>
              <w:t>岩盐、自然硫、石膏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4"/>
              </w:rPr>
              <w:t>等矿产；层状似层状产出的砂岩型和中低温热液型铜、铀矿和海相火山喷流沉积铜矿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2"/>
              </w:rPr>
              <w:t>、铅、锌等矿产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4"/>
              </w:rPr>
              <w:t>；区域变质作用形成的石墨、玉石等矿产；风化壳离子吸附型稀土等矿产；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2"/>
              </w:rPr>
              <w:t>地热、矿泉水、二氧化碳气、天然卤水、溴等矿产；沉积风化型硅藻土、高岭土、陶瓷土、膨润土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4"/>
              </w:rPr>
              <w:t>等矿产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2"/>
              </w:rPr>
              <w:t>；以及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4"/>
              </w:rPr>
              <w:t>钛铁矿、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2"/>
              </w:rPr>
              <w:t>菱镁矿等矿产。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napToGrid w:val="0"/>
                <w:kern w:val="0"/>
                <w:sz w:val="26"/>
                <w:szCs w:val="26"/>
              </w:rPr>
            </w:pPr>
            <w:r>
              <w:rPr>
                <w:rFonts w:ascii="仿宋_GB2312" w:hAnsi="Times New Roman" w:eastAsia="仿宋_GB2312"/>
                <w:snapToGrid w:val="0"/>
                <w:kern w:val="0"/>
                <w:sz w:val="26"/>
                <w:szCs w:val="26"/>
              </w:rPr>
              <w:t>1</w:t>
            </w:r>
          </w:p>
        </w:tc>
        <w:tc>
          <w:tcPr>
            <w:tcW w:w="4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rPr>
                <w:rFonts w:ascii="Times New Roman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4"/>
              </w:rPr>
              <w:t>草根阶段。开展基础性地质调查工作或者发现物化探异常。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napToGrid w:val="0"/>
                <w:kern w:val="0"/>
                <w:sz w:val="26"/>
                <w:szCs w:val="26"/>
              </w:rPr>
            </w:pPr>
            <w:r>
              <w:rPr>
                <w:rFonts w:ascii="仿宋_GB2312" w:hAnsi="Times New Roman" w:eastAsia="仿宋_GB2312"/>
                <w:snapToGrid w:val="0"/>
                <w:kern w:val="0"/>
                <w:sz w:val="26"/>
                <w:szCs w:val="26"/>
              </w:rPr>
              <w:t>1.5</w:t>
            </w:r>
          </w:p>
        </w:tc>
        <w:tc>
          <w:tcPr>
            <w:tcW w:w="6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rPr>
                <w:rFonts w:ascii="Times New Roman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4"/>
              </w:rPr>
              <w:t>中等型。主要包括侵入岩浆（或潜火山）地质作用形成的铜、金、银、铁、钨、锑、钼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2"/>
              </w:rPr>
              <w:t>、铅、锌、稀土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4"/>
              </w:rPr>
              <w:t>等矿产以及火山作用形成的锰、铜等矿产；以及萤石、硫铁矿、滑石、石棉、长石、石榴子石、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2"/>
              </w:rPr>
              <w:t>透辉石、重晶石、方解石、铁矾土、麦饭石等矿产。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napToGrid w:val="0"/>
                <w:kern w:val="0"/>
                <w:sz w:val="26"/>
                <w:szCs w:val="26"/>
              </w:rPr>
            </w:pPr>
            <w:r>
              <w:rPr>
                <w:rFonts w:ascii="仿宋_GB2312" w:hAnsi="Times New Roman" w:eastAsia="仿宋_GB2312"/>
                <w:snapToGrid w:val="0"/>
                <w:kern w:val="0"/>
                <w:sz w:val="26"/>
                <w:szCs w:val="26"/>
              </w:rPr>
              <w:t>2</w:t>
            </w:r>
          </w:p>
        </w:tc>
        <w:tc>
          <w:tcPr>
            <w:tcW w:w="4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rPr>
                <w:rFonts w:ascii="Times New Roman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4"/>
              </w:rPr>
              <w:t>普查（预可行性）阶段。发现并初步查明矿体或矿床地质特征。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napToGrid w:val="0"/>
                <w:kern w:val="0"/>
                <w:sz w:val="26"/>
                <w:szCs w:val="26"/>
              </w:rPr>
            </w:pPr>
            <w:r>
              <w:rPr>
                <w:rFonts w:ascii="仿宋_GB2312" w:hAnsi="Times New Roman" w:eastAsia="仿宋_GB2312"/>
                <w:snapToGrid w:val="0"/>
                <w:kern w:val="0"/>
                <w:sz w:val="26"/>
                <w:szCs w:val="26"/>
              </w:rPr>
              <w:t>1</w:t>
            </w:r>
          </w:p>
        </w:tc>
        <w:tc>
          <w:tcPr>
            <w:tcW w:w="696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rPr>
                <w:rFonts w:ascii="Times New Roman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4"/>
              </w:rPr>
              <w:t>复杂型。主要包括岩浆作用形成的铬铁矿、铜镍矿；大型变形地质作用形成的韧性剪切带型金矿和变质核杂岩型铜、金矿；金刚石、宝石等矿产；以及复合</w:t>
            </w:r>
            <w:r>
              <w:rPr>
                <w:rFonts w:ascii="Times New Roman" w:hAnsi="Times New Roman" w:eastAsia="仿宋_GB2312"/>
                <w:snapToGrid w:val="0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4"/>
              </w:rPr>
              <w:t>叠加作用形成的矿产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2"/>
              </w:rPr>
              <w:t>或难以判断成矿类型的矿产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4"/>
              </w:rPr>
              <w:t>。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napToGrid w:val="0"/>
                <w:kern w:val="0"/>
                <w:sz w:val="26"/>
                <w:szCs w:val="26"/>
              </w:rPr>
            </w:pPr>
            <w:r>
              <w:rPr>
                <w:rFonts w:ascii="仿宋_GB2312" w:hAnsi="Times New Roman" w:eastAsia="仿宋_GB2312"/>
                <w:snapToGrid w:val="0"/>
                <w:kern w:val="0"/>
                <w:sz w:val="26"/>
                <w:szCs w:val="26"/>
              </w:rPr>
              <w:t>4</w:t>
            </w:r>
          </w:p>
        </w:tc>
        <w:tc>
          <w:tcPr>
            <w:tcW w:w="4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rPr>
                <w:rFonts w:ascii="Times New Roman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4"/>
              </w:rPr>
              <w:t>详查（可行性）阶段。基本查明矿床地质特征。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7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snapToGrid w:val="0"/>
                <w:kern w:val="0"/>
                <w:sz w:val="26"/>
                <w:szCs w:val="26"/>
              </w:rPr>
            </w:pPr>
          </w:p>
        </w:tc>
        <w:tc>
          <w:tcPr>
            <w:tcW w:w="69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/>
                <w:snapToGrid w:val="0"/>
                <w:kern w:val="0"/>
                <w:sz w:val="26"/>
                <w:szCs w:val="26"/>
              </w:rPr>
            </w:pPr>
            <w:r>
              <w:rPr>
                <w:rFonts w:ascii="仿宋_GB2312" w:hAnsi="Times New Roman" w:eastAsia="仿宋_GB2312"/>
                <w:snapToGrid w:val="0"/>
                <w:kern w:val="0"/>
                <w:sz w:val="26"/>
                <w:szCs w:val="26"/>
              </w:rPr>
              <w:t>6</w:t>
            </w:r>
          </w:p>
        </w:tc>
        <w:tc>
          <w:tcPr>
            <w:tcW w:w="4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rPr>
                <w:rFonts w:ascii="Times New Roman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4"/>
              </w:rPr>
              <w:t>勘探阶段。详细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2"/>
              </w:rPr>
              <w:t>查明矿床地质特征</w:t>
            </w:r>
            <w:r>
              <w:rPr>
                <w:rFonts w:hint="eastAsia" w:ascii="Times New Roman" w:hAnsi="Times New Roman" w:eastAsia="仿宋_GB2312"/>
                <w:snapToGrid w:val="0"/>
                <w:kern w:val="0"/>
                <w:sz w:val="24"/>
                <w:szCs w:val="24"/>
              </w:rPr>
              <w:t>。</w:t>
            </w:r>
          </w:p>
        </w:tc>
      </w:tr>
    </w:tbl>
    <w:p>
      <w:pPr>
        <w:overflowPunct w:val="0"/>
        <w:adjustRightInd w:val="0"/>
        <w:snapToGrid w:val="0"/>
        <w:spacing w:line="440" w:lineRule="exact"/>
        <w:ind w:left="0" w:leftChars="0"/>
        <w:rPr>
          <w:rFonts w:ascii="仿宋_GB2312" w:hAnsi="Times New Roman" w:eastAsia="仿宋_GB2312"/>
          <w:snapToGrid w:val="0"/>
          <w:kern w:val="0"/>
          <w:sz w:val="24"/>
          <w:szCs w:val="24"/>
        </w:rPr>
      </w:pPr>
      <w:r>
        <w:rPr>
          <w:rFonts w:hint="eastAsia" w:ascii="仿宋_GB2312" w:hAnsi="Times New Roman" w:eastAsia="仿宋_GB2312"/>
          <w:snapToGrid w:val="0"/>
          <w:kern w:val="0"/>
          <w:sz w:val="24"/>
          <w:szCs w:val="24"/>
        </w:rPr>
        <w:t>注：1.普查、详查、勘探阶段划分参照《固体矿产资源储量分类》（GB/T</w:t>
      </w:r>
      <w:r>
        <w:rPr>
          <w:rFonts w:ascii="仿宋_GB2312" w:hAnsi="Times New Roman" w:eastAsia="仿宋_GB2312"/>
          <w:snapToGrid w:val="0"/>
          <w:kern w:val="0"/>
          <w:sz w:val="24"/>
          <w:szCs w:val="24"/>
        </w:rPr>
        <w:t xml:space="preserve"> </w:t>
      </w:r>
      <w:r>
        <w:rPr>
          <w:rFonts w:hint="eastAsia" w:ascii="仿宋_GB2312" w:hAnsi="Times New Roman" w:eastAsia="仿宋_GB2312"/>
          <w:snapToGrid w:val="0"/>
          <w:kern w:val="0"/>
          <w:sz w:val="24"/>
          <w:szCs w:val="24"/>
        </w:rPr>
        <w:t>17766-2020）标准执行</w:t>
      </w:r>
    </w:p>
    <w:p>
      <w:pPr>
        <w:overflowPunct w:val="0"/>
        <w:adjustRightInd w:val="0"/>
        <w:snapToGrid w:val="0"/>
        <w:spacing w:line="440" w:lineRule="exact"/>
        <w:ind w:firstLine="480" w:firstLineChars="200"/>
      </w:pPr>
      <w:r>
        <w:rPr>
          <w:rFonts w:hint="eastAsia" w:ascii="仿宋_GB2312" w:hAnsi="Times New Roman" w:eastAsia="仿宋_GB231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-1075055</wp:posOffset>
                </wp:positionH>
                <wp:positionV relativeFrom="paragraph">
                  <wp:posOffset>457835</wp:posOffset>
                </wp:positionV>
                <wp:extent cx="485775" cy="628650"/>
                <wp:effectExtent l="0" t="0" r="952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4.65pt;margin-top:36.05pt;height:49.5pt;width:38.25pt;z-index:251659264;mso-width-relative:page;mso-height-relative:page;" fillcolor="#FFFFFF" filled="t" stroked="f" coordsize="21600,21600" o:gfxdata="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5z0f&#10;VdoAAAALAQAADwAAAAAAAAABACAAAAAiAAAAZHJzL2Rvd25yZXYueG1sUEsBAhQAFAAAAAgAh07i&#10;QNP6pPyuAQAANgMAAA4AAAAAAAAAAQAgAAAAKQEAAGRycy9lMm9Eb2MueG1sUEsFBgAAAAAGAAYA&#10;WQEAAEkFAAAAAA==&#10;">
                <v:fill on="t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Times New Roman" w:eastAsia="仿宋_GB2312"/>
          <w:snapToGrid w:val="0"/>
          <w:kern w:val="0"/>
          <w:sz w:val="24"/>
          <w:szCs w:val="24"/>
        </w:rPr>
        <w:t>2.直接出让采矿权采用勘探阶段调整系数</w:t>
      </w:r>
    </w:p>
    <w:sectPr>
      <w:footerReference r:id="rId3" w:type="default"/>
      <w:pgSz w:w="16838" w:h="11906" w:orient="landscape"/>
      <w:pgMar w:top="1587" w:right="1440" w:bottom="158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B5C49"/>
    <w:rsid w:val="441B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5">
    <w:name w:val="公文正文"/>
    <w:basedOn w:val="1"/>
    <w:qFormat/>
    <w:uiPriority w:val="0"/>
    <w:pPr>
      <w:ind w:firstLine="640" w:firstLineChars="200"/>
    </w:pPr>
    <w:rPr>
      <w:rFonts w:ascii="Times New Roman" w:hAnsi="Times New Roman" w:eastAsia="仿宋_GB2312" w:cs="Times New Roman"/>
    </w:rPr>
  </w:style>
  <w:style w:type="paragraph" w:customStyle="1" w:styleId="6">
    <w:name w:val="公文标题"/>
    <w:basedOn w:val="1"/>
    <w:qFormat/>
    <w:uiPriority w:val="0"/>
    <w:pPr>
      <w:spacing w:line="620" w:lineRule="exact"/>
      <w:jc w:val="center"/>
    </w:pPr>
    <w:rPr>
      <w:rFonts w:ascii="方正小标宋简体" w:hAnsi="等线" w:eastAsia="方正小标宋简体" w:cs="Times New Roman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2023-12-21T02:38:00Z</dcterms:created>
  <dc:creator>Hp</dc:creator>
  <cp:lastModifiedBy>Hp</cp:lastModifiedBy>
  <dcterms:modified xsi:type="dcterms:W3CDTF">2023-12-21T02:40:04Z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