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eastAsia="黑体"/>
          <w:color w:val="auto"/>
          <w:sz w:val="31"/>
          <w:szCs w:val="31"/>
          <w:highlight w:val="none"/>
        </w:rPr>
      </w:pPr>
      <w:bookmarkStart w:id="1625" w:name="_GoBack"/>
      <w:bookmarkEnd w:id="1625"/>
    </w:p>
    <w:p>
      <w:pPr>
        <w:spacing w:line="440" w:lineRule="exact"/>
        <w:jc w:val="left"/>
        <w:rPr>
          <w:rFonts w:eastAsia="黑体"/>
          <w:color w:val="auto"/>
          <w:sz w:val="36"/>
          <w:szCs w:val="36"/>
          <w:highlight w:val="none"/>
        </w:rPr>
      </w:pPr>
      <w:r>
        <w:rPr>
          <w:rFonts w:hint="eastAsia" w:eastAsia="黑体"/>
          <w:color w:val="auto"/>
          <w:sz w:val="36"/>
          <w:szCs w:val="36"/>
          <w:highlight w:val="none"/>
        </w:rPr>
        <w:t>厦门市水运工程电子招标投标示范文本（</w:t>
      </w:r>
      <w:r>
        <w:rPr>
          <w:rFonts w:hint="eastAsia"/>
          <w:b/>
          <w:bCs/>
          <w:color w:val="auto"/>
          <w:spacing w:val="-2"/>
          <w:sz w:val="28"/>
          <w:szCs w:val="28"/>
          <w:highlight w:val="none"/>
        </w:rPr>
        <w:t>评定分离版</w:t>
      </w:r>
      <w:r>
        <w:rPr>
          <w:rFonts w:hint="eastAsia" w:eastAsia="黑体"/>
          <w:color w:val="auto"/>
          <w:sz w:val="36"/>
          <w:szCs w:val="36"/>
          <w:highlight w:val="none"/>
        </w:rPr>
        <w:t>）</w:t>
      </w:r>
    </w:p>
    <w:p>
      <w:pPr>
        <w:spacing w:line="440" w:lineRule="exact"/>
        <w:rPr>
          <w:rFonts w:eastAsia="黑体"/>
          <w:color w:val="auto"/>
          <w:sz w:val="36"/>
          <w:szCs w:val="36"/>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134620</wp:posOffset>
                </wp:positionV>
                <wp:extent cx="5835015" cy="0"/>
                <wp:effectExtent l="0" t="9525" r="13335" b="9525"/>
                <wp:wrapNone/>
                <wp:docPr id="1" name="直线 2"/>
                <wp:cNvGraphicFramePr/>
                <a:graphic xmlns:a="http://schemas.openxmlformats.org/drawingml/2006/main">
                  <a:graphicData uri="http://schemas.microsoft.com/office/word/2010/wordprocessingShape">
                    <wps:wsp>
                      <wps:cNvCnPr/>
                      <wps:spPr>
                        <a:xfrm>
                          <a:off x="0" y="0"/>
                          <a:ext cx="583501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10.6pt;height:0pt;width:459.45pt;z-index:251659264;mso-width-relative:page;mso-height-relative:page;" filled="f" stroked="t" coordsize="21600,21600" o:gfxdata="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R6JfBNMAAAAGAQAA&#10;DwAAAAAAAAABACAAAAA4AAAAZHJzL2Rvd25yZXYueG1sUEsBAhQAFAAAAAgAh07iQOv/qcLPAQAA&#10;kQMAAA4AAAAAAAAAAQAgAAAAOAEAAGRycy9lMm9Eb2MueG1sUEsFBgAAAAAGAAYAWQEAAHkFAAAA&#10;AA==&#10;">
                <v:fill on="f" focussize="0,0"/>
                <v:stroke weight="1.5pt" color="#000000" joinstyle="round"/>
                <v:imagedata o:title=""/>
                <o:lock v:ext="edit" aspectratio="f"/>
              </v:line>
            </w:pict>
          </mc:Fallback>
        </mc:AlternateContent>
      </w:r>
    </w:p>
    <w:p>
      <w:pPr>
        <w:rPr>
          <w:rFonts w:ascii="宋体" w:hAnsi="宋体"/>
          <w:color w:val="auto"/>
          <w:highlight w:val="none"/>
        </w:rPr>
      </w:pPr>
    </w:p>
    <w:p>
      <w:pPr>
        <w:spacing w:line="1000" w:lineRule="exact"/>
        <w:jc w:val="center"/>
        <w:rPr>
          <w:rFonts w:ascii="宋体" w:hAnsi="宋体"/>
          <w:b/>
          <w:color w:val="auto"/>
          <w:sz w:val="44"/>
          <w:szCs w:val="44"/>
          <w:highlight w:val="none"/>
          <w:u w:val="single"/>
        </w:rPr>
      </w:pPr>
    </w:p>
    <w:p>
      <w:pPr>
        <w:jc w:val="center"/>
        <w:rPr>
          <w:rFonts w:ascii="华文中宋" w:hAnsi="华文中宋" w:eastAsia="华文中宋" w:cs="华文中宋"/>
          <w:b/>
          <w:color w:val="auto"/>
          <w:sz w:val="52"/>
          <w:szCs w:val="52"/>
          <w:highlight w:val="none"/>
        </w:rPr>
      </w:pPr>
    </w:p>
    <w:p>
      <w:pPr>
        <w:jc w:val="center"/>
        <w:rPr>
          <w:rFonts w:ascii="华文中宋" w:hAnsi="华文中宋" w:eastAsia="华文中宋" w:cs="华文中宋"/>
          <w:b/>
          <w:color w:val="auto"/>
          <w:sz w:val="52"/>
          <w:szCs w:val="52"/>
          <w:highlight w:val="none"/>
        </w:rPr>
      </w:pPr>
    </w:p>
    <w:p>
      <w:pPr>
        <w:jc w:val="center"/>
        <w:rPr>
          <w:rFonts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厦门市水运工程</w:t>
      </w:r>
    </w:p>
    <w:p>
      <w:pPr>
        <w:spacing w:line="1000" w:lineRule="exact"/>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施工监理招标文件</w:t>
      </w:r>
    </w:p>
    <w:p>
      <w:pPr>
        <w:spacing w:line="360" w:lineRule="auto"/>
        <w:ind w:firstLine="420" w:firstLineChars="200"/>
        <w:jc w:val="center"/>
        <w:rPr>
          <w:rFonts w:hint="eastAsia"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1687"/>
        <w:jc w:val="center"/>
        <w:rPr>
          <w:rFonts w:ascii="宋体" w:hAnsi="宋体"/>
          <w:b/>
          <w:color w:val="auto"/>
          <w:sz w:val="84"/>
          <w:szCs w:val="84"/>
          <w:highlight w:val="none"/>
        </w:rPr>
      </w:pPr>
    </w:p>
    <w:p>
      <w:pPr>
        <w:spacing w:line="360" w:lineRule="auto"/>
        <w:ind w:firstLine="1687"/>
        <w:jc w:val="center"/>
        <w:rPr>
          <w:rFonts w:ascii="宋体" w:hAnsi="宋体"/>
          <w:b/>
          <w:color w:val="auto"/>
          <w:sz w:val="84"/>
          <w:szCs w:val="84"/>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厦门市</w:t>
      </w:r>
      <w:r>
        <w:rPr>
          <w:rFonts w:hint="eastAsia" w:ascii="宋体" w:hAnsi="宋体" w:cs="宋体"/>
          <w:b/>
          <w:color w:val="auto"/>
          <w:sz w:val="32"/>
          <w:szCs w:val="32"/>
          <w:highlight w:val="none"/>
          <w:lang w:eastAsia="zh-CN"/>
        </w:rPr>
        <w:t>住房和</w:t>
      </w:r>
      <w:r>
        <w:rPr>
          <w:rFonts w:hint="eastAsia" w:ascii="宋体" w:hAnsi="宋体" w:cs="宋体"/>
          <w:b/>
          <w:color w:val="auto"/>
          <w:sz w:val="32"/>
          <w:szCs w:val="32"/>
          <w:highlight w:val="none"/>
        </w:rPr>
        <w:t>建设局</w:t>
      </w:r>
    </w:p>
    <w:p>
      <w:pPr>
        <w:spacing w:line="360" w:lineRule="auto"/>
        <w:jc w:val="center"/>
        <w:rPr>
          <w:rFonts w:ascii="黑体" w:hAnsi="黑体" w:eastAsia="黑体"/>
          <w:color w:val="auto"/>
          <w:sz w:val="32"/>
          <w:szCs w:val="32"/>
          <w:highlight w:val="none"/>
        </w:rPr>
        <w:sectPr>
          <w:headerReference r:id="rId4" w:type="default"/>
          <w:footerReference r:id="rId5" w:type="default"/>
          <w:footnotePr>
            <w:numRestart w:val="eachPage"/>
          </w:footnotePr>
          <w:pgSz w:w="11906" w:h="16838"/>
          <w:pgMar w:top="1418" w:right="1304" w:bottom="1418" w:left="1304" w:header="851" w:footer="992" w:gutter="0"/>
          <w:pgNumType w:start="1"/>
          <w:cols w:space="720" w:num="1"/>
          <w:docGrid w:linePitch="312" w:charSpace="0"/>
        </w:sectPr>
      </w:pPr>
      <w:r>
        <w:rPr>
          <w:rFonts w:hint="default" w:ascii="宋体" w:hAnsi="宋体" w:cs="宋体"/>
          <w:b/>
          <w:color w:val="auto"/>
          <w:sz w:val="32"/>
          <w:szCs w:val="32"/>
          <w:highlight w:val="none"/>
          <w:lang w:val="en-US" w:eastAsia="zh-CN"/>
        </w:rPr>
        <w:t>2024</w:t>
      </w:r>
      <w:r>
        <w:rPr>
          <w:rFonts w:hint="default" w:ascii="宋体" w:hAnsi="宋体" w:cs="宋体"/>
          <w:b/>
          <w:color w:val="auto"/>
          <w:sz w:val="32"/>
          <w:szCs w:val="32"/>
          <w:highlight w:val="none"/>
          <w:lang w:val="en-US"/>
        </w:rPr>
        <w:t xml:space="preserve">年 </w:t>
      </w:r>
      <w:r>
        <w:rPr>
          <w:rFonts w:hint="default" w:ascii="宋体" w:hAnsi="宋体" w:cs="宋体"/>
          <w:b/>
          <w:color w:val="auto"/>
          <w:sz w:val="32"/>
          <w:szCs w:val="32"/>
          <w:highlight w:val="none"/>
          <w:lang w:val="en-US" w:eastAsia="zh-CN"/>
        </w:rPr>
        <w:t>0</w:t>
      </w:r>
      <w:r>
        <w:rPr>
          <w:rFonts w:hint="eastAsia" w:ascii="宋体" w:hAnsi="宋体" w:cs="宋体"/>
          <w:b/>
          <w:color w:val="auto"/>
          <w:sz w:val="32"/>
          <w:szCs w:val="32"/>
          <w:highlight w:val="none"/>
          <w:lang w:val="en-US" w:eastAsia="zh-CN"/>
        </w:rPr>
        <w:t>3</w:t>
      </w:r>
      <w:r>
        <w:rPr>
          <w:rFonts w:hint="default" w:ascii="宋体" w:hAnsi="宋体" w:cs="宋体"/>
          <w:b/>
          <w:color w:val="auto"/>
          <w:sz w:val="32"/>
          <w:szCs w:val="32"/>
          <w:highlight w:val="none"/>
          <w:lang w:val="en-US"/>
        </w:rPr>
        <w:t>月</w:t>
      </w:r>
    </w:p>
    <w:p>
      <w:pPr>
        <w:pStyle w:val="2"/>
        <w:jc w:val="center"/>
        <w:rPr>
          <w:rFonts w:hint="eastAsia"/>
          <w:color w:val="auto"/>
          <w:highlight w:val="none"/>
        </w:rPr>
      </w:pPr>
      <w:r>
        <w:rPr>
          <w:rFonts w:hint="eastAsia"/>
          <w:color w:val="auto"/>
          <w:highlight w:val="none"/>
        </w:rPr>
        <w:t>总 则</w:t>
      </w:r>
    </w:p>
    <w:p>
      <w:pPr>
        <w:numPr>
          <w:ilvl w:val="0"/>
          <w:numId w:val="1"/>
        </w:numPr>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《厦门市水运工程施工电子招标文件》（评定分离版）以福建省港航事业发展中心发布《福建省水运工程施工监理招标文件示范文本》（</w:t>
      </w:r>
      <w:r>
        <w:rPr>
          <w:rFonts w:hint="eastAsia" w:ascii="宋体" w:hAnsi="宋体"/>
          <w:snapToGrid w:val="0"/>
          <w:color w:val="auto"/>
          <w:kern w:val="0"/>
          <w:sz w:val="24"/>
          <w:highlight w:val="none"/>
          <w:lang w:val="en-US" w:eastAsia="zh-CN"/>
        </w:rPr>
        <w:t>2023</w:t>
      </w:r>
      <w:r>
        <w:rPr>
          <w:rFonts w:hint="eastAsia" w:ascii="宋体" w:hAnsi="宋体"/>
          <w:snapToGrid w:val="0"/>
          <w:color w:val="auto"/>
          <w:kern w:val="0"/>
          <w:sz w:val="24"/>
          <w:highlight w:val="none"/>
        </w:rPr>
        <w:t>版）（以下简称“省范本”）为基础，以《中华人民共和国招标投标法》、《电子招标投标办法》等法律和部门规章为依据，根据</w:t>
      </w:r>
      <w:r>
        <w:rPr>
          <w:rFonts w:hint="eastAsia" w:ascii="宋体" w:hAnsi="宋体"/>
          <w:snapToGrid w:val="0"/>
          <w:color w:val="auto"/>
          <w:kern w:val="0"/>
          <w:sz w:val="24"/>
          <w:highlight w:val="none"/>
          <w:lang w:eastAsia="zh-CN"/>
        </w:rPr>
        <w:t>《</w:t>
      </w:r>
      <w:r>
        <w:rPr>
          <w:rFonts w:hint="eastAsia" w:ascii="宋体" w:hAnsi="宋体" w:eastAsia="宋体" w:cs="Times New Roman"/>
          <w:snapToGrid w:val="0"/>
          <w:color w:val="auto"/>
          <w:kern w:val="0"/>
          <w:sz w:val="24"/>
          <w:szCs w:val="24"/>
          <w:highlight w:val="none"/>
        </w:rPr>
        <w:t>厦门市建设局关于印发建设工程招投标“评定分离”办法（试行）的通知》（厦建筑〔2022〕51号）</w:t>
      </w:r>
      <w:r>
        <w:rPr>
          <w:rFonts w:hint="eastAsia" w:ascii="宋体" w:hAnsi="宋体"/>
          <w:snapToGrid w:val="0"/>
          <w:color w:val="auto"/>
          <w:kern w:val="0"/>
          <w:sz w:val="24"/>
          <w:highlight w:val="none"/>
        </w:rPr>
        <w:t>并结合厦门市实际情况进行编制。</w:t>
      </w:r>
    </w:p>
    <w:p>
      <w:pPr>
        <w:numPr>
          <w:ilvl w:val="0"/>
          <w:numId w:val="1"/>
        </w:numPr>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本招标文件（范本）适用于厦门市行政区域内依法必须进行公开招投标且采用“评定分离”评标定标办法的水运建设监理项目。</w:t>
      </w:r>
    </w:p>
    <w:p>
      <w:pPr>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3、本施工监理招标文件范本可</w:t>
      </w:r>
      <w:r>
        <w:rPr>
          <w:rFonts w:ascii="宋体" w:hAnsi="宋体"/>
          <w:snapToGrid w:val="0"/>
          <w:color w:val="auto"/>
          <w:kern w:val="0"/>
          <w:sz w:val="24"/>
          <w:highlight w:val="none"/>
        </w:rPr>
        <w:t>适用于</w:t>
      </w:r>
      <w:r>
        <w:rPr>
          <w:rFonts w:hint="eastAsia" w:ascii="宋体" w:hAnsi="宋体"/>
          <w:snapToGrid w:val="0"/>
          <w:color w:val="auto"/>
          <w:kern w:val="0"/>
          <w:sz w:val="24"/>
          <w:highlight w:val="none"/>
        </w:rPr>
        <w:t>全部使用国有资金投资或者国有资金投资占控股或者主导地位的我省省级及以下核准或审批的必须公开招标的</w:t>
      </w:r>
      <w:r>
        <w:rPr>
          <w:rFonts w:ascii="宋体" w:hAnsi="宋体"/>
          <w:snapToGrid w:val="0"/>
          <w:color w:val="auto"/>
          <w:kern w:val="0"/>
          <w:sz w:val="24"/>
          <w:highlight w:val="none"/>
        </w:rPr>
        <w:t>水运工程</w:t>
      </w:r>
      <w:r>
        <w:rPr>
          <w:rFonts w:hint="eastAsia" w:ascii="宋体" w:hAnsi="宋体"/>
          <w:snapToGrid w:val="0"/>
          <w:color w:val="auto"/>
          <w:kern w:val="0"/>
          <w:sz w:val="24"/>
          <w:highlight w:val="none"/>
        </w:rPr>
        <w:t>建设项目（含陆岛交通码头）施工监理招标，其余水运工程项目施工监理招标可参照执行。</w:t>
      </w:r>
    </w:p>
    <w:p>
      <w:pPr>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4、招标人在设定投标人资质资格要求时，应严格按照《公路水运工程监理企业资质管理规定》中企业资质等级所承接范围的规定设定企业资质，并与招标项目工程建设规模等级相适应，不得设定与项目等级不相应、过高的资质要求。</w:t>
      </w:r>
    </w:p>
    <w:p>
      <w:pPr>
        <w:widowControl/>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5、联合体参与投标的，只需由联合体牵头单位加盖电子章即可；非联合体牵头单位的资料由各自单位盖单位公章后彩色扫描后统一由联合体牵头方上传。</w:t>
      </w:r>
    </w:p>
    <w:p>
      <w:pPr>
        <w:widowControl/>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val="en-US" w:eastAsia="zh-CN"/>
        </w:rPr>
        <w:t>6</w:t>
      </w:r>
      <w:r>
        <w:rPr>
          <w:rFonts w:hint="eastAsia" w:ascii="宋体" w:hAnsi="宋体"/>
          <w:snapToGrid w:val="0"/>
          <w:color w:val="auto"/>
          <w:kern w:val="0"/>
          <w:sz w:val="24"/>
          <w:highlight w:val="none"/>
        </w:rPr>
        <w:t>、在福建省交通运输厅最新发布的信用考核定级为AA、A级且在有效期限内的单位，资格审查阶段，当其他条件满足时，其履约信誉可免于审查，直接通过资格审查。</w:t>
      </w:r>
    </w:p>
    <w:p>
      <w:pPr>
        <w:widowControl/>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val="en-US" w:eastAsia="zh-CN"/>
        </w:rPr>
        <w:t>7</w:t>
      </w:r>
      <w:r>
        <w:rPr>
          <w:rFonts w:hint="eastAsia" w:ascii="宋体" w:hAnsi="宋体"/>
          <w:snapToGrid w:val="0"/>
          <w:color w:val="auto"/>
          <w:kern w:val="0"/>
          <w:sz w:val="24"/>
          <w:highlight w:val="none"/>
        </w:rPr>
        <w:t>、范本中以空格下划线标示的，由招标人编制招标文件或投标人编制投标文件时填入具体内容,不需要填写时应在空格处用“/”标示，其余部分应不加修改的引用。</w:t>
      </w:r>
    </w:p>
    <w:p>
      <w:pPr>
        <w:widowControl/>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val="en-US" w:eastAsia="zh-CN"/>
        </w:rPr>
        <w:t>8</w:t>
      </w:r>
      <w:r>
        <w:rPr>
          <w:rFonts w:hint="eastAsia" w:ascii="宋体" w:hAnsi="宋体"/>
          <w:snapToGrid w:val="0"/>
          <w:color w:val="auto"/>
          <w:kern w:val="0"/>
          <w:sz w:val="24"/>
          <w:highlight w:val="none"/>
        </w:rPr>
        <w:t>、水运工程施工监理招标文件的编制除应符合本范本规定外，还应符合国家现行有关法律、法规、标准的规定。</w:t>
      </w:r>
    </w:p>
    <w:p>
      <w:pPr>
        <w:widowControl/>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val="en-US" w:eastAsia="zh-CN"/>
        </w:rPr>
        <w:t>9、</w:t>
      </w:r>
      <w:r>
        <w:rPr>
          <w:rFonts w:hint="eastAsia" w:ascii="宋体" w:hAnsi="宋体"/>
          <w:snapToGrid w:val="0"/>
          <w:color w:val="auto"/>
          <w:kern w:val="0"/>
          <w:sz w:val="24"/>
          <w:highlight w:val="none"/>
        </w:rPr>
        <w:t>招标人设定最高投标限价可结合有关计价依据、工程特点、市场要素价格水平等因素，并贴近市场实际。</w:t>
      </w:r>
    </w:p>
    <w:p>
      <w:pPr>
        <w:widowControl/>
        <w:tabs>
          <w:tab w:val="left" w:pos="480"/>
        </w:tabs>
        <w:spacing w:line="360" w:lineRule="auto"/>
        <w:ind w:firstLine="480"/>
        <w:rPr>
          <w:rFonts w:hint="eastAsia" w:ascii="宋体" w:hAnsi="宋体"/>
          <w:color w:val="auto"/>
          <w:sz w:val="24"/>
          <w:highlight w:val="none"/>
        </w:rPr>
      </w:pPr>
      <w:r>
        <w:rPr>
          <w:rFonts w:hint="eastAsia" w:ascii="宋体" w:hAnsi="宋体"/>
          <w:color w:val="auto"/>
          <w:sz w:val="24"/>
          <w:highlight w:val="none"/>
          <w:lang w:eastAsia="zh-CN"/>
        </w:rPr>
        <w:t>1</w:t>
      </w:r>
      <w:r>
        <w:rPr>
          <w:rFonts w:hint="eastAsia" w:ascii="宋体" w:hAnsi="宋体"/>
          <w:color w:val="auto"/>
          <w:sz w:val="24"/>
          <w:highlight w:val="none"/>
          <w:lang w:val="en-US" w:eastAsia="zh-CN"/>
        </w:rPr>
        <w:t>0</w:t>
      </w:r>
      <w:r>
        <w:rPr>
          <w:rFonts w:hint="eastAsia" w:ascii="宋体" w:hAnsi="宋体"/>
          <w:color w:val="auto"/>
          <w:sz w:val="24"/>
          <w:highlight w:val="none"/>
        </w:rPr>
        <w:t>、各单位在使用本招标文件（范本）时，有任何意见和建议，请及时反馈厦门市建设工程招投标中心，以便进一步修改和完善。参加编制主要单位和人员名单如下：</w:t>
      </w:r>
    </w:p>
    <w:p>
      <w:pPr>
        <w:widowControl/>
        <w:tabs>
          <w:tab w:val="left" w:pos="480"/>
        </w:tabs>
        <w:spacing w:line="360" w:lineRule="auto"/>
        <w:ind w:firstLine="480"/>
        <w:rPr>
          <w:rFonts w:hint="eastAsia" w:ascii="宋体" w:hAnsi="宋体"/>
          <w:color w:val="auto"/>
          <w:sz w:val="24"/>
          <w:highlight w:val="none"/>
        </w:rPr>
      </w:pPr>
      <w:r>
        <w:rPr>
          <w:rFonts w:hint="eastAsia" w:ascii="宋体" w:hAnsi="宋体" w:cs="Times New Roman"/>
          <w:color w:val="auto"/>
          <w:sz w:val="24"/>
          <w:highlight w:val="none"/>
        </w:rPr>
        <w:t>①</w:t>
      </w:r>
      <w:r>
        <w:rPr>
          <w:rFonts w:hint="eastAsia" w:ascii="宋体" w:hAnsi="宋体"/>
          <w:color w:val="auto"/>
          <w:sz w:val="24"/>
          <w:highlight w:val="none"/>
        </w:rPr>
        <w:t>厦门市建设工程招投标中心 白晓东、沈毅敏、</w:t>
      </w:r>
      <w:r>
        <w:rPr>
          <w:rFonts w:hint="eastAsia" w:ascii="宋体" w:hAnsi="宋体"/>
          <w:color w:val="auto"/>
          <w:sz w:val="24"/>
          <w:highlight w:val="none"/>
          <w:lang w:eastAsia="zh-CN"/>
        </w:rPr>
        <w:t>何财宁</w:t>
      </w:r>
      <w:r>
        <w:rPr>
          <w:rFonts w:hint="eastAsia" w:ascii="宋体" w:hAnsi="宋体"/>
          <w:color w:val="auto"/>
          <w:sz w:val="24"/>
          <w:highlight w:val="none"/>
        </w:rPr>
        <w:t>、</w:t>
      </w:r>
      <w:r>
        <w:rPr>
          <w:rFonts w:hint="eastAsia" w:ascii="宋体" w:hAnsi="宋体"/>
          <w:color w:val="auto"/>
          <w:sz w:val="24"/>
          <w:highlight w:val="none"/>
          <w:lang w:eastAsia="zh-CN"/>
        </w:rPr>
        <w:t>王东一、郑永生、朱妍歆</w:t>
      </w:r>
      <w:r>
        <w:rPr>
          <w:rFonts w:hint="eastAsia" w:ascii="宋体" w:hAnsi="宋体"/>
          <w:color w:val="auto"/>
          <w:sz w:val="24"/>
          <w:highlight w:val="none"/>
        </w:rPr>
        <w:t>；</w:t>
      </w:r>
    </w:p>
    <w:p>
      <w:pPr>
        <w:widowControl/>
        <w:tabs>
          <w:tab w:val="left" w:pos="480"/>
        </w:tabs>
        <w:spacing w:line="360" w:lineRule="auto"/>
        <w:ind w:firstLine="480"/>
        <w:rPr>
          <w:rFonts w:hint="eastAsia" w:ascii="宋体" w:hAnsi="宋体"/>
          <w:color w:val="auto"/>
          <w:sz w:val="24"/>
          <w:highlight w:val="none"/>
        </w:rPr>
      </w:pPr>
      <w:r>
        <w:rPr>
          <w:rFonts w:hint="eastAsia" w:ascii="宋体" w:hAnsi="宋体" w:cs="Times New Roman"/>
          <w:color w:val="auto"/>
          <w:sz w:val="24"/>
          <w:highlight w:val="none"/>
        </w:rPr>
        <w:t>②</w:t>
      </w:r>
      <w:r>
        <w:rPr>
          <w:rFonts w:hint="eastAsia" w:ascii="宋体" w:hAnsi="宋体"/>
          <w:color w:val="auto"/>
          <w:sz w:val="24"/>
          <w:highlight w:val="none"/>
        </w:rPr>
        <w:t xml:space="preserve">福建中融合项目管理有限公司 </w:t>
      </w:r>
      <w:r>
        <w:rPr>
          <w:rFonts w:hint="eastAsia" w:ascii="宋体" w:hAnsi="宋体"/>
          <w:color w:val="auto"/>
          <w:sz w:val="24"/>
          <w:highlight w:val="none"/>
          <w:lang w:eastAsia="zh-CN"/>
        </w:rPr>
        <w:t>叶俊斌</w:t>
      </w:r>
      <w:r>
        <w:rPr>
          <w:rFonts w:hint="eastAsia" w:ascii="宋体" w:hAnsi="宋体"/>
          <w:color w:val="auto"/>
          <w:sz w:val="24"/>
          <w:highlight w:val="none"/>
        </w:rPr>
        <w:t>。</w:t>
      </w:r>
    </w:p>
    <w:p>
      <w:pPr>
        <w:pStyle w:val="17"/>
        <w:rPr>
          <w:rFonts w:hint="eastAsia"/>
          <w:color w:val="auto"/>
          <w:highlight w:val="none"/>
        </w:rPr>
      </w:pPr>
    </w:p>
    <w:p>
      <w:pPr>
        <w:jc w:val="center"/>
        <w:rPr>
          <w:rFonts w:hint="eastAsia" w:ascii="华文中宋" w:hAnsi="华文中宋" w:eastAsia="华文中宋" w:cs="华文中宋"/>
          <w:b/>
          <w:color w:val="auto"/>
          <w:sz w:val="52"/>
          <w:szCs w:val="52"/>
          <w:highlight w:val="none"/>
        </w:rPr>
      </w:pPr>
      <w:r>
        <w:rPr>
          <w:color w:val="auto"/>
          <w:highlight w:val="none"/>
        </w:rPr>
        <w:br w:type="page"/>
      </w: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u w:val="single"/>
        </w:rPr>
        <w:t xml:space="preserve">        （项目名称）</w:t>
      </w:r>
      <w:r>
        <w:rPr>
          <w:rFonts w:hint="eastAsia" w:ascii="华文中宋" w:hAnsi="华文中宋" w:eastAsia="华文中宋" w:cs="华文中宋"/>
          <w:b/>
          <w:color w:val="auto"/>
          <w:sz w:val="52"/>
          <w:szCs w:val="52"/>
          <w:highlight w:val="none"/>
        </w:rPr>
        <w:t>电子招标投标</w:t>
      </w:r>
    </w:p>
    <w:p>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施工监理招标文件</w:t>
      </w:r>
    </w:p>
    <w:p>
      <w:pPr>
        <w:rPr>
          <w:rFonts w:hint="eastAsia" w:ascii="华文中宋" w:hAnsi="华文中宋" w:eastAsia="华文中宋" w:cs="华文中宋"/>
          <w:color w:val="auto"/>
          <w:highlight w:val="none"/>
        </w:rPr>
      </w:pPr>
    </w:p>
    <w:p>
      <w:pPr>
        <w:ind w:firstLine="2242" w:firstLineChars="700"/>
        <w:rPr>
          <w:rFonts w:hint="eastAsia" w:ascii="华文中宋" w:hAnsi="华文中宋" w:eastAsia="华文中宋" w:cs="华文中宋"/>
          <w:b/>
          <w:color w:val="auto"/>
          <w:sz w:val="32"/>
          <w:szCs w:val="32"/>
          <w:highlight w:val="none"/>
        </w:rPr>
      </w:pPr>
    </w:p>
    <w:p>
      <w:pPr>
        <w:jc w:val="center"/>
        <w:rPr>
          <w:rFonts w:hint="eastAsia" w:ascii="华文中宋" w:hAnsi="华文中宋" w:eastAsia="华文中宋" w:cs="华文中宋"/>
          <w:b/>
          <w:color w:val="auto"/>
          <w:sz w:val="72"/>
          <w:szCs w:val="72"/>
          <w:highlight w:val="none"/>
        </w:rPr>
      </w:pPr>
    </w:p>
    <w:p>
      <w:pPr>
        <w:jc w:val="center"/>
        <w:rPr>
          <w:rFonts w:hint="eastAsia" w:ascii="宋体" w:hAnsi="宋体"/>
          <w:b/>
          <w:color w:val="auto"/>
          <w:sz w:val="32"/>
          <w:szCs w:val="32"/>
          <w:highlight w:val="none"/>
        </w:rPr>
      </w:pPr>
    </w:p>
    <w:p>
      <w:pPr>
        <w:ind w:firstLine="3080" w:firstLineChars="1100"/>
        <w:rPr>
          <w:rFonts w:hint="eastAsia" w:ascii="宋体" w:hAnsi="宋体"/>
          <w:color w:val="auto"/>
          <w:sz w:val="28"/>
          <w:szCs w:val="28"/>
          <w:highlight w:val="none"/>
          <w:u w:val="single"/>
        </w:rPr>
      </w:pPr>
      <w:r>
        <w:rPr>
          <w:rFonts w:hint="eastAsia" w:ascii="宋体" w:hAnsi="宋体"/>
          <w:color w:val="auto"/>
          <w:sz w:val="28"/>
          <w:szCs w:val="28"/>
          <w:highlight w:val="none"/>
        </w:rPr>
        <w:t>报建号：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pPr>
        <w:rPr>
          <w:rFonts w:hint="eastAsia" w:ascii="宋体" w:hAnsi="宋体"/>
          <w:color w:val="auto"/>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firstLine="1285" w:firstLineChars="400"/>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rPr>
        <w:t>招   标   人</w:t>
      </w:r>
      <w:r>
        <w:rPr>
          <w:rFonts w:hint="eastAsia" w:ascii="宋体" w:hAnsi="宋体" w:cs="宋体"/>
          <w:b/>
          <w:color w:val="auto"/>
          <w:sz w:val="32"/>
          <w:szCs w:val="32"/>
          <w:highlight w:val="none"/>
          <w:u w:val="single"/>
        </w:rPr>
        <w:t xml:space="preserve">：                         </w:t>
      </w:r>
    </w:p>
    <w:p>
      <w:pPr>
        <w:spacing w:line="360" w:lineRule="auto"/>
        <w:ind w:firstLine="1285" w:firstLineChars="400"/>
        <w:rPr>
          <w:rFonts w:hint="eastAsia" w:ascii="宋体" w:hAnsi="宋体" w:cs="宋体"/>
          <w:b/>
          <w:color w:val="auto"/>
          <w:sz w:val="32"/>
          <w:szCs w:val="32"/>
          <w:highlight w:val="none"/>
          <w:u w:val="single"/>
        </w:rPr>
      </w:pPr>
    </w:p>
    <w:p>
      <w:pPr>
        <w:spacing w:line="360" w:lineRule="auto"/>
        <w:ind w:firstLine="1285" w:firstLineChars="400"/>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rPr>
        <w:t>招标代理机构</w:t>
      </w:r>
      <w:r>
        <w:rPr>
          <w:rFonts w:hint="eastAsia" w:ascii="宋体" w:hAnsi="宋体" w:cs="宋体"/>
          <w:b/>
          <w:color w:val="auto"/>
          <w:sz w:val="32"/>
          <w:szCs w:val="32"/>
          <w:highlight w:val="none"/>
          <w:u w:val="single"/>
        </w:rPr>
        <w:t xml:space="preserve">：                         </w:t>
      </w:r>
    </w:p>
    <w:p>
      <w:pPr>
        <w:spacing w:line="360" w:lineRule="auto"/>
        <w:ind w:firstLine="562" w:firstLineChars="200"/>
        <w:jc w:val="center"/>
        <w:rPr>
          <w:rFonts w:ascii="黑体" w:hAnsi="黑体" w:eastAsia="黑体"/>
          <w:color w:val="auto"/>
          <w:sz w:val="30"/>
          <w:szCs w:val="30"/>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cs="宋体"/>
          <w:b/>
          <w:color w:val="auto"/>
          <w:sz w:val="28"/>
          <w:szCs w:val="28"/>
          <w:highlight w:val="none"/>
          <w:u w:val="single"/>
        </w:rPr>
        <w:t xml:space="preserve">     </w:t>
      </w:r>
      <w:r>
        <w:rPr>
          <w:rFonts w:hint="eastAsia" w:cs="宋体"/>
          <w:b/>
          <w:color w:val="auto"/>
          <w:sz w:val="28"/>
          <w:szCs w:val="28"/>
          <w:highlight w:val="none"/>
        </w:rPr>
        <w:t>日</w:t>
      </w:r>
      <w:r>
        <w:rPr>
          <w:rFonts w:ascii="黑体" w:hAnsi="黑体" w:eastAsia="黑体"/>
          <w:color w:val="auto"/>
          <w:sz w:val="30"/>
          <w:szCs w:val="30"/>
          <w:highlight w:val="none"/>
        </w:rPr>
        <w:br w:type="page"/>
      </w:r>
    </w:p>
    <w:p>
      <w:pPr>
        <w:spacing w:line="360" w:lineRule="auto"/>
        <w:ind w:firstLine="600" w:firstLineChars="200"/>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目  录</w:t>
      </w:r>
    </w:p>
    <w:p>
      <w:pPr>
        <w:pStyle w:val="34"/>
        <w:tabs>
          <w:tab w:val="right" w:leader="dot" w:pos="9288"/>
        </w:tabs>
        <w:rPr>
          <w:i w:val="0"/>
          <w:iCs w:val="0"/>
          <w:color w:val="auto"/>
          <w:sz w:val="21"/>
          <w:szCs w:val="21"/>
          <w:highlight w:val="none"/>
        </w:rPr>
      </w:pPr>
      <w:r>
        <w:rPr>
          <w:rFonts w:hint="eastAsia" w:ascii="宋体" w:hAnsi="宋体" w:cs="仿宋"/>
          <w:bCs/>
          <w:i w:val="0"/>
          <w:color w:val="auto"/>
          <w:sz w:val="21"/>
          <w:szCs w:val="21"/>
          <w:highlight w:val="none"/>
        </w:rPr>
        <w:fldChar w:fldCharType="begin"/>
      </w:r>
      <w:r>
        <w:rPr>
          <w:rFonts w:hint="eastAsia" w:ascii="宋体" w:hAnsi="宋体" w:cs="仿宋"/>
          <w:i w:val="0"/>
          <w:color w:val="auto"/>
          <w:sz w:val="21"/>
          <w:szCs w:val="21"/>
          <w:highlight w:val="none"/>
        </w:rPr>
        <w:instrText xml:space="preserve"> TOC \o "1-3" \h \z \u </w:instrText>
      </w:r>
      <w:r>
        <w:rPr>
          <w:rFonts w:hint="eastAsia" w:ascii="宋体" w:hAnsi="宋体" w:cs="仿宋"/>
          <w:bCs/>
          <w:i w:val="0"/>
          <w:color w:val="auto"/>
          <w:sz w:val="21"/>
          <w:szCs w:val="21"/>
          <w:highlight w:val="none"/>
        </w:rPr>
        <w:fldChar w:fldCharType="separate"/>
      </w:r>
      <w:r>
        <w:rPr>
          <w:i w:val="0"/>
          <w:color w:val="auto"/>
          <w:sz w:val="21"/>
          <w:szCs w:val="21"/>
          <w:highlight w:val="none"/>
        </w:rPr>
        <w:fldChar w:fldCharType="begin"/>
      </w:r>
      <w:r>
        <w:rPr>
          <w:rStyle w:val="50"/>
          <w:i w:val="0"/>
          <w:color w:val="auto"/>
          <w:sz w:val="21"/>
          <w:szCs w:val="21"/>
          <w:highlight w:val="none"/>
        </w:rPr>
        <w:instrText xml:space="preserve"> </w:instrText>
      </w:r>
      <w:r>
        <w:rPr>
          <w:i w:val="0"/>
          <w:color w:val="auto"/>
          <w:sz w:val="21"/>
          <w:szCs w:val="21"/>
          <w:highlight w:val="none"/>
        </w:rPr>
        <w:instrText xml:space="preserve">HYPERLINK \l "_Toc488650761"</w:instrText>
      </w:r>
      <w:r>
        <w:rPr>
          <w:rStyle w:val="50"/>
          <w:i w:val="0"/>
          <w:color w:val="auto"/>
          <w:sz w:val="21"/>
          <w:szCs w:val="21"/>
          <w:highlight w:val="none"/>
        </w:rPr>
        <w:instrText xml:space="preserve"> </w:instrText>
      </w:r>
      <w:r>
        <w:rPr>
          <w:i w:val="0"/>
          <w:color w:val="auto"/>
          <w:sz w:val="21"/>
          <w:szCs w:val="21"/>
          <w:highlight w:val="none"/>
        </w:rPr>
        <w:fldChar w:fldCharType="separate"/>
      </w:r>
      <w:r>
        <w:rPr>
          <w:rStyle w:val="50"/>
          <w:rFonts w:hint="eastAsia"/>
          <w:i w:val="0"/>
          <w:color w:val="auto"/>
          <w:sz w:val="21"/>
          <w:szCs w:val="21"/>
          <w:highlight w:val="none"/>
        </w:rPr>
        <w:t>第一章</w:t>
      </w:r>
      <w:r>
        <w:rPr>
          <w:rStyle w:val="50"/>
          <w:i w:val="0"/>
          <w:color w:val="auto"/>
          <w:sz w:val="21"/>
          <w:szCs w:val="21"/>
          <w:highlight w:val="none"/>
        </w:rPr>
        <w:t xml:space="preserve">  </w:t>
      </w:r>
      <w:r>
        <w:rPr>
          <w:rStyle w:val="50"/>
          <w:rFonts w:hint="eastAsia"/>
          <w:i w:val="0"/>
          <w:color w:val="auto"/>
          <w:sz w:val="21"/>
          <w:szCs w:val="21"/>
          <w:highlight w:val="none"/>
        </w:rPr>
        <w:t>招标公告</w:t>
      </w:r>
      <w:r>
        <w:rPr>
          <w:i w:val="0"/>
          <w:color w:val="auto"/>
          <w:sz w:val="21"/>
          <w:szCs w:val="21"/>
          <w:highlight w:val="none"/>
        </w:rPr>
        <w:tab/>
      </w:r>
      <w:r>
        <w:rPr>
          <w:i w:val="0"/>
          <w:color w:val="auto"/>
          <w:sz w:val="21"/>
          <w:szCs w:val="21"/>
          <w:highlight w:val="none"/>
        </w:rPr>
        <w:fldChar w:fldCharType="begin"/>
      </w:r>
      <w:r>
        <w:rPr>
          <w:i w:val="0"/>
          <w:color w:val="auto"/>
          <w:sz w:val="21"/>
          <w:szCs w:val="21"/>
          <w:highlight w:val="none"/>
        </w:rPr>
        <w:instrText xml:space="preserve"> PAGEREF _Toc488650761 \h </w:instrText>
      </w:r>
      <w:r>
        <w:rPr>
          <w:i w:val="0"/>
          <w:color w:val="auto"/>
          <w:sz w:val="21"/>
          <w:szCs w:val="21"/>
          <w:highlight w:val="none"/>
        </w:rPr>
        <w:fldChar w:fldCharType="separate"/>
      </w:r>
      <w:r>
        <w:rPr>
          <w:i w:val="0"/>
          <w:color w:val="auto"/>
          <w:sz w:val="21"/>
          <w:szCs w:val="21"/>
          <w:highlight w:val="none"/>
        </w:rPr>
        <w:t>5</w:t>
      </w:r>
      <w:r>
        <w:rPr>
          <w:i w:val="0"/>
          <w:color w:val="auto"/>
          <w:sz w:val="21"/>
          <w:szCs w:val="21"/>
          <w:highlight w:val="none"/>
        </w:rPr>
        <w:fldChar w:fldCharType="end"/>
      </w:r>
      <w:r>
        <w:rPr>
          <w:i w:val="0"/>
          <w:color w:val="auto"/>
          <w:sz w:val="21"/>
          <w:szCs w:val="21"/>
          <w:highlight w:val="none"/>
        </w:rPr>
        <w:fldChar w:fldCharType="end"/>
      </w:r>
    </w:p>
    <w:p>
      <w:pPr>
        <w:pStyle w:val="34"/>
        <w:tabs>
          <w:tab w:val="right" w:leader="dot" w:pos="9288"/>
        </w:tabs>
        <w:rPr>
          <w:i w:val="0"/>
          <w:iCs w:val="0"/>
          <w:color w:val="auto"/>
          <w:sz w:val="21"/>
          <w:szCs w:val="21"/>
          <w:highlight w:val="none"/>
        </w:rPr>
      </w:pPr>
      <w:r>
        <w:rPr>
          <w:i w:val="0"/>
          <w:color w:val="auto"/>
          <w:sz w:val="21"/>
          <w:szCs w:val="21"/>
          <w:highlight w:val="none"/>
        </w:rPr>
        <w:fldChar w:fldCharType="begin"/>
      </w:r>
      <w:r>
        <w:rPr>
          <w:rStyle w:val="50"/>
          <w:i w:val="0"/>
          <w:color w:val="auto"/>
          <w:sz w:val="21"/>
          <w:szCs w:val="21"/>
          <w:highlight w:val="none"/>
        </w:rPr>
        <w:instrText xml:space="preserve"> </w:instrText>
      </w:r>
      <w:r>
        <w:rPr>
          <w:i w:val="0"/>
          <w:color w:val="auto"/>
          <w:sz w:val="21"/>
          <w:szCs w:val="21"/>
          <w:highlight w:val="none"/>
        </w:rPr>
        <w:instrText xml:space="preserve">HYPERLINK \l "_Toc488650769"</w:instrText>
      </w:r>
      <w:r>
        <w:rPr>
          <w:rStyle w:val="50"/>
          <w:i w:val="0"/>
          <w:color w:val="auto"/>
          <w:sz w:val="21"/>
          <w:szCs w:val="21"/>
          <w:highlight w:val="none"/>
        </w:rPr>
        <w:instrText xml:space="preserve"> </w:instrText>
      </w:r>
      <w:r>
        <w:rPr>
          <w:i w:val="0"/>
          <w:color w:val="auto"/>
          <w:sz w:val="21"/>
          <w:szCs w:val="21"/>
          <w:highlight w:val="none"/>
        </w:rPr>
        <w:fldChar w:fldCharType="separate"/>
      </w:r>
      <w:r>
        <w:rPr>
          <w:rStyle w:val="50"/>
          <w:rFonts w:hint="eastAsia"/>
          <w:i w:val="0"/>
          <w:color w:val="auto"/>
          <w:sz w:val="21"/>
          <w:szCs w:val="21"/>
          <w:highlight w:val="none"/>
        </w:rPr>
        <w:t>第二章</w:t>
      </w:r>
      <w:r>
        <w:rPr>
          <w:rStyle w:val="50"/>
          <w:i w:val="0"/>
          <w:color w:val="auto"/>
          <w:sz w:val="21"/>
          <w:szCs w:val="21"/>
          <w:highlight w:val="none"/>
        </w:rPr>
        <w:t xml:space="preserve">  </w:t>
      </w:r>
      <w:r>
        <w:rPr>
          <w:rStyle w:val="50"/>
          <w:rFonts w:hint="eastAsia"/>
          <w:i w:val="0"/>
          <w:color w:val="auto"/>
          <w:sz w:val="21"/>
          <w:szCs w:val="21"/>
          <w:highlight w:val="none"/>
        </w:rPr>
        <w:t>投标人须知</w:t>
      </w:r>
      <w:r>
        <w:rPr>
          <w:i w:val="0"/>
          <w:color w:val="auto"/>
          <w:sz w:val="21"/>
          <w:szCs w:val="21"/>
          <w:highlight w:val="none"/>
        </w:rPr>
        <w:tab/>
      </w:r>
      <w:r>
        <w:rPr>
          <w:i w:val="0"/>
          <w:color w:val="auto"/>
          <w:sz w:val="21"/>
          <w:szCs w:val="21"/>
          <w:highlight w:val="none"/>
        </w:rPr>
        <w:fldChar w:fldCharType="begin"/>
      </w:r>
      <w:r>
        <w:rPr>
          <w:i w:val="0"/>
          <w:color w:val="auto"/>
          <w:sz w:val="21"/>
          <w:szCs w:val="21"/>
          <w:highlight w:val="none"/>
        </w:rPr>
        <w:instrText xml:space="preserve"> PAGEREF _Toc488650769 \h </w:instrText>
      </w:r>
      <w:r>
        <w:rPr>
          <w:i w:val="0"/>
          <w:color w:val="auto"/>
          <w:sz w:val="21"/>
          <w:szCs w:val="21"/>
          <w:highlight w:val="none"/>
        </w:rPr>
        <w:fldChar w:fldCharType="separate"/>
      </w:r>
      <w:r>
        <w:rPr>
          <w:i w:val="0"/>
          <w:color w:val="auto"/>
          <w:sz w:val="21"/>
          <w:szCs w:val="21"/>
          <w:highlight w:val="none"/>
        </w:rPr>
        <w:t>8</w:t>
      </w:r>
      <w:r>
        <w:rPr>
          <w:i w:val="0"/>
          <w:color w:val="auto"/>
          <w:sz w:val="21"/>
          <w:szCs w:val="21"/>
          <w:highlight w:val="none"/>
        </w:rPr>
        <w:fldChar w:fldCharType="end"/>
      </w:r>
      <w:r>
        <w:rPr>
          <w:i w:val="0"/>
          <w:color w:val="auto"/>
          <w:sz w:val="21"/>
          <w:szCs w:val="21"/>
          <w:highlight w:val="none"/>
        </w:rPr>
        <w:fldChar w:fldCharType="end"/>
      </w:r>
    </w:p>
    <w:p>
      <w:pPr>
        <w:pStyle w:val="34"/>
        <w:tabs>
          <w:tab w:val="right" w:leader="dot" w:pos="9288"/>
        </w:tabs>
        <w:rPr>
          <w:i w:val="0"/>
          <w:iCs w:val="0"/>
          <w:color w:val="auto"/>
          <w:sz w:val="21"/>
          <w:szCs w:val="21"/>
          <w:highlight w:val="none"/>
        </w:rPr>
      </w:pPr>
      <w:r>
        <w:rPr>
          <w:i w:val="0"/>
          <w:color w:val="auto"/>
          <w:sz w:val="21"/>
          <w:szCs w:val="21"/>
          <w:highlight w:val="none"/>
        </w:rPr>
        <w:fldChar w:fldCharType="begin"/>
      </w:r>
      <w:r>
        <w:rPr>
          <w:rStyle w:val="50"/>
          <w:i w:val="0"/>
          <w:color w:val="auto"/>
          <w:sz w:val="21"/>
          <w:szCs w:val="21"/>
          <w:highlight w:val="none"/>
        </w:rPr>
        <w:instrText xml:space="preserve"> </w:instrText>
      </w:r>
      <w:r>
        <w:rPr>
          <w:i w:val="0"/>
          <w:color w:val="auto"/>
          <w:sz w:val="21"/>
          <w:szCs w:val="21"/>
          <w:highlight w:val="none"/>
        </w:rPr>
        <w:instrText xml:space="preserve">HYPERLINK \l "_Toc488650779"</w:instrText>
      </w:r>
      <w:r>
        <w:rPr>
          <w:rStyle w:val="50"/>
          <w:i w:val="0"/>
          <w:color w:val="auto"/>
          <w:sz w:val="21"/>
          <w:szCs w:val="21"/>
          <w:highlight w:val="none"/>
        </w:rPr>
        <w:instrText xml:space="preserve"> </w:instrText>
      </w:r>
      <w:r>
        <w:rPr>
          <w:i w:val="0"/>
          <w:color w:val="auto"/>
          <w:sz w:val="21"/>
          <w:szCs w:val="21"/>
          <w:highlight w:val="none"/>
        </w:rPr>
        <w:fldChar w:fldCharType="separate"/>
      </w:r>
      <w:r>
        <w:rPr>
          <w:rStyle w:val="50"/>
          <w:rFonts w:hint="eastAsia"/>
          <w:i w:val="0"/>
          <w:color w:val="auto"/>
          <w:sz w:val="21"/>
          <w:szCs w:val="21"/>
          <w:highlight w:val="none"/>
        </w:rPr>
        <w:t>投标人须知</w:t>
      </w:r>
      <w:r>
        <w:rPr>
          <w:i w:val="0"/>
          <w:color w:val="auto"/>
          <w:sz w:val="21"/>
          <w:szCs w:val="21"/>
          <w:highlight w:val="none"/>
        </w:rPr>
        <w:tab/>
      </w:r>
      <w:r>
        <w:rPr>
          <w:i w:val="0"/>
          <w:color w:val="auto"/>
          <w:sz w:val="21"/>
          <w:szCs w:val="21"/>
          <w:highlight w:val="none"/>
        </w:rPr>
        <w:fldChar w:fldCharType="begin"/>
      </w:r>
      <w:r>
        <w:rPr>
          <w:i w:val="0"/>
          <w:color w:val="auto"/>
          <w:sz w:val="21"/>
          <w:szCs w:val="21"/>
          <w:highlight w:val="none"/>
        </w:rPr>
        <w:instrText xml:space="preserve"> PAGEREF _Toc488650779 \h </w:instrText>
      </w:r>
      <w:r>
        <w:rPr>
          <w:i w:val="0"/>
          <w:color w:val="auto"/>
          <w:sz w:val="21"/>
          <w:szCs w:val="21"/>
          <w:highlight w:val="none"/>
        </w:rPr>
        <w:fldChar w:fldCharType="separate"/>
      </w:r>
      <w:r>
        <w:rPr>
          <w:i w:val="0"/>
          <w:color w:val="auto"/>
          <w:sz w:val="21"/>
          <w:szCs w:val="21"/>
          <w:highlight w:val="none"/>
        </w:rPr>
        <w:t>17</w:t>
      </w:r>
      <w:r>
        <w:rPr>
          <w:i w:val="0"/>
          <w:color w:val="auto"/>
          <w:sz w:val="21"/>
          <w:szCs w:val="21"/>
          <w:highlight w:val="none"/>
        </w:rPr>
        <w:fldChar w:fldCharType="end"/>
      </w:r>
      <w:r>
        <w:rPr>
          <w:i w:val="0"/>
          <w:color w:val="auto"/>
          <w:sz w:val="21"/>
          <w:szCs w:val="21"/>
          <w:highlight w:val="none"/>
        </w:rPr>
        <w:fldChar w:fldCharType="end"/>
      </w:r>
    </w:p>
    <w:p>
      <w:pPr>
        <w:pStyle w:val="34"/>
        <w:tabs>
          <w:tab w:val="right" w:leader="dot" w:pos="9288"/>
        </w:tabs>
        <w:rPr>
          <w:i w:val="0"/>
          <w:color w:val="auto"/>
          <w:sz w:val="21"/>
          <w:szCs w:val="21"/>
          <w:highlight w:val="none"/>
        </w:rPr>
      </w:pPr>
      <w:r>
        <w:rPr>
          <w:i w:val="0"/>
          <w:color w:val="auto"/>
          <w:sz w:val="21"/>
          <w:szCs w:val="21"/>
          <w:highlight w:val="none"/>
        </w:rPr>
        <w:fldChar w:fldCharType="begin"/>
      </w:r>
      <w:r>
        <w:rPr>
          <w:rStyle w:val="50"/>
          <w:i w:val="0"/>
          <w:color w:val="auto"/>
          <w:sz w:val="21"/>
          <w:szCs w:val="21"/>
          <w:highlight w:val="none"/>
        </w:rPr>
        <w:instrText xml:space="preserve"> </w:instrText>
      </w:r>
      <w:r>
        <w:rPr>
          <w:i w:val="0"/>
          <w:color w:val="auto"/>
          <w:sz w:val="21"/>
          <w:szCs w:val="21"/>
          <w:highlight w:val="none"/>
        </w:rPr>
        <w:instrText xml:space="preserve">HYPERLINK \l "_Toc488650829"</w:instrText>
      </w:r>
      <w:r>
        <w:rPr>
          <w:rStyle w:val="50"/>
          <w:i w:val="0"/>
          <w:color w:val="auto"/>
          <w:sz w:val="21"/>
          <w:szCs w:val="21"/>
          <w:highlight w:val="none"/>
        </w:rPr>
        <w:instrText xml:space="preserve"> </w:instrText>
      </w:r>
      <w:r>
        <w:rPr>
          <w:i w:val="0"/>
          <w:color w:val="auto"/>
          <w:sz w:val="21"/>
          <w:szCs w:val="21"/>
          <w:highlight w:val="none"/>
        </w:rPr>
        <w:fldChar w:fldCharType="separate"/>
      </w:r>
      <w:r>
        <w:rPr>
          <w:rStyle w:val="50"/>
          <w:rFonts w:hint="eastAsia"/>
          <w:i w:val="0"/>
          <w:color w:val="auto"/>
          <w:sz w:val="21"/>
          <w:szCs w:val="21"/>
          <w:highlight w:val="none"/>
        </w:rPr>
        <w:t>第三章</w:t>
      </w:r>
      <w:r>
        <w:rPr>
          <w:rStyle w:val="50"/>
          <w:i w:val="0"/>
          <w:color w:val="auto"/>
          <w:sz w:val="21"/>
          <w:szCs w:val="21"/>
          <w:highlight w:val="none"/>
        </w:rPr>
        <w:t xml:space="preserve"> </w:t>
      </w:r>
      <w:r>
        <w:rPr>
          <w:rStyle w:val="50"/>
          <w:rFonts w:hint="eastAsia"/>
          <w:i w:val="0"/>
          <w:color w:val="auto"/>
          <w:sz w:val="21"/>
          <w:szCs w:val="21"/>
          <w:highlight w:val="none"/>
        </w:rPr>
        <w:t>评标办法</w:t>
      </w:r>
      <w:r>
        <w:rPr>
          <w:i w:val="0"/>
          <w:color w:val="auto"/>
          <w:sz w:val="21"/>
          <w:szCs w:val="21"/>
          <w:highlight w:val="none"/>
        </w:rPr>
        <w:tab/>
      </w:r>
      <w:r>
        <w:rPr>
          <w:i w:val="0"/>
          <w:color w:val="auto"/>
          <w:sz w:val="21"/>
          <w:szCs w:val="21"/>
          <w:highlight w:val="none"/>
        </w:rPr>
        <w:fldChar w:fldCharType="begin"/>
      </w:r>
      <w:r>
        <w:rPr>
          <w:i w:val="0"/>
          <w:color w:val="auto"/>
          <w:sz w:val="21"/>
          <w:szCs w:val="21"/>
          <w:highlight w:val="none"/>
        </w:rPr>
        <w:instrText xml:space="preserve"> PAGEREF _Toc488650829 \h </w:instrText>
      </w:r>
      <w:r>
        <w:rPr>
          <w:i w:val="0"/>
          <w:color w:val="auto"/>
          <w:sz w:val="21"/>
          <w:szCs w:val="21"/>
          <w:highlight w:val="none"/>
        </w:rPr>
        <w:fldChar w:fldCharType="separate"/>
      </w:r>
      <w:r>
        <w:rPr>
          <w:i w:val="0"/>
          <w:color w:val="auto"/>
          <w:sz w:val="21"/>
          <w:szCs w:val="21"/>
          <w:highlight w:val="none"/>
        </w:rPr>
        <w:t>39</w:t>
      </w:r>
      <w:r>
        <w:rPr>
          <w:i w:val="0"/>
          <w:color w:val="auto"/>
          <w:sz w:val="21"/>
          <w:szCs w:val="21"/>
          <w:highlight w:val="none"/>
        </w:rPr>
        <w:fldChar w:fldCharType="end"/>
      </w:r>
      <w:r>
        <w:rPr>
          <w:i w:val="0"/>
          <w:color w:val="auto"/>
          <w:sz w:val="21"/>
          <w:szCs w:val="21"/>
          <w:highlight w:val="none"/>
        </w:rPr>
        <w:fldChar w:fldCharType="end"/>
      </w:r>
    </w:p>
    <w:p>
      <w:pPr>
        <w:pStyle w:val="34"/>
        <w:tabs>
          <w:tab w:val="right" w:leader="dot" w:pos="9288"/>
        </w:tabs>
        <w:rPr>
          <w:i w:val="0"/>
          <w:color w:val="auto"/>
          <w:sz w:val="21"/>
          <w:szCs w:val="21"/>
          <w:highlight w:val="none"/>
        </w:rPr>
      </w:pPr>
      <w:r>
        <w:rPr>
          <w:i w:val="0"/>
          <w:color w:val="auto"/>
          <w:sz w:val="21"/>
          <w:szCs w:val="21"/>
          <w:highlight w:val="none"/>
        </w:rPr>
        <w:fldChar w:fldCharType="begin"/>
      </w:r>
      <w:r>
        <w:rPr>
          <w:rStyle w:val="50"/>
          <w:i w:val="0"/>
          <w:color w:val="auto"/>
          <w:sz w:val="21"/>
          <w:szCs w:val="21"/>
          <w:highlight w:val="none"/>
        </w:rPr>
        <w:instrText xml:space="preserve"> </w:instrText>
      </w:r>
      <w:r>
        <w:rPr>
          <w:i w:val="0"/>
          <w:color w:val="auto"/>
          <w:sz w:val="21"/>
          <w:szCs w:val="21"/>
          <w:highlight w:val="none"/>
        </w:rPr>
        <w:instrText xml:space="preserve">HYPERLINK \l "_Toc488650829"</w:instrText>
      </w:r>
      <w:r>
        <w:rPr>
          <w:rStyle w:val="50"/>
          <w:i w:val="0"/>
          <w:color w:val="auto"/>
          <w:sz w:val="21"/>
          <w:szCs w:val="21"/>
          <w:highlight w:val="none"/>
        </w:rPr>
        <w:instrText xml:space="preserve"> </w:instrText>
      </w:r>
      <w:r>
        <w:rPr>
          <w:i w:val="0"/>
          <w:color w:val="auto"/>
          <w:sz w:val="21"/>
          <w:szCs w:val="21"/>
          <w:highlight w:val="none"/>
        </w:rPr>
        <w:fldChar w:fldCharType="separate"/>
      </w:r>
      <w:r>
        <w:rPr>
          <w:rStyle w:val="50"/>
          <w:rFonts w:hint="eastAsia"/>
          <w:i w:val="0"/>
          <w:color w:val="auto"/>
          <w:sz w:val="21"/>
          <w:szCs w:val="21"/>
          <w:highlight w:val="none"/>
        </w:rPr>
        <w:t>第四章</w:t>
      </w:r>
      <w:r>
        <w:rPr>
          <w:rStyle w:val="50"/>
          <w:i w:val="0"/>
          <w:color w:val="auto"/>
          <w:sz w:val="21"/>
          <w:szCs w:val="21"/>
          <w:highlight w:val="none"/>
        </w:rPr>
        <w:t xml:space="preserve"> </w:t>
      </w:r>
      <w:r>
        <w:rPr>
          <w:rStyle w:val="50"/>
          <w:rFonts w:hint="eastAsia"/>
          <w:i w:val="0"/>
          <w:color w:val="auto"/>
          <w:sz w:val="21"/>
          <w:szCs w:val="21"/>
          <w:highlight w:val="none"/>
        </w:rPr>
        <w:t>定标办法</w:t>
      </w:r>
      <w:r>
        <w:rPr>
          <w:i w:val="0"/>
          <w:color w:val="auto"/>
          <w:sz w:val="21"/>
          <w:szCs w:val="21"/>
          <w:highlight w:val="none"/>
        </w:rPr>
        <w:tab/>
      </w:r>
      <w:r>
        <w:rPr>
          <w:i w:val="0"/>
          <w:color w:val="auto"/>
          <w:sz w:val="21"/>
          <w:szCs w:val="21"/>
          <w:highlight w:val="none"/>
        </w:rPr>
        <w:fldChar w:fldCharType="begin"/>
      </w:r>
      <w:r>
        <w:rPr>
          <w:i w:val="0"/>
          <w:color w:val="auto"/>
          <w:sz w:val="21"/>
          <w:szCs w:val="21"/>
          <w:highlight w:val="none"/>
        </w:rPr>
        <w:instrText xml:space="preserve"> PAGEREF _Toc488650829 \h </w:instrText>
      </w:r>
      <w:r>
        <w:rPr>
          <w:i w:val="0"/>
          <w:color w:val="auto"/>
          <w:sz w:val="21"/>
          <w:szCs w:val="21"/>
          <w:highlight w:val="none"/>
        </w:rPr>
        <w:fldChar w:fldCharType="separate"/>
      </w:r>
      <w:r>
        <w:rPr>
          <w:i w:val="0"/>
          <w:color w:val="auto"/>
          <w:sz w:val="21"/>
          <w:szCs w:val="21"/>
          <w:highlight w:val="none"/>
        </w:rPr>
        <w:t>39</w:t>
      </w:r>
      <w:r>
        <w:rPr>
          <w:i w:val="0"/>
          <w:color w:val="auto"/>
          <w:sz w:val="21"/>
          <w:szCs w:val="21"/>
          <w:highlight w:val="none"/>
        </w:rPr>
        <w:fldChar w:fldCharType="end"/>
      </w:r>
      <w:r>
        <w:rPr>
          <w:i w:val="0"/>
          <w:color w:val="auto"/>
          <w:sz w:val="21"/>
          <w:szCs w:val="21"/>
          <w:highlight w:val="none"/>
        </w:rPr>
        <w:fldChar w:fldCharType="end"/>
      </w:r>
    </w:p>
    <w:p>
      <w:pPr>
        <w:pStyle w:val="34"/>
        <w:tabs>
          <w:tab w:val="right" w:leader="dot" w:pos="9288"/>
        </w:tabs>
        <w:rPr>
          <w:i w:val="0"/>
          <w:iCs w:val="0"/>
          <w:color w:val="auto"/>
          <w:sz w:val="21"/>
          <w:szCs w:val="21"/>
          <w:highlight w:val="none"/>
        </w:rPr>
      </w:pPr>
      <w:r>
        <w:rPr>
          <w:i w:val="0"/>
          <w:color w:val="auto"/>
          <w:sz w:val="21"/>
          <w:szCs w:val="21"/>
          <w:highlight w:val="none"/>
        </w:rPr>
        <w:fldChar w:fldCharType="begin"/>
      </w:r>
      <w:r>
        <w:rPr>
          <w:rStyle w:val="50"/>
          <w:i w:val="0"/>
          <w:color w:val="auto"/>
          <w:sz w:val="21"/>
          <w:szCs w:val="21"/>
          <w:highlight w:val="none"/>
        </w:rPr>
        <w:instrText xml:space="preserve"> </w:instrText>
      </w:r>
      <w:r>
        <w:rPr>
          <w:i w:val="0"/>
          <w:color w:val="auto"/>
          <w:sz w:val="21"/>
          <w:szCs w:val="21"/>
          <w:highlight w:val="none"/>
        </w:rPr>
        <w:instrText xml:space="preserve">HYPERLINK \l "_Toc488650840"</w:instrText>
      </w:r>
      <w:r>
        <w:rPr>
          <w:rStyle w:val="50"/>
          <w:i w:val="0"/>
          <w:color w:val="auto"/>
          <w:sz w:val="21"/>
          <w:szCs w:val="21"/>
          <w:highlight w:val="none"/>
        </w:rPr>
        <w:instrText xml:space="preserve"> </w:instrText>
      </w:r>
      <w:r>
        <w:rPr>
          <w:i w:val="0"/>
          <w:color w:val="auto"/>
          <w:sz w:val="21"/>
          <w:szCs w:val="21"/>
          <w:highlight w:val="none"/>
        </w:rPr>
        <w:fldChar w:fldCharType="separate"/>
      </w:r>
      <w:r>
        <w:rPr>
          <w:rStyle w:val="50"/>
          <w:rFonts w:hint="eastAsia"/>
          <w:i w:val="0"/>
          <w:color w:val="auto"/>
          <w:sz w:val="21"/>
          <w:szCs w:val="21"/>
          <w:highlight w:val="none"/>
        </w:rPr>
        <w:t>第五章</w:t>
      </w:r>
      <w:r>
        <w:rPr>
          <w:rStyle w:val="50"/>
          <w:i w:val="0"/>
          <w:color w:val="auto"/>
          <w:sz w:val="21"/>
          <w:szCs w:val="21"/>
          <w:highlight w:val="none"/>
        </w:rPr>
        <w:t xml:space="preserve">  </w:t>
      </w:r>
      <w:r>
        <w:rPr>
          <w:rStyle w:val="50"/>
          <w:rFonts w:hint="eastAsia"/>
          <w:i w:val="0"/>
          <w:color w:val="auto"/>
          <w:sz w:val="21"/>
          <w:szCs w:val="21"/>
          <w:highlight w:val="none"/>
        </w:rPr>
        <w:t>监理合同条款及格式</w:t>
      </w:r>
      <w:r>
        <w:rPr>
          <w:i w:val="0"/>
          <w:color w:val="auto"/>
          <w:sz w:val="21"/>
          <w:szCs w:val="21"/>
          <w:highlight w:val="none"/>
        </w:rPr>
        <w:tab/>
      </w:r>
      <w:r>
        <w:rPr>
          <w:i w:val="0"/>
          <w:color w:val="auto"/>
          <w:sz w:val="21"/>
          <w:szCs w:val="21"/>
          <w:highlight w:val="none"/>
        </w:rPr>
        <w:fldChar w:fldCharType="begin"/>
      </w:r>
      <w:r>
        <w:rPr>
          <w:i w:val="0"/>
          <w:color w:val="auto"/>
          <w:sz w:val="21"/>
          <w:szCs w:val="21"/>
          <w:highlight w:val="none"/>
        </w:rPr>
        <w:instrText xml:space="preserve"> PAGEREF _Toc488650840 \h </w:instrText>
      </w:r>
      <w:r>
        <w:rPr>
          <w:i w:val="0"/>
          <w:color w:val="auto"/>
          <w:sz w:val="21"/>
          <w:szCs w:val="21"/>
          <w:highlight w:val="none"/>
        </w:rPr>
        <w:fldChar w:fldCharType="separate"/>
      </w:r>
      <w:r>
        <w:rPr>
          <w:i w:val="0"/>
          <w:color w:val="auto"/>
          <w:sz w:val="21"/>
          <w:szCs w:val="21"/>
          <w:highlight w:val="none"/>
        </w:rPr>
        <w:t>46</w:t>
      </w:r>
      <w:r>
        <w:rPr>
          <w:i w:val="0"/>
          <w:color w:val="auto"/>
          <w:sz w:val="21"/>
          <w:szCs w:val="21"/>
          <w:highlight w:val="none"/>
        </w:rPr>
        <w:fldChar w:fldCharType="end"/>
      </w:r>
      <w:r>
        <w:rPr>
          <w:i w:val="0"/>
          <w:color w:val="auto"/>
          <w:sz w:val="21"/>
          <w:szCs w:val="21"/>
          <w:highlight w:val="none"/>
        </w:rPr>
        <w:fldChar w:fldCharType="end"/>
      </w:r>
    </w:p>
    <w:p>
      <w:pPr>
        <w:pStyle w:val="34"/>
        <w:tabs>
          <w:tab w:val="right" w:leader="dot" w:pos="9288"/>
        </w:tabs>
        <w:rPr>
          <w:i w:val="0"/>
          <w:iCs w:val="0"/>
          <w:color w:val="auto"/>
          <w:sz w:val="21"/>
          <w:szCs w:val="21"/>
          <w:highlight w:val="none"/>
        </w:rPr>
      </w:pPr>
      <w:r>
        <w:rPr>
          <w:i w:val="0"/>
          <w:color w:val="auto"/>
          <w:sz w:val="21"/>
          <w:szCs w:val="21"/>
          <w:highlight w:val="none"/>
        </w:rPr>
        <w:fldChar w:fldCharType="begin"/>
      </w:r>
      <w:r>
        <w:rPr>
          <w:rStyle w:val="50"/>
          <w:i w:val="0"/>
          <w:color w:val="auto"/>
          <w:sz w:val="21"/>
          <w:szCs w:val="21"/>
          <w:highlight w:val="none"/>
        </w:rPr>
        <w:instrText xml:space="preserve"> </w:instrText>
      </w:r>
      <w:r>
        <w:rPr>
          <w:i w:val="0"/>
          <w:color w:val="auto"/>
          <w:sz w:val="21"/>
          <w:szCs w:val="21"/>
          <w:highlight w:val="none"/>
        </w:rPr>
        <w:instrText xml:space="preserve">HYPERLINK \l "_Toc488650937"</w:instrText>
      </w:r>
      <w:r>
        <w:rPr>
          <w:rStyle w:val="50"/>
          <w:i w:val="0"/>
          <w:color w:val="auto"/>
          <w:sz w:val="21"/>
          <w:szCs w:val="21"/>
          <w:highlight w:val="none"/>
        </w:rPr>
        <w:instrText xml:space="preserve"> </w:instrText>
      </w:r>
      <w:r>
        <w:rPr>
          <w:i w:val="0"/>
          <w:color w:val="auto"/>
          <w:sz w:val="21"/>
          <w:szCs w:val="21"/>
          <w:highlight w:val="none"/>
        </w:rPr>
        <w:fldChar w:fldCharType="separate"/>
      </w:r>
      <w:r>
        <w:rPr>
          <w:rStyle w:val="50"/>
          <w:rFonts w:hint="eastAsia"/>
          <w:i w:val="0"/>
          <w:color w:val="auto"/>
          <w:sz w:val="21"/>
          <w:szCs w:val="21"/>
          <w:highlight w:val="none"/>
        </w:rPr>
        <w:t>第六章</w:t>
      </w:r>
      <w:r>
        <w:rPr>
          <w:rStyle w:val="50"/>
          <w:i w:val="0"/>
          <w:color w:val="auto"/>
          <w:sz w:val="21"/>
          <w:szCs w:val="21"/>
          <w:highlight w:val="none"/>
        </w:rPr>
        <w:t xml:space="preserve">  </w:t>
      </w:r>
      <w:r>
        <w:rPr>
          <w:rStyle w:val="50"/>
          <w:rFonts w:hint="eastAsia"/>
          <w:i w:val="0"/>
          <w:color w:val="auto"/>
          <w:sz w:val="21"/>
          <w:szCs w:val="21"/>
          <w:highlight w:val="none"/>
        </w:rPr>
        <w:t>监理服务费报价</w:t>
      </w:r>
      <w:r>
        <w:rPr>
          <w:i w:val="0"/>
          <w:color w:val="auto"/>
          <w:sz w:val="21"/>
          <w:szCs w:val="21"/>
          <w:highlight w:val="none"/>
        </w:rPr>
        <w:tab/>
      </w:r>
      <w:r>
        <w:rPr>
          <w:i w:val="0"/>
          <w:color w:val="auto"/>
          <w:sz w:val="21"/>
          <w:szCs w:val="21"/>
          <w:highlight w:val="none"/>
        </w:rPr>
        <w:fldChar w:fldCharType="begin"/>
      </w:r>
      <w:r>
        <w:rPr>
          <w:i w:val="0"/>
          <w:color w:val="auto"/>
          <w:sz w:val="21"/>
          <w:szCs w:val="21"/>
          <w:highlight w:val="none"/>
        </w:rPr>
        <w:instrText xml:space="preserve"> PAGEREF _Toc488650937 \h </w:instrText>
      </w:r>
      <w:r>
        <w:rPr>
          <w:i w:val="0"/>
          <w:color w:val="auto"/>
          <w:sz w:val="21"/>
          <w:szCs w:val="21"/>
          <w:highlight w:val="none"/>
        </w:rPr>
        <w:fldChar w:fldCharType="separate"/>
      </w:r>
      <w:r>
        <w:rPr>
          <w:i w:val="0"/>
          <w:color w:val="auto"/>
          <w:sz w:val="21"/>
          <w:szCs w:val="21"/>
          <w:highlight w:val="none"/>
        </w:rPr>
        <w:t>78</w:t>
      </w:r>
      <w:r>
        <w:rPr>
          <w:i w:val="0"/>
          <w:color w:val="auto"/>
          <w:sz w:val="21"/>
          <w:szCs w:val="21"/>
          <w:highlight w:val="none"/>
        </w:rPr>
        <w:fldChar w:fldCharType="end"/>
      </w:r>
      <w:r>
        <w:rPr>
          <w:i w:val="0"/>
          <w:color w:val="auto"/>
          <w:sz w:val="21"/>
          <w:szCs w:val="21"/>
          <w:highlight w:val="none"/>
        </w:rPr>
        <w:fldChar w:fldCharType="end"/>
      </w:r>
    </w:p>
    <w:p>
      <w:pPr>
        <w:pStyle w:val="34"/>
        <w:tabs>
          <w:tab w:val="right" w:leader="dot" w:pos="9288"/>
        </w:tabs>
        <w:rPr>
          <w:i w:val="0"/>
          <w:iCs w:val="0"/>
          <w:color w:val="auto"/>
          <w:sz w:val="21"/>
          <w:szCs w:val="21"/>
          <w:highlight w:val="none"/>
        </w:rPr>
      </w:pPr>
      <w:r>
        <w:rPr>
          <w:i w:val="0"/>
          <w:color w:val="auto"/>
          <w:sz w:val="21"/>
          <w:szCs w:val="21"/>
          <w:highlight w:val="none"/>
        </w:rPr>
        <w:fldChar w:fldCharType="begin"/>
      </w:r>
      <w:r>
        <w:rPr>
          <w:rStyle w:val="50"/>
          <w:i w:val="0"/>
          <w:color w:val="auto"/>
          <w:sz w:val="21"/>
          <w:szCs w:val="21"/>
          <w:highlight w:val="none"/>
        </w:rPr>
        <w:instrText xml:space="preserve"> </w:instrText>
      </w:r>
      <w:r>
        <w:rPr>
          <w:i w:val="0"/>
          <w:color w:val="auto"/>
          <w:sz w:val="21"/>
          <w:szCs w:val="21"/>
          <w:highlight w:val="none"/>
        </w:rPr>
        <w:instrText xml:space="preserve">HYPERLINK \l "_Toc488651004"</w:instrText>
      </w:r>
      <w:r>
        <w:rPr>
          <w:rStyle w:val="50"/>
          <w:i w:val="0"/>
          <w:color w:val="auto"/>
          <w:sz w:val="21"/>
          <w:szCs w:val="21"/>
          <w:highlight w:val="none"/>
        </w:rPr>
        <w:instrText xml:space="preserve"> </w:instrText>
      </w:r>
      <w:r>
        <w:rPr>
          <w:i w:val="0"/>
          <w:color w:val="auto"/>
          <w:sz w:val="21"/>
          <w:szCs w:val="21"/>
          <w:highlight w:val="none"/>
        </w:rPr>
        <w:fldChar w:fldCharType="separate"/>
      </w:r>
      <w:r>
        <w:rPr>
          <w:rStyle w:val="50"/>
          <w:rFonts w:hint="eastAsia"/>
          <w:i w:val="0"/>
          <w:color w:val="auto"/>
          <w:sz w:val="21"/>
          <w:szCs w:val="21"/>
          <w:highlight w:val="none"/>
        </w:rPr>
        <w:t>第七章</w:t>
      </w:r>
      <w:r>
        <w:rPr>
          <w:rStyle w:val="50"/>
          <w:i w:val="0"/>
          <w:color w:val="auto"/>
          <w:sz w:val="21"/>
          <w:szCs w:val="21"/>
          <w:highlight w:val="none"/>
        </w:rPr>
        <w:t xml:space="preserve">  </w:t>
      </w:r>
      <w:r>
        <w:rPr>
          <w:rStyle w:val="50"/>
          <w:rFonts w:hint="eastAsia"/>
          <w:i w:val="0"/>
          <w:color w:val="auto"/>
          <w:sz w:val="21"/>
          <w:szCs w:val="21"/>
          <w:highlight w:val="none"/>
        </w:rPr>
        <w:t>图纸和资料</w:t>
      </w:r>
      <w:r>
        <w:rPr>
          <w:i w:val="0"/>
          <w:color w:val="auto"/>
          <w:sz w:val="21"/>
          <w:szCs w:val="21"/>
          <w:highlight w:val="none"/>
        </w:rPr>
        <w:tab/>
      </w:r>
      <w:r>
        <w:rPr>
          <w:i w:val="0"/>
          <w:color w:val="auto"/>
          <w:sz w:val="21"/>
          <w:szCs w:val="21"/>
          <w:highlight w:val="none"/>
        </w:rPr>
        <w:fldChar w:fldCharType="begin"/>
      </w:r>
      <w:r>
        <w:rPr>
          <w:i w:val="0"/>
          <w:color w:val="auto"/>
          <w:sz w:val="21"/>
          <w:szCs w:val="21"/>
          <w:highlight w:val="none"/>
        </w:rPr>
        <w:instrText xml:space="preserve"> PAGEREF _Toc488651004 \h </w:instrText>
      </w:r>
      <w:r>
        <w:rPr>
          <w:i w:val="0"/>
          <w:color w:val="auto"/>
          <w:sz w:val="21"/>
          <w:szCs w:val="21"/>
          <w:highlight w:val="none"/>
        </w:rPr>
        <w:fldChar w:fldCharType="separate"/>
      </w:r>
      <w:r>
        <w:rPr>
          <w:i w:val="0"/>
          <w:color w:val="auto"/>
          <w:sz w:val="21"/>
          <w:szCs w:val="21"/>
          <w:highlight w:val="none"/>
        </w:rPr>
        <w:t>80</w:t>
      </w:r>
      <w:r>
        <w:rPr>
          <w:i w:val="0"/>
          <w:color w:val="auto"/>
          <w:sz w:val="21"/>
          <w:szCs w:val="21"/>
          <w:highlight w:val="none"/>
        </w:rPr>
        <w:fldChar w:fldCharType="end"/>
      </w:r>
      <w:r>
        <w:rPr>
          <w:i w:val="0"/>
          <w:color w:val="auto"/>
          <w:sz w:val="21"/>
          <w:szCs w:val="21"/>
          <w:highlight w:val="none"/>
        </w:rPr>
        <w:fldChar w:fldCharType="end"/>
      </w:r>
    </w:p>
    <w:p>
      <w:pPr>
        <w:pStyle w:val="34"/>
        <w:tabs>
          <w:tab w:val="right" w:leader="dot" w:pos="9288"/>
        </w:tabs>
        <w:rPr>
          <w:i w:val="0"/>
          <w:iCs w:val="0"/>
          <w:color w:val="auto"/>
          <w:sz w:val="21"/>
          <w:szCs w:val="21"/>
          <w:highlight w:val="none"/>
        </w:rPr>
      </w:pPr>
      <w:r>
        <w:rPr>
          <w:i w:val="0"/>
          <w:color w:val="auto"/>
          <w:sz w:val="21"/>
          <w:szCs w:val="21"/>
          <w:highlight w:val="none"/>
        </w:rPr>
        <w:fldChar w:fldCharType="begin"/>
      </w:r>
      <w:r>
        <w:rPr>
          <w:rStyle w:val="50"/>
          <w:i w:val="0"/>
          <w:color w:val="auto"/>
          <w:sz w:val="21"/>
          <w:szCs w:val="21"/>
          <w:highlight w:val="none"/>
        </w:rPr>
        <w:instrText xml:space="preserve"> </w:instrText>
      </w:r>
      <w:r>
        <w:rPr>
          <w:i w:val="0"/>
          <w:color w:val="auto"/>
          <w:sz w:val="21"/>
          <w:szCs w:val="21"/>
          <w:highlight w:val="none"/>
        </w:rPr>
        <w:instrText xml:space="preserve">HYPERLINK \l "_Toc488651006"</w:instrText>
      </w:r>
      <w:r>
        <w:rPr>
          <w:rStyle w:val="50"/>
          <w:i w:val="0"/>
          <w:color w:val="auto"/>
          <w:sz w:val="21"/>
          <w:szCs w:val="21"/>
          <w:highlight w:val="none"/>
        </w:rPr>
        <w:instrText xml:space="preserve"> </w:instrText>
      </w:r>
      <w:r>
        <w:rPr>
          <w:i w:val="0"/>
          <w:color w:val="auto"/>
          <w:sz w:val="21"/>
          <w:szCs w:val="21"/>
          <w:highlight w:val="none"/>
        </w:rPr>
        <w:fldChar w:fldCharType="separate"/>
      </w:r>
      <w:r>
        <w:rPr>
          <w:rStyle w:val="50"/>
          <w:rFonts w:hint="eastAsia"/>
          <w:i w:val="0"/>
          <w:color w:val="auto"/>
          <w:sz w:val="21"/>
          <w:szCs w:val="21"/>
          <w:highlight w:val="none"/>
        </w:rPr>
        <w:t>第八章</w:t>
      </w:r>
      <w:r>
        <w:rPr>
          <w:rStyle w:val="50"/>
          <w:i w:val="0"/>
          <w:color w:val="auto"/>
          <w:sz w:val="21"/>
          <w:szCs w:val="21"/>
          <w:highlight w:val="none"/>
        </w:rPr>
        <w:t xml:space="preserve">  </w:t>
      </w:r>
      <w:r>
        <w:rPr>
          <w:rStyle w:val="50"/>
          <w:rFonts w:hint="eastAsia"/>
          <w:i w:val="0"/>
          <w:color w:val="auto"/>
          <w:sz w:val="21"/>
          <w:szCs w:val="21"/>
          <w:highlight w:val="none"/>
        </w:rPr>
        <w:t>技术标准</w:t>
      </w:r>
      <w:r>
        <w:rPr>
          <w:i w:val="0"/>
          <w:color w:val="auto"/>
          <w:sz w:val="21"/>
          <w:szCs w:val="21"/>
          <w:highlight w:val="none"/>
        </w:rPr>
        <w:tab/>
      </w:r>
      <w:r>
        <w:rPr>
          <w:i w:val="0"/>
          <w:color w:val="auto"/>
          <w:sz w:val="21"/>
          <w:szCs w:val="21"/>
          <w:highlight w:val="none"/>
        </w:rPr>
        <w:fldChar w:fldCharType="begin"/>
      </w:r>
      <w:r>
        <w:rPr>
          <w:i w:val="0"/>
          <w:color w:val="auto"/>
          <w:sz w:val="21"/>
          <w:szCs w:val="21"/>
          <w:highlight w:val="none"/>
        </w:rPr>
        <w:instrText xml:space="preserve"> PAGEREF _Toc488651006 \h </w:instrText>
      </w:r>
      <w:r>
        <w:rPr>
          <w:i w:val="0"/>
          <w:color w:val="auto"/>
          <w:sz w:val="21"/>
          <w:szCs w:val="21"/>
          <w:highlight w:val="none"/>
        </w:rPr>
        <w:fldChar w:fldCharType="separate"/>
      </w:r>
      <w:r>
        <w:rPr>
          <w:i w:val="0"/>
          <w:color w:val="auto"/>
          <w:sz w:val="21"/>
          <w:szCs w:val="21"/>
          <w:highlight w:val="none"/>
        </w:rPr>
        <w:t>80</w:t>
      </w:r>
      <w:r>
        <w:rPr>
          <w:i w:val="0"/>
          <w:color w:val="auto"/>
          <w:sz w:val="21"/>
          <w:szCs w:val="21"/>
          <w:highlight w:val="none"/>
        </w:rPr>
        <w:fldChar w:fldCharType="end"/>
      </w:r>
      <w:r>
        <w:rPr>
          <w:i w:val="0"/>
          <w:color w:val="auto"/>
          <w:sz w:val="21"/>
          <w:szCs w:val="21"/>
          <w:highlight w:val="none"/>
        </w:rPr>
        <w:fldChar w:fldCharType="end"/>
      </w:r>
    </w:p>
    <w:p>
      <w:pPr>
        <w:pStyle w:val="34"/>
        <w:tabs>
          <w:tab w:val="right" w:leader="dot" w:pos="9288"/>
        </w:tabs>
        <w:rPr>
          <w:i w:val="0"/>
          <w:iCs w:val="0"/>
          <w:color w:val="auto"/>
          <w:sz w:val="21"/>
          <w:szCs w:val="21"/>
          <w:highlight w:val="none"/>
        </w:rPr>
      </w:pPr>
      <w:r>
        <w:rPr>
          <w:i w:val="0"/>
          <w:color w:val="auto"/>
          <w:sz w:val="21"/>
          <w:szCs w:val="21"/>
          <w:highlight w:val="none"/>
        </w:rPr>
        <w:fldChar w:fldCharType="begin"/>
      </w:r>
      <w:r>
        <w:rPr>
          <w:rStyle w:val="50"/>
          <w:i w:val="0"/>
          <w:color w:val="auto"/>
          <w:sz w:val="21"/>
          <w:szCs w:val="21"/>
          <w:highlight w:val="none"/>
        </w:rPr>
        <w:instrText xml:space="preserve"> </w:instrText>
      </w:r>
      <w:r>
        <w:rPr>
          <w:i w:val="0"/>
          <w:color w:val="auto"/>
          <w:sz w:val="21"/>
          <w:szCs w:val="21"/>
          <w:highlight w:val="none"/>
        </w:rPr>
        <w:instrText xml:space="preserve">HYPERLINK \l "_Toc488651012"</w:instrText>
      </w:r>
      <w:r>
        <w:rPr>
          <w:rStyle w:val="50"/>
          <w:i w:val="0"/>
          <w:color w:val="auto"/>
          <w:sz w:val="21"/>
          <w:szCs w:val="21"/>
          <w:highlight w:val="none"/>
        </w:rPr>
        <w:instrText xml:space="preserve"> </w:instrText>
      </w:r>
      <w:r>
        <w:rPr>
          <w:i w:val="0"/>
          <w:color w:val="auto"/>
          <w:sz w:val="21"/>
          <w:szCs w:val="21"/>
          <w:highlight w:val="none"/>
        </w:rPr>
        <w:fldChar w:fldCharType="separate"/>
      </w:r>
      <w:r>
        <w:rPr>
          <w:rStyle w:val="50"/>
          <w:rFonts w:hint="eastAsia"/>
          <w:i w:val="0"/>
          <w:color w:val="auto"/>
          <w:sz w:val="21"/>
          <w:szCs w:val="21"/>
          <w:highlight w:val="none"/>
        </w:rPr>
        <w:t>第九章</w:t>
      </w:r>
      <w:r>
        <w:rPr>
          <w:rStyle w:val="50"/>
          <w:i w:val="0"/>
          <w:color w:val="auto"/>
          <w:sz w:val="21"/>
          <w:szCs w:val="21"/>
          <w:highlight w:val="none"/>
        </w:rPr>
        <w:t xml:space="preserve">  </w:t>
      </w:r>
      <w:r>
        <w:rPr>
          <w:rStyle w:val="50"/>
          <w:rFonts w:hint="eastAsia"/>
          <w:i w:val="0"/>
          <w:color w:val="auto"/>
          <w:sz w:val="21"/>
          <w:szCs w:val="21"/>
          <w:highlight w:val="none"/>
        </w:rPr>
        <w:t>投标文件格式</w:t>
      </w:r>
      <w:r>
        <w:rPr>
          <w:i w:val="0"/>
          <w:color w:val="auto"/>
          <w:sz w:val="21"/>
          <w:szCs w:val="21"/>
          <w:highlight w:val="none"/>
        </w:rPr>
        <w:tab/>
      </w:r>
      <w:r>
        <w:rPr>
          <w:i w:val="0"/>
          <w:color w:val="auto"/>
          <w:sz w:val="21"/>
          <w:szCs w:val="21"/>
          <w:highlight w:val="none"/>
        </w:rPr>
        <w:fldChar w:fldCharType="begin"/>
      </w:r>
      <w:r>
        <w:rPr>
          <w:i w:val="0"/>
          <w:color w:val="auto"/>
          <w:sz w:val="21"/>
          <w:szCs w:val="21"/>
          <w:highlight w:val="none"/>
        </w:rPr>
        <w:instrText xml:space="preserve"> PAGEREF _Toc488651012 \h </w:instrText>
      </w:r>
      <w:r>
        <w:rPr>
          <w:i w:val="0"/>
          <w:color w:val="auto"/>
          <w:sz w:val="21"/>
          <w:szCs w:val="21"/>
          <w:highlight w:val="none"/>
        </w:rPr>
        <w:fldChar w:fldCharType="separate"/>
      </w:r>
      <w:r>
        <w:rPr>
          <w:i w:val="0"/>
          <w:color w:val="auto"/>
          <w:sz w:val="21"/>
          <w:szCs w:val="21"/>
          <w:highlight w:val="none"/>
        </w:rPr>
        <w:t>82</w:t>
      </w:r>
      <w:r>
        <w:rPr>
          <w:i w:val="0"/>
          <w:color w:val="auto"/>
          <w:sz w:val="21"/>
          <w:szCs w:val="21"/>
          <w:highlight w:val="none"/>
        </w:rPr>
        <w:fldChar w:fldCharType="end"/>
      </w:r>
      <w:r>
        <w:rPr>
          <w:i w:val="0"/>
          <w:color w:val="auto"/>
          <w:sz w:val="21"/>
          <w:szCs w:val="21"/>
          <w:highlight w:val="none"/>
        </w:rPr>
        <w:fldChar w:fldCharType="end"/>
      </w:r>
    </w:p>
    <w:p>
      <w:pPr>
        <w:rPr>
          <w:color w:val="auto"/>
          <w:highlight w:val="none"/>
        </w:rPr>
      </w:pPr>
      <w:r>
        <w:rPr>
          <w:rFonts w:hint="eastAsia" w:ascii="宋体" w:hAnsi="宋体" w:cs="仿宋"/>
          <w:iCs/>
          <w:color w:val="auto"/>
          <w:szCs w:val="21"/>
          <w:highlight w:val="none"/>
        </w:rPr>
        <w:fldChar w:fldCharType="end"/>
      </w:r>
    </w:p>
    <w:p>
      <w:pPr>
        <w:rPr>
          <w:color w:val="auto"/>
          <w:highlight w:val="none"/>
        </w:rPr>
      </w:pPr>
    </w:p>
    <w:p>
      <w:pPr>
        <w:rPr>
          <w:color w:val="auto"/>
          <w:highlight w:val="none"/>
        </w:rPr>
      </w:pPr>
    </w:p>
    <w:p>
      <w:pPr>
        <w:rPr>
          <w:color w:val="auto"/>
          <w:highlight w:val="none"/>
        </w:rPr>
        <w:sectPr>
          <w:footerReference r:id="rId6" w:type="default"/>
          <w:footnotePr>
            <w:numRestart w:val="eachPage"/>
          </w:footnotePr>
          <w:pgSz w:w="11906" w:h="16838"/>
          <w:pgMar w:top="1418" w:right="1304" w:bottom="1418" w:left="1304" w:header="851" w:footer="992" w:gutter="0"/>
          <w:pgNumType w:start="1"/>
          <w:cols w:space="720" w:num="1"/>
          <w:docGrid w:linePitch="312" w:charSpace="0"/>
        </w:sectPr>
      </w:pPr>
    </w:p>
    <w:p>
      <w:pPr>
        <w:pStyle w:val="3"/>
        <w:spacing w:before="360" w:after="360"/>
        <w:rPr>
          <w:color w:val="auto"/>
          <w:highlight w:val="none"/>
        </w:rPr>
      </w:pPr>
      <w:bookmarkStart w:id="0" w:name="_Toc488650761"/>
      <w:r>
        <w:rPr>
          <w:rFonts w:hint="eastAsia"/>
          <w:color w:val="auto"/>
          <w:highlight w:val="none"/>
        </w:rPr>
        <w:t>第一章  招标公告</w:t>
      </w:r>
      <w:bookmarkEnd w:id="0"/>
    </w:p>
    <w:p>
      <w:pPr>
        <w:spacing w:before="240" w:after="240" w:line="420" w:lineRule="exact"/>
        <w:jc w:val="center"/>
        <w:rPr>
          <w:rFonts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项目</w:t>
      </w:r>
      <w:r>
        <w:rPr>
          <w:rFonts w:hint="eastAsia" w:ascii="黑体" w:eastAsia="黑体"/>
          <w:color w:val="auto"/>
          <w:sz w:val="28"/>
          <w:szCs w:val="28"/>
          <w:highlight w:val="none"/>
          <w:u w:val="single"/>
        </w:rPr>
        <w:t xml:space="preserve">名称）            </w:t>
      </w:r>
      <w:r>
        <w:rPr>
          <w:rFonts w:ascii="黑体" w:eastAsia="黑体"/>
          <w:color w:val="auto"/>
          <w:sz w:val="28"/>
          <w:szCs w:val="28"/>
          <w:highlight w:val="none"/>
        </w:rPr>
        <w:t>施工</w:t>
      </w:r>
      <w:r>
        <w:rPr>
          <w:rFonts w:hint="eastAsia" w:ascii="黑体" w:eastAsia="黑体"/>
          <w:color w:val="auto"/>
          <w:sz w:val="28"/>
          <w:szCs w:val="28"/>
          <w:highlight w:val="none"/>
        </w:rPr>
        <w:t>监理</w:t>
      </w:r>
      <w:r>
        <w:rPr>
          <w:rFonts w:ascii="黑体" w:eastAsia="黑体"/>
          <w:color w:val="auto"/>
          <w:sz w:val="28"/>
          <w:szCs w:val="28"/>
          <w:highlight w:val="none"/>
        </w:rPr>
        <w:t>招标公告</w:t>
      </w:r>
    </w:p>
    <w:p>
      <w:pPr>
        <w:pStyle w:val="4"/>
        <w:spacing w:line="430" w:lineRule="exact"/>
        <w:rPr>
          <w:color w:val="auto"/>
          <w:highlight w:val="none"/>
        </w:rPr>
      </w:pPr>
      <w:bookmarkStart w:id="1" w:name="_Toc487653333"/>
      <w:bookmarkStart w:id="2" w:name="_Toc487619415"/>
      <w:bookmarkStart w:id="3" w:name="_Toc488650762"/>
      <w:r>
        <w:rPr>
          <w:rFonts w:hint="eastAsia"/>
          <w:color w:val="auto"/>
          <w:highlight w:val="none"/>
        </w:rPr>
        <w:t>1．招标条件</w:t>
      </w:r>
      <w:bookmarkEnd w:id="1"/>
      <w:bookmarkEnd w:id="2"/>
      <w:bookmarkEnd w:id="3"/>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本招标项目</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（项目名称）已由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（项目审批、核准或备案机关名称）以 </w:t>
      </w:r>
      <w:r>
        <w:rPr>
          <w:rFonts w:hint="eastAsia" w:ascii="宋体" w:hAnsi="宋体"/>
          <w:color w:val="auto"/>
          <w:sz w:val="24"/>
          <w:highlight w:val="none"/>
          <w:u w:val="single"/>
        </w:rPr>
        <w:t xml:space="preserve">           </w:t>
      </w:r>
      <w:r>
        <w:rPr>
          <w:rFonts w:hint="eastAsia" w:ascii="宋体" w:hAnsi="宋体"/>
          <w:color w:val="auto"/>
          <w:sz w:val="24"/>
          <w:highlight w:val="none"/>
        </w:rPr>
        <w:t>（批文名称及编号）批准建设，项目业主为：</w:t>
      </w:r>
      <w:r>
        <w:rPr>
          <w:rFonts w:hint="eastAsia" w:ascii="宋体" w:hAnsi="宋体"/>
          <w:color w:val="auto"/>
          <w:sz w:val="24"/>
          <w:highlight w:val="none"/>
          <w:u w:val="single"/>
        </w:rPr>
        <w:t xml:space="preserve">          </w:t>
      </w:r>
      <w:r>
        <w:rPr>
          <w:rFonts w:hint="eastAsia" w:ascii="宋体" w:hAnsi="宋体"/>
          <w:color w:val="auto"/>
          <w:sz w:val="24"/>
          <w:highlight w:val="none"/>
        </w:rPr>
        <w:t>，建设资金来自</w:t>
      </w:r>
      <w:r>
        <w:rPr>
          <w:rFonts w:hint="eastAsia" w:ascii="宋体" w:hAnsi="宋体"/>
          <w:color w:val="auto"/>
          <w:sz w:val="24"/>
          <w:highlight w:val="none"/>
          <w:u w:val="single"/>
        </w:rPr>
        <w:t xml:space="preserve">      </w:t>
      </w:r>
      <w:r>
        <w:rPr>
          <w:rFonts w:hint="eastAsia" w:ascii="宋体" w:hAnsi="宋体"/>
          <w:color w:val="auto"/>
          <w:sz w:val="24"/>
          <w:highlight w:val="none"/>
        </w:rPr>
        <w:t>（资金来源），招标人为：</w:t>
      </w:r>
      <w:r>
        <w:rPr>
          <w:rFonts w:hint="eastAsia" w:ascii="宋体" w:hAnsi="宋体"/>
          <w:color w:val="auto"/>
          <w:sz w:val="24"/>
          <w:highlight w:val="none"/>
          <w:u w:val="single"/>
        </w:rPr>
        <w:t xml:space="preserve">          </w:t>
      </w:r>
      <w:r>
        <w:rPr>
          <w:rFonts w:hint="eastAsia" w:ascii="宋体" w:hAnsi="宋体"/>
          <w:color w:val="auto"/>
          <w:sz w:val="24"/>
          <w:highlight w:val="none"/>
        </w:rPr>
        <w:t>。项目已具备招标条件，现对该项目的施工监理进行公开招标。</w:t>
      </w:r>
    </w:p>
    <w:p>
      <w:pPr>
        <w:pStyle w:val="4"/>
        <w:spacing w:line="430" w:lineRule="exact"/>
        <w:rPr>
          <w:color w:val="auto"/>
          <w:highlight w:val="none"/>
        </w:rPr>
      </w:pPr>
      <w:bookmarkStart w:id="4" w:name="_Toc488650763"/>
      <w:bookmarkStart w:id="5" w:name="_Toc487653334"/>
      <w:bookmarkStart w:id="6" w:name="_Toc487619416"/>
      <w:r>
        <w:rPr>
          <w:rFonts w:hint="eastAsia"/>
          <w:color w:val="auto"/>
          <w:highlight w:val="none"/>
        </w:rPr>
        <w:t>2．项目概况与招标范围</w:t>
      </w:r>
      <w:bookmarkEnd w:id="4"/>
      <w:bookmarkEnd w:id="5"/>
      <w:bookmarkEnd w:id="6"/>
    </w:p>
    <w:p>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2.1  项目建设地点：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2.2  招标项目规模：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计划施工工期：</w:t>
      </w: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  招标范围：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  监理标段划分及监理服务期：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Style w:val="4"/>
        <w:spacing w:line="430" w:lineRule="exact"/>
        <w:rPr>
          <w:color w:val="auto"/>
          <w:highlight w:val="none"/>
        </w:rPr>
      </w:pPr>
      <w:bookmarkStart w:id="7" w:name="_Toc488650764"/>
      <w:bookmarkStart w:id="8" w:name="_Toc487653335"/>
      <w:bookmarkStart w:id="9" w:name="_Toc487619417"/>
      <w:r>
        <w:rPr>
          <w:rFonts w:hint="eastAsia"/>
          <w:color w:val="auto"/>
          <w:highlight w:val="none"/>
        </w:rPr>
        <w:t>3</w:t>
      </w:r>
      <w:r>
        <w:rPr>
          <w:color w:val="auto"/>
          <w:highlight w:val="none"/>
        </w:rPr>
        <w:t>．投标人要求</w:t>
      </w:r>
      <w:bookmarkEnd w:id="7"/>
      <w:bookmarkEnd w:id="8"/>
      <w:bookmarkEnd w:id="9"/>
      <w:r>
        <w:rPr>
          <w:rFonts w:hint="eastAsia"/>
          <w:color w:val="auto"/>
          <w:highlight w:val="none"/>
        </w:rPr>
        <w:t xml:space="preserve"> </w:t>
      </w:r>
    </w:p>
    <w:p>
      <w:pPr>
        <w:widowControl/>
        <w:tabs>
          <w:tab w:val="left" w:pos="510"/>
          <w:tab w:val="left" w:pos="900"/>
          <w:tab w:val="left" w:pos="1100"/>
        </w:tabs>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 xml:space="preserve">3.1 </w:t>
      </w:r>
      <w:r>
        <w:rPr>
          <w:rFonts w:ascii="宋体" w:hAnsi="宋体"/>
          <w:color w:val="auto"/>
          <w:sz w:val="24"/>
          <w:highlight w:val="none"/>
        </w:rPr>
        <w:t xml:space="preserve"> </w:t>
      </w:r>
      <w:r>
        <w:rPr>
          <w:rFonts w:hint="eastAsia" w:ascii="宋体" w:hAnsi="宋体"/>
          <w:color w:val="auto"/>
          <w:sz w:val="24"/>
          <w:highlight w:val="none"/>
        </w:rPr>
        <w:t>监理资质要求：①具有</w:t>
      </w:r>
      <w:r>
        <w:rPr>
          <w:rFonts w:ascii="宋体" w:hAnsi="宋体"/>
          <w:color w:val="auto"/>
          <w:sz w:val="24"/>
          <w:highlight w:val="none"/>
          <w:u w:val="single"/>
        </w:rPr>
        <w:t xml:space="preserve">       </w:t>
      </w:r>
      <w:r>
        <w:rPr>
          <w:rFonts w:hint="eastAsia" w:ascii="宋体" w:hAnsi="宋体"/>
          <w:color w:val="auto"/>
          <w:sz w:val="24"/>
          <w:highlight w:val="none"/>
        </w:rPr>
        <w:t>资质等级证书；②具备独立的法人资格、有效的营业执照。</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3.2监理业绩要求：</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 xml:space="preserve">    3.3  总监理工程师要求：资格要求：具有</w:t>
      </w:r>
      <w:r>
        <w:rPr>
          <w:rFonts w:ascii="宋体" w:hAnsi="宋体"/>
          <w:color w:val="auto"/>
          <w:sz w:val="24"/>
          <w:highlight w:val="none"/>
          <w:u w:val="single"/>
        </w:rPr>
        <w:t xml:space="preserve">                    </w:t>
      </w:r>
      <w:r>
        <w:rPr>
          <w:rFonts w:hint="eastAsia" w:ascii="宋体" w:hAnsi="宋体"/>
          <w:color w:val="auto"/>
          <w:sz w:val="24"/>
          <w:highlight w:val="none"/>
        </w:rPr>
        <w:t>；岗位登记工作单位为其投标单位（以全国水运建设市场信用信息管理系统岗位登记截图为准）。</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3.4  本次招标</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none"/>
        </w:rPr>
        <w:t>（接受或不接受</w:t>
      </w:r>
      <w:r>
        <w:rPr>
          <w:rFonts w:hint="eastAsia" w:ascii="宋体" w:hAnsi="宋体"/>
          <w:color w:val="auto"/>
          <w:sz w:val="24"/>
          <w:highlight w:val="none"/>
          <w:u w:val="none"/>
        </w:rPr>
        <w:t>，</w:t>
      </w:r>
      <w:r>
        <w:rPr>
          <w:rFonts w:hint="eastAsia" w:ascii="宋体" w:hAnsi="宋体"/>
          <w:snapToGrid w:val="0"/>
          <w:color w:val="auto"/>
          <w:kern w:val="0"/>
          <w:sz w:val="24"/>
          <w:highlight w:val="none"/>
          <w:u w:val="none"/>
        </w:rPr>
        <w:t>要求两种及以上不同专业资质要求的，不得出现“不接受”联合体投标词汇。</w:t>
      </w:r>
      <w:r>
        <w:rPr>
          <w:rFonts w:ascii="宋体" w:hAnsi="宋体"/>
          <w:color w:val="auto"/>
          <w:sz w:val="24"/>
          <w:highlight w:val="none"/>
          <w:u w:val="none"/>
        </w:rPr>
        <w:t>）</w:t>
      </w:r>
      <w:r>
        <w:rPr>
          <w:rFonts w:hint="eastAsia" w:ascii="宋体" w:hAnsi="宋体"/>
          <w:color w:val="auto"/>
          <w:sz w:val="24"/>
          <w:highlight w:val="none"/>
        </w:rPr>
        <w:t>联合体投标。联合体投标的，应满足下列要求：</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3.5  资格审查方式：</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资格后审</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  其他：</w:t>
      </w:r>
      <w:r>
        <w:rPr>
          <w:rFonts w:hint="eastAsia" w:ascii="宋体" w:hAnsi="宋体"/>
          <w:color w:val="auto"/>
          <w:sz w:val="24"/>
          <w:highlight w:val="none"/>
        </w:rPr>
        <w:t>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pPr>
        <w:pStyle w:val="4"/>
        <w:spacing w:line="430" w:lineRule="exact"/>
        <w:rPr>
          <w:color w:val="auto"/>
          <w:highlight w:val="none"/>
        </w:rPr>
      </w:pPr>
      <w:bookmarkStart w:id="10" w:name="_Toc487653336"/>
      <w:bookmarkStart w:id="11" w:name="_Toc487619418"/>
      <w:bookmarkStart w:id="12" w:name="_Toc488650765"/>
      <w:r>
        <w:rPr>
          <w:rFonts w:hint="eastAsia"/>
          <w:color w:val="auto"/>
          <w:highlight w:val="none"/>
        </w:rPr>
        <w:t>4</w:t>
      </w:r>
      <w:r>
        <w:rPr>
          <w:color w:val="auto"/>
          <w:highlight w:val="none"/>
        </w:rPr>
        <w:t>．招标文件的获取</w:t>
      </w:r>
      <w:bookmarkEnd w:id="10"/>
      <w:bookmarkEnd w:id="11"/>
      <w:bookmarkEnd w:id="12"/>
    </w:p>
    <w:p>
      <w:pPr>
        <w:widowControl/>
        <w:tabs>
          <w:tab w:val="left" w:pos="510"/>
          <w:tab w:val="left" w:pos="900"/>
          <w:tab w:val="left" w:pos="1100"/>
          <w:tab w:val="left" w:pos="3807"/>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凡有意参加投标者，请于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时</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分</w:t>
      </w:r>
      <w:r>
        <w:rPr>
          <w:rFonts w:ascii="宋体" w:hAnsi="宋体" w:cs="宋体"/>
          <w:color w:val="auto"/>
          <w:sz w:val="24"/>
          <w:highlight w:val="none"/>
          <w:u w:val="single"/>
        </w:rPr>
        <w:t xml:space="preserve">  </w:t>
      </w:r>
      <w:r>
        <w:rPr>
          <w:rFonts w:hint="eastAsia" w:ascii="宋体" w:hAnsi="宋体" w:cs="宋体"/>
          <w:color w:val="auto"/>
          <w:sz w:val="24"/>
          <w:highlight w:val="none"/>
        </w:rPr>
        <w:t>秒</w:t>
      </w:r>
      <w:r>
        <w:rPr>
          <w:rFonts w:ascii="宋体" w:hAnsi="宋体" w:cs="宋体"/>
          <w:color w:val="auto"/>
          <w:sz w:val="24"/>
          <w:highlight w:val="none"/>
        </w:rPr>
        <w:t>前登录</w:t>
      </w:r>
      <w:r>
        <w:rPr>
          <w:rFonts w:hint="eastAsia" w:ascii="宋体" w:hAnsi="宋体" w:cs="宋体"/>
          <w:color w:val="auto"/>
          <w:sz w:val="24"/>
          <w:highlight w:val="none"/>
        </w:rPr>
        <w:t>电子招标投标交易平台</w:t>
      </w:r>
      <w:r>
        <w:rPr>
          <w:rFonts w:ascii="宋体" w:hAnsi="宋体" w:cs="宋体"/>
          <w:color w:val="auto"/>
          <w:sz w:val="24"/>
          <w:highlight w:val="none"/>
        </w:rPr>
        <w:t>（网址：</w:t>
      </w:r>
      <w:r>
        <w:rPr>
          <w:rFonts w:ascii="宋体" w:hAnsi="宋体" w:cs="宋体"/>
          <w:color w:val="auto"/>
          <w:sz w:val="24"/>
          <w:highlight w:val="none"/>
          <w:u w:val="single"/>
        </w:rPr>
        <w:t xml:space="preserve">        </w:t>
      </w:r>
      <w:r>
        <w:rPr>
          <w:rFonts w:ascii="宋体" w:hAnsi="宋体" w:cs="宋体"/>
          <w:color w:val="auto"/>
          <w:sz w:val="24"/>
          <w:highlight w:val="none"/>
        </w:rPr>
        <w:t>)下载有关电子招标文件。</w:t>
      </w:r>
      <w:r>
        <w:rPr>
          <w:rFonts w:hint="eastAsia" w:ascii="宋体" w:hAnsi="宋体"/>
          <w:color w:val="auto"/>
          <w:sz w:val="24"/>
          <w:highlight w:val="none"/>
        </w:rPr>
        <w:t>招标人不另行出售纸质招标文件。</w:t>
      </w:r>
    </w:p>
    <w:p>
      <w:pPr>
        <w:pStyle w:val="4"/>
        <w:spacing w:line="430" w:lineRule="exact"/>
        <w:rPr>
          <w:color w:val="auto"/>
          <w:highlight w:val="none"/>
        </w:rPr>
      </w:pPr>
      <w:bookmarkStart w:id="13" w:name="_Toc487619419"/>
      <w:bookmarkStart w:id="14" w:name="_Toc487653337"/>
      <w:bookmarkStart w:id="15" w:name="_Toc488650766"/>
      <w:r>
        <w:rPr>
          <w:rFonts w:hint="eastAsia"/>
          <w:color w:val="auto"/>
          <w:highlight w:val="none"/>
        </w:rPr>
        <w:t>5</w:t>
      </w:r>
      <w:r>
        <w:rPr>
          <w:color w:val="auto"/>
          <w:highlight w:val="none"/>
        </w:rPr>
        <w:t>．投标文件的递交</w:t>
      </w:r>
      <w:bookmarkEnd w:id="13"/>
      <w:bookmarkEnd w:id="14"/>
      <w:bookmarkEnd w:id="15"/>
    </w:p>
    <w:p>
      <w:pPr>
        <w:widowControl/>
        <w:tabs>
          <w:tab w:val="left" w:pos="510"/>
          <w:tab w:val="left" w:pos="900"/>
          <w:tab w:val="left" w:pos="1100"/>
          <w:tab w:val="left" w:pos="3807"/>
        </w:tabs>
        <w:spacing w:line="360" w:lineRule="auto"/>
        <w:ind w:left="284"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5.1投标文件递交的截止时间（投标截止时间，下同）为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w:t>
      </w:r>
    </w:p>
    <w:p>
      <w:pPr>
        <w:widowControl/>
        <w:tabs>
          <w:tab w:val="left" w:pos="510"/>
          <w:tab w:val="left" w:pos="900"/>
          <w:tab w:val="left" w:pos="1100"/>
        </w:tabs>
        <w:spacing w:line="360" w:lineRule="auto"/>
        <w:jc w:val="left"/>
        <w:rPr>
          <w:rFonts w:ascii="宋体" w:hAnsi="宋体"/>
          <w:color w:val="auto"/>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秒，</w:t>
      </w:r>
      <w:r>
        <w:rPr>
          <w:rFonts w:hint="eastAsia" w:ascii="宋体" w:hAnsi="宋体"/>
          <w:color w:val="auto"/>
          <w:sz w:val="24"/>
          <w:highlight w:val="none"/>
        </w:rPr>
        <w:t>投标人必须在投标截止时间前通过电子招标投标交易平台（网址：</w:t>
      </w:r>
      <w:r>
        <w:rPr>
          <w:rFonts w:hint="eastAsia" w:ascii="宋体" w:hAnsi="宋体"/>
          <w:color w:val="auto"/>
          <w:sz w:val="24"/>
          <w:highlight w:val="none"/>
          <w:u w:val="single"/>
        </w:rPr>
        <w:t xml:space="preserve">       </w:t>
      </w:r>
      <w:r>
        <w:rPr>
          <w:rFonts w:hint="eastAsia" w:ascii="宋体" w:hAnsi="宋体"/>
          <w:color w:val="auto"/>
          <w:sz w:val="24"/>
          <w:highlight w:val="none"/>
        </w:rPr>
        <w:t>）上传电子投标文件，但应认真检查投标文件的完整性。逾期到达或者未到达交易系统的投标文件视为放弃本次投标。</w:t>
      </w:r>
    </w:p>
    <w:p>
      <w:pPr>
        <w:widowControl/>
        <w:tabs>
          <w:tab w:val="left" w:pos="510"/>
          <w:tab w:val="left" w:pos="900"/>
          <w:tab w:val="left" w:pos="1100"/>
          <w:tab w:val="left" w:pos="3807"/>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5.2在投标截止时间前，允许投标人对已投递的电子投标文件撤回、编辑再投递。投标人应使用投标时所使用的数字证书完成电子投标文件的解密，</w:t>
      </w:r>
      <w:r>
        <w:rPr>
          <w:rFonts w:hint="eastAsia" w:ascii="宋体" w:hAnsi="宋体" w:cs="宋体"/>
          <w:color w:val="auto"/>
          <w:sz w:val="24"/>
          <w:highlight w:val="none"/>
        </w:rPr>
        <w:t>因投标人的原因，导致开标时无法解密投标文件的，按否决其投标处理。</w:t>
      </w:r>
    </w:p>
    <w:p>
      <w:pPr>
        <w:pStyle w:val="4"/>
        <w:spacing w:line="430" w:lineRule="exact"/>
        <w:rPr>
          <w:rFonts w:hint="eastAsia"/>
          <w:color w:val="auto"/>
          <w:highlight w:val="none"/>
        </w:rPr>
      </w:pPr>
      <w:bookmarkStart w:id="16" w:name="_Toc23420"/>
      <w:r>
        <w:rPr>
          <w:rFonts w:hint="eastAsia"/>
          <w:color w:val="auto"/>
          <w:highlight w:val="none"/>
          <w:lang w:val="en"/>
        </w:rPr>
        <w:t>6.</w:t>
      </w:r>
      <w:r>
        <w:rPr>
          <w:rFonts w:hint="eastAsia"/>
          <w:color w:val="auto"/>
          <w:highlight w:val="none"/>
        </w:rPr>
        <w:t>评标办法</w:t>
      </w:r>
      <w:bookmarkEnd w:id="16"/>
    </w:p>
    <w:p>
      <w:pPr>
        <w:pStyle w:val="114"/>
        <w:wordWrap w:val="0"/>
        <w:spacing w:before="240" w:beforeLines="100" w:line="300" w:lineRule="auto"/>
        <w:ind w:firstLine="48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本招标项目采用的评标办法：</w:t>
      </w:r>
      <w:r>
        <w:rPr>
          <w:rFonts w:hint="eastAsia" w:ascii="宋体" w:hAnsi="宋体"/>
          <w:color w:val="auto"/>
          <w:sz w:val="24"/>
          <w:szCs w:val="24"/>
          <w:highlight w:val="none"/>
          <w:u w:val="single"/>
        </w:rPr>
        <w:t>定性评审法</w:t>
      </w:r>
      <w:r>
        <w:rPr>
          <w:rFonts w:hint="eastAsia" w:ascii="Times New Roman" w:hAnsi="Times New Roman"/>
          <w:color w:val="auto"/>
          <w:sz w:val="24"/>
          <w:szCs w:val="24"/>
          <w:highlight w:val="none"/>
        </w:rPr>
        <w:t>。</w:t>
      </w:r>
    </w:p>
    <w:p>
      <w:pPr>
        <w:pStyle w:val="2"/>
        <w:wordWrap w:val="0"/>
        <w:spacing w:before="240" w:after="240" w:line="240" w:lineRule="atLeast"/>
        <w:rPr>
          <w:rFonts w:hint="eastAsia" w:eastAsia="黑体"/>
          <w:color w:val="auto"/>
          <w:sz w:val="28"/>
          <w:szCs w:val="28"/>
          <w:highlight w:val="none"/>
        </w:rPr>
      </w:pPr>
      <w:r>
        <w:rPr>
          <w:rFonts w:hint="eastAsia" w:eastAsia="黑体"/>
          <w:color w:val="auto"/>
          <w:sz w:val="28"/>
          <w:szCs w:val="28"/>
          <w:highlight w:val="none"/>
        </w:rPr>
        <w:t>7.定标办法</w:t>
      </w:r>
    </w:p>
    <w:p>
      <w:pPr>
        <w:pStyle w:val="114"/>
        <w:wordWrap w:val="0"/>
        <w:rPr>
          <w:rFonts w:hint="eastAsia" w:ascii="Times New Roman" w:hAnsi="Times New Roman"/>
          <w:color w:val="auto"/>
          <w:sz w:val="24"/>
          <w:szCs w:val="24"/>
          <w:highlight w:val="none"/>
        </w:rPr>
      </w:pPr>
      <w:r>
        <w:rPr>
          <w:rFonts w:hint="eastAsia"/>
          <w:color w:val="auto"/>
          <w:szCs w:val="21"/>
          <w:highlight w:val="none"/>
        </w:rPr>
        <w:t xml:space="preserve"> </w:t>
      </w:r>
      <w:r>
        <w:rPr>
          <w:rFonts w:hint="eastAsia"/>
          <w:color w:val="auto"/>
          <w:sz w:val="24"/>
          <w:szCs w:val="24"/>
          <w:highlight w:val="none"/>
        </w:rPr>
        <w:t>本招标项目采用的定标办法：</w:t>
      </w:r>
      <w:r>
        <w:rPr>
          <w:rStyle w:val="52"/>
          <w:rFonts w:hint="eastAsia"/>
          <w:color w:val="auto"/>
          <w:sz w:val="24"/>
          <w:szCs w:val="24"/>
          <w:highlight w:val="none"/>
        </w:rPr>
        <w:footnoteReference w:id="0"/>
      </w:r>
      <w:r>
        <w:rPr>
          <w:rFonts w:hint="eastAsia"/>
          <w:color w:val="auto"/>
          <w:sz w:val="24"/>
          <w:szCs w:val="24"/>
          <w:highlight w:val="none"/>
          <w:u w:val="single"/>
        </w:rPr>
        <w:t xml:space="preserve">             。</w:t>
      </w:r>
    </w:p>
    <w:p>
      <w:pPr>
        <w:pStyle w:val="4"/>
        <w:spacing w:line="430" w:lineRule="exact"/>
        <w:rPr>
          <w:color w:val="auto"/>
          <w:highlight w:val="none"/>
        </w:rPr>
      </w:pPr>
      <w:bookmarkStart w:id="17" w:name="_Toc487619420"/>
      <w:bookmarkStart w:id="18" w:name="_Toc487653338"/>
      <w:bookmarkStart w:id="19" w:name="_Toc488650767"/>
      <w:r>
        <w:rPr>
          <w:rFonts w:hint="eastAsia"/>
          <w:color w:val="auto"/>
          <w:highlight w:val="none"/>
        </w:rPr>
        <w:t>8</w:t>
      </w:r>
      <w:r>
        <w:rPr>
          <w:color w:val="auto"/>
          <w:highlight w:val="none"/>
        </w:rPr>
        <w:t>．</w:t>
      </w:r>
      <w:r>
        <w:rPr>
          <w:rFonts w:hint="eastAsia"/>
          <w:color w:val="auto"/>
          <w:highlight w:val="none"/>
        </w:rPr>
        <w:t>发布公告的媒介</w:t>
      </w:r>
      <w:bookmarkEnd w:id="17"/>
      <w:bookmarkEnd w:id="18"/>
      <w:bookmarkEnd w:id="1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本次招标公告在福建省公共资源交易电子公共服务平台（网址：</w:t>
      </w:r>
      <w:r>
        <w:rPr>
          <w:rStyle w:val="50"/>
          <w:rFonts w:hint="eastAsia" w:ascii="宋体" w:hAnsi="宋体"/>
          <w:color w:val="auto"/>
          <w:sz w:val="24"/>
          <w:highlight w:val="none"/>
          <w:u w:val="none"/>
        </w:rPr>
        <w:t>https://www.</w:t>
      </w:r>
      <w:r>
        <w:rPr>
          <w:rFonts w:ascii="宋体" w:hAnsi="宋体"/>
          <w:color w:val="auto"/>
          <w:szCs w:val="21"/>
          <w:highlight w:val="none"/>
        </w:rPr>
        <w:t>ggzyfw.fj.gov.cn</w:t>
      </w:r>
      <w:r>
        <w:rPr>
          <w:rStyle w:val="50"/>
          <w:rFonts w:hint="eastAsia" w:ascii="宋体" w:hAnsi="宋体"/>
          <w:color w:val="auto"/>
          <w:sz w:val="24"/>
          <w:highlight w:val="none"/>
          <w:u w:val="none"/>
        </w:rPr>
        <w:t>/</w:t>
      </w:r>
      <w:r>
        <w:rPr>
          <w:rFonts w:hint="eastAsia" w:ascii="宋体" w:hAnsi="宋体"/>
          <w:color w:val="auto"/>
          <w:sz w:val="24"/>
          <w:highlight w:val="none"/>
        </w:rPr>
        <w:t xml:space="preserve">）、 </w:t>
      </w:r>
      <w:r>
        <w:rPr>
          <w:rStyle w:val="50"/>
          <w:rFonts w:hint="eastAsia" w:ascii="宋体" w:hAnsi="宋体" w:cs="宋体"/>
          <w:color w:val="auto"/>
          <w:sz w:val="24"/>
          <w:highlight w:val="none"/>
          <w:u w:val="none"/>
        </w:rPr>
        <w:t>电子招标投标交易平台</w:t>
      </w:r>
      <w:r>
        <w:rPr>
          <w:rFonts w:hint="eastAsia" w:ascii="宋体" w:hAnsi="宋体"/>
          <w:color w:val="auto"/>
          <w:sz w:val="24"/>
          <w:highlight w:val="none"/>
          <w:u w:val="single"/>
        </w:rPr>
        <w:t xml:space="preserve">（网址：   ）                  </w:t>
      </w:r>
      <w:r>
        <w:rPr>
          <w:rFonts w:hint="eastAsia" w:ascii="宋体" w:hAnsi="宋体"/>
          <w:color w:val="auto"/>
          <w:sz w:val="24"/>
          <w:highlight w:val="none"/>
        </w:rPr>
        <w:t>发布。</w:t>
      </w:r>
    </w:p>
    <w:p>
      <w:pPr>
        <w:widowControl/>
        <w:tabs>
          <w:tab w:val="left" w:pos="900"/>
          <w:tab w:val="left" w:pos="1100"/>
        </w:tabs>
        <w:spacing w:line="440" w:lineRule="exact"/>
        <w:ind w:left="105" w:leftChars="50" w:firstLine="360" w:firstLineChars="150"/>
        <w:rPr>
          <w:rStyle w:val="83"/>
          <w:color w:val="auto"/>
          <w:sz w:val="24"/>
          <w:highlight w:val="none"/>
        </w:rPr>
      </w:pPr>
      <w:r>
        <w:rPr>
          <w:rFonts w:hint="eastAsia" w:ascii="宋体" w:hAnsi="宋体"/>
          <w:color w:val="auto"/>
          <w:sz w:val="24"/>
          <w:highlight w:val="none"/>
        </w:rPr>
        <w:t>注意事项：本工程答疑纪要及补充通知等将在福建省公共资源交易电子公共服务平台（网址：</w:t>
      </w:r>
      <w:r>
        <w:rPr>
          <w:rFonts w:hint="eastAsia" w:ascii="宋体" w:hAnsi="宋体"/>
          <w:color w:val="auto"/>
          <w:sz w:val="24"/>
          <w:highlight w:val="none"/>
        </w:rPr>
        <w:fldChar w:fldCharType="begin"/>
      </w:r>
      <w:r>
        <w:rPr>
          <w:rFonts w:hint="eastAsia" w:ascii="宋体" w:hAnsi="宋体"/>
          <w:color w:val="auto"/>
          <w:sz w:val="24"/>
          <w:highlight w:val="none"/>
        </w:rPr>
        <w:instrText xml:space="preserve">HYPERLINK "http://www.fjbid.gov.cn）、电子招标投标交易平台"</w:instrText>
      </w:r>
      <w:r>
        <w:rPr>
          <w:rFonts w:hint="eastAsia" w:ascii="宋体" w:hAnsi="宋体"/>
          <w:color w:val="auto"/>
          <w:sz w:val="24"/>
          <w:highlight w:val="none"/>
        </w:rPr>
        <w:fldChar w:fldCharType="separate"/>
      </w:r>
      <w:r>
        <w:rPr>
          <w:rStyle w:val="50"/>
          <w:rFonts w:hint="eastAsia" w:ascii="宋体" w:hAnsi="宋体"/>
          <w:color w:val="auto"/>
          <w:sz w:val="24"/>
          <w:highlight w:val="none"/>
          <w:u w:val="none"/>
        </w:rPr>
        <w:t>https://www.</w:t>
      </w:r>
      <w:r>
        <w:rPr>
          <w:rFonts w:ascii="宋体" w:hAnsi="宋体"/>
          <w:color w:val="auto"/>
          <w:szCs w:val="21"/>
          <w:highlight w:val="none"/>
        </w:rPr>
        <w:t>ggzyfw.fj.gov.cn</w:t>
      </w:r>
      <w:r>
        <w:rPr>
          <w:rStyle w:val="50"/>
          <w:rFonts w:hint="eastAsia" w:ascii="宋体" w:hAnsi="宋体"/>
          <w:color w:val="auto"/>
          <w:sz w:val="24"/>
          <w:highlight w:val="none"/>
          <w:u w:val="none"/>
        </w:rPr>
        <w:t>/）、电子招标投标交易平台</w:t>
      </w:r>
      <w:r>
        <w:rPr>
          <w:rFonts w:hint="eastAsia" w:ascii="宋体" w:hAnsi="宋体"/>
          <w:color w:val="auto"/>
          <w:sz w:val="24"/>
          <w:highlight w:val="none"/>
        </w:rPr>
        <w:fldChar w:fldCharType="end"/>
      </w:r>
      <w:r>
        <w:rPr>
          <w:rFonts w:hint="eastAsia" w:ascii="宋体" w:hAnsi="宋体"/>
          <w:color w:val="auto"/>
          <w:sz w:val="24"/>
          <w:highlight w:val="none"/>
        </w:rPr>
        <w:t>（</w:t>
      </w:r>
      <w:r>
        <w:rPr>
          <w:rFonts w:hint="eastAsia" w:ascii="宋体" w:hAnsi="宋体"/>
          <w:color w:val="auto"/>
          <w:sz w:val="24"/>
          <w:highlight w:val="none"/>
          <w:u w:val="single"/>
        </w:rPr>
        <w:t xml:space="preserve">网址：       </w:t>
      </w:r>
      <w:r>
        <w:rPr>
          <w:rFonts w:hint="eastAsia" w:ascii="宋体" w:hAnsi="宋体"/>
          <w:color w:val="auto"/>
          <w:sz w:val="24"/>
          <w:highlight w:val="none"/>
        </w:rPr>
        <w:t>) “公告答疑”上发布。各投标人应随时关注发布的相关信息，否则由此引起的后果及损失由各投标人自行承担。</w:t>
      </w:r>
    </w:p>
    <w:p>
      <w:pPr>
        <w:pStyle w:val="4"/>
        <w:spacing w:line="430" w:lineRule="exact"/>
        <w:rPr>
          <w:color w:val="auto"/>
          <w:highlight w:val="none"/>
        </w:rPr>
      </w:pPr>
      <w:bookmarkStart w:id="20" w:name="_Toc487653339"/>
      <w:bookmarkStart w:id="21" w:name="_Toc487619421"/>
      <w:bookmarkStart w:id="22" w:name="_Toc488650768"/>
      <w:r>
        <w:rPr>
          <w:rFonts w:hint="eastAsia"/>
          <w:color w:val="auto"/>
          <w:highlight w:val="none"/>
        </w:rPr>
        <w:t>9</w:t>
      </w:r>
      <w:r>
        <w:rPr>
          <w:color w:val="auto"/>
          <w:highlight w:val="none"/>
        </w:rPr>
        <w:t>．</w:t>
      </w:r>
      <w:r>
        <w:rPr>
          <w:rFonts w:hint="eastAsia"/>
          <w:color w:val="auto"/>
          <w:highlight w:val="none"/>
        </w:rPr>
        <w:t>联系方式</w:t>
      </w:r>
      <w:bookmarkEnd w:id="20"/>
      <w:bookmarkEnd w:id="21"/>
      <w:bookmarkEnd w:id="22"/>
    </w:p>
    <w:p>
      <w:pPr>
        <w:pStyle w:val="12"/>
        <w:spacing w:line="360" w:lineRule="auto"/>
        <w:ind w:firstLine="482"/>
        <w:rPr>
          <w:rFonts w:hAnsi="宋体"/>
          <w:bCs/>
          <w:color w:val="auto"/>
          <w:sz w:val="24"/>
          <w:highlight w:val="none"/>
        </w:rPr>
      </w:pPr>
      <w:r>
        <w:rPr>
          <w:rFonts w:hint="eastAsia" w:hAnsi="宋体"/>
          <w:b/>
          <w:bCs/>
          <w:color w:val="auto"/>
          <w:sz w:val="24"/>
          <w:highlight w:val="none"/>
        </w:rPr>
        <w:t>招标人</w:t>
      </w:r>
      <w:r>
        <w:rPr>
          <w:rFonts w:hint="eastAsia" w:hAnsi="宋体"/>
          <w:color w:val="auto"/>
          <w:sz w:val="24"/>
          <w:highlight w:val="none"/>
        </w:rPr>
        <w:t>：</w:t>
      </w:r>
      <w:r>
        <w:rPr>
          <w:rFonts w:hint="eastAsia" w:hAnsi="宋体"/>
          <w:color w:val="auto"/>
          <w:sz w:val="24"/>
          <w:highlight w:val="none"/>
          <w:u w:val="single"/>
        </w:rPr>
        <w:t xml:space="preserve"> </w:t>
      </w:r>
      <w:r>
        <w:rPr>
          <w:rFonts w:hint="eastAsia" w:hAnsi="宋体"/>
          <w:bCs/>
          <w:color w:val="auto"/>
          <w:sz w:val="24"/>
          <w:highlight w:val="none"/>
          <w:u w:val="single"/>
        </w:rPr>
        <w:t xml:space="preserve">                              </w:t>
      </w:r>
      <w:r>
        <w:rPr>
          <w:rFonts w:hint="eastAsia" w:hAnsi="宋体"/>
          <w:bCs/>
          <w:color w:val="auto"/>
          <w:sz w:val="24"/>
          <w:highlight w:val="none"/>
        </w:rPr>
        <w:t xml:space="preserve">  </w:t>
      </w:r>
    </w:p>
    <w:p>
      <w:pPr>
        <w:pStyle w:val="12"/>
        <w:spacing w:line="360" w:lineRule="auto"/>
        <w:ind w:firstLine="480"/>
        <w:rPr>
          <w:rFonts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
          <w:color w:val="auto"/>
          <w:sz w:val="24"/>
          <w:highlight w:val="none"/>
          <w:u w:val="single"/>
        </w:rPr>
        <w:t xml:space="preserve"> </w:t>
      </w:r>
      <w:r>
        <w:rPr>
          <w:rFonts w:hint="eastAsia" w:hAnsi="宋体"/>
          <w:bCs/>
          <w:color w:val="auto"/>
          <w:sz w:val="24"/>
          <w:highlight w:val="none"/>
        </w:rPr>
        <w:t xml:space="preserve">  </w:t>
      </w:r>
    </w:p>
    <w:p>
      <w:pPr>
        <w:pStyle w:val="12"/>
        <w:spacing w:line="360" w:lineRule="auto"/>
        <w:ind w:firstLine="480"/>
        <w:rPr>
          <w:rFonts w:hAnsi="宋体"/>
          <w:bCs/>
          <w:color w:val="auto"/>
          <w:sz w:val="24"/>
          <w:highlight w:val="none"/>
        </w:rPr>
      </w:pPr>
      <w:r>
        <w:rPr>
          <w:rFonts w:hint="eastAsia" w:hAnsi="宋体"/>
          <w:bCs/>
          <w:color w:val="auto"/>
          <w:sz w:val="24"/>
          <w:highlight w:val="none"/>
        </w:rPr>
        <w:t>邮政编码：</w:t>
      </w:r>
      <w:r>
        <w:rPr>
          <w:rFonts w:hint="eastAsia" w:hAnsi="宋体"/>
          <w:bCs/>
          <w:color w:val="auto"/>
          <w:sz w:val="24"/>
          <w:highlight w:val="none"/>
          <w:u w:val="single"/>
        </w:rPr>
        <w:t xml:space="preserve">                             </w:t>
      </w:r>
      <w:r>
        <w:rPr>
          <w:rFonts w:hint="eastAsia" w:hAnsi="宋体"/>
          <w:bCs/>
          <w:color w:val="auto"/>
          <w:sz w:val="24"/>
          <w:highlight w:val="none"/>
        </w:rPr>
        <w:t xml:space="preserve">  </w:t>
      </w:r>
    </w:p>
    <w:p>
      <w:pPr>
        <w:pStyle w:val="12"/>
        <w:spacing w:line="360" w:lineRule="auto"/>
        <w:ind w:firstLine="480"/>
        <w:rPr>
          <w:rFonts w:hAnsi="宋体"/>
          <w:bCs/>
          <w:color w:val="auto"/>
          <w:sz w:val="24"/>
          <w:highlight w:val="non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 xml:space="preserve">  </w:t>
      </w:r>
    </w:p>
    <w:p>
      <w:pPr>
        <w:pStyle w:val="12"/>
        <w:spacing w:line="360" w:lineRule="auto"/>
        <w:ind w:firstLine="480"/>
        <w:rPr>
          <w:rFonts w:hAnsi="宋体"/>
          <w:bCs/>
          <w:color w:val="auto"/>
          <w:sz w:val="24"/>
          <w:highlight w:val="none"/>
        </w:rPr>
      </w:pPr>
      <w:r>
        <w:rPr>
          <w:rFonts w:hint="eastAsia" w:hAnsi="宋体"/>
          <w:bCs/>
          <w:color w:val="auto"/>
          <w:sz w:val="24"/>
          <w:highlight w:val="none"/>
        </w:rPr>
        <w:t>电话：</w:t>
      </w:r>
      <w:r>
        <w:rPr>
          <w:rFonts w:hint="eastAsia" w:hAnsi="宋体"/>
          <w:bCs/>
          <w:color w:val="auto"/>
          <w:sz w:val="24"/>
          <w:highlight w:val="none"/>
          <w:u w:val="single"/>
        </w:rPr>
        <w:t xml:space="preserve">                                 </w:t>
      </w:r>
      <w:r>
        <w:rPr>
          <w:rFonts w:hint="eastAsia" w:hAnsi="宋体"/>
          <w:bCs/>
          <w:color w:val="auto"/>
          <w:sz w:val="24"/>
          <w:highlight w:val="none"/>
        </w:rPr>
        <w:t xml:space="preserve">  </w:t>
      </w:r>
    </w:p>
    <w:p>
      <w:pPr>
        <w:spacing w:line="360" w:lineRule="auto"/>
        <w:ind w:firstLine="481" w:firstLineChars="200"/>
        <w:rPr>
          <w:rFonts w:ascii="宋体" w:hAnsi="宋体"/>
          <w:b/>
          <w:bCs/>
          <w:color w:val="auto"/>
          <w:sz w:val="24"/>
          <w:highlight w:val="none"/>
        </w:rPr>
      </w:pPr>
    </w:p>
    <w:p>
      <w:pPr>
        <w:spacing w:line="360" w:lineRule="auto"/>
        <w:ind w:firstLine="481" w:firstLineChars="200"/>
        <w:rPr>
          <w:rFonts w:ascii="宋体" w:hAnsi="宋体"/>
          <w:bCs/>
          <w:color w:val="auto"/>
          <w:sz w:val="24"/>
          <w:highlight w:val="none"/>
        </w:rPr>
      </w:pPr>
      <w:r>
        <w:rPr>
          <w:rFonts w:hint="eastAsia" w:ascii="宋体" w:hAnsi="宋体"/>
          <w:b/>
          <w:bCs/>
          <w:color w:val="auto"/>
          <w:sz w:val="24"/>
          <w:highlight w:val="none"/>
        </w:rPr>
        <w:t>招标代理机构</w:t>
      </w:r>
      <w:r>
        <w:rPr>
          <w:rFonts w:hint="eastAsia" w:ascii="宋体" w:hAnsi="宋体"/>
          <w:color w:val="auto"/>
          <w:sz w:val="24"/>
          <w:highlight w:val="none"/>
        </w:rPr>
        <w:t>：</w:t>
      </w:r>
      <w:r>
        <w:rPr>
          <w:rFonts w:hint="eastAsia" w:ascii="宋体" w:hAnsi="宋体"/>
          <w:bCs/>
          <w:color w:val="auto"/>
          <w:sz w:val="24"/>
          <w:highlight w:val="none"/>
          <w:u w:val="single"/>
        </w:rPr>
        <w:t xml:space="preserve">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地    址：</w:t>
      </w:r>
      <w:r>
        <w:rPr>
          <w:rFonts w:hint="eastAsia" w:ascii="宋体" w:hAnsi="宋体"/>
          <w:bCs/>
          <w:color w:val="auto"/>
          <w:sz w:val="24"/>
          <w:highlight w:val="none"/>
          <w:u w:val="single"/>
        </w:rPr>
        <w:t xml:space="preserve">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邮政编码：</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联系人：</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电   话：</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w:t>
      </w:r>
    </w:p>
    <w:p>
      <w:pPr>
        <w:spacing w:line="360" w:lineRule="auto"/>
        <w:ind w:firstLine="481" w:firstLineChars="200"/>
        <w:rPr>
          <w:rFonts w:hAnsi="宋体"/>
          <w:b/>
          <w:color w:val="auto"/>
          <w:sz w:val="24"/>
          <w:highlight w:val="none"/>
        </w:rPr>
      </w:pPr>
    </w:p>
    <w:p>
      <w:pPr>
        <w:pStyle w:val="12"/>
        <w:spacing w:line="360" w:lineRule="auto"/>
        <w:ind w:firstLine="482"/>
        <w:rPr>
          <w:rFonts w:hAnsi="宋体"/>
          <w:b/>
          <w:color w:val="auto"/>
          <w:sz w:val="24"/>
          <w:highlight w:val="none"/>
        </w:rPr>
      </w:pPr>
      <w:r>
        <w:rPr>
          <w:rFonts w:hint="eastAsia" w:hAnsi="宋体"/>
          <w:b/>
          <w:color w:val="auto"/>
          <w:sz w:val="24"/>
          <w:highlight w:val="none"/>
        </w:rPr>
        <w:t>监督单位</w:t>
      </w:r>
      <w:r>
        <w:rPr>
          <w:rFonts w:hint="eastAsia" w:hAnsi="宋体"/>
          <w:color w:val="auto"/>
          <w:sz w:val="24"/>
          <w:highlight w:val="none"/>
        </w:rPr>
        <w:t>：</w:t>
      </w:r>
      <w:r>
        <w:rPr>
          <w:rFonts w:hint="eastAsia" w:hAnsi="宋体"/>
          <w:color w:val="auto"/>
          <w:sz w:val="24"/>
          <w:highlight w:val="none"/>
          <w:u w:val="single"/>
        </w:rPr>
        <w:t xml:space="preserve">                        </w:t>
      </w:r>
    </w:p>
    <w:p>
      <w:pPr>
        <w:pStyle w:val="12"/>
        <w:spacing w:line="360" w:lineRule="auto"/>
        <w:ind w:firstLine="482"/>
        <w:rPr>
          <w:rFonts w:hAnsi="宋体"/>
          <w:color w:val="auto"/>
          <w:sz w:val="24"/>
          <w:highlight w:val="none"/>
          <w:u w:val="single"/>
        </w:rPr>
      </w:pPr>
      <w:r>
        <w:rPr>
          <w:rFonts w:hint="eastAsia" w:hAnsi="宋体"/>
          <w:b/>
          <w:color w:val="auto"/>
          <w:sz w:val="24"/>
          <w:highlight w:val="none"/>
        </w:rPr>
        <w:t>联系电话：</w:t>
      </w:r>
      <w:r>
        <w:rPr>
          <w:rFonts w:hint="eastAsia" w:hAnsi="宋体"/>
          <w:color w:val="auto"/>
          <w:sz w:val="24"/>
          <w:highlight w:val="none"/>
          <w:u w:val="single"/>
        </w:rPr>
        <w:t xml:space="preserve">                         </w:t>
      </w:r>
    </w:p>
    <w:p>
      <w:pPr>
        <w:widowControl w:val="0"/>
        <w:spacing w:line="360" w:lineRule="exact"/>
        <w:ind w:firstLine="420" w:firstLineChars="200"/>
        <w:jc w:val="both"/>
        <w:rPr>
          <w:rFonts w:hint="eastAsia" w:ascii="Calibri" w:hAnsi="宋体" w:eastAsia="宋体" w:cs="黑体"/>
          <w:bCs/>
          <w:color w:val="auto"/>
          <w:kern w:val="2"/>
          <w:sz w:val="21"/>
          <w:szCs w:val="21"/>
          <w:highlight w:val="none"/>
          <w:lang w:val="en-US" w:eastAsia="zh-CN" w:bidi="ar-SA"/>
        </w:rPr>
      </w:pPr>
    </w:p>
    <w:p>
      <w:pPr>
        <w:widowControl w:val="0"/>
        <w:spacing w:line="360" w:lineRule="exact"/>
        <w:ind w:firstLine="420" w:firstLineChars="200"/>
        <w:jc w:val="both"/>
        <w:rPr>
          <w:rFonts w:ascii="Calibri" w:hAnsi="宋体" w:eastAsia="宋体" w:cs="黑体"/>
          <w:bCs/>
          <w:color w:val="auto"/>
          <w:kern w:val="2"/>
          <w:sz w:val="21"/>
          <w:szCs w:val="21"/>
          <w:highlight w:val="none"/>
          <w:u w:val="single"/>
          <w:lang w:val="en-US" w:eastAsia="zh-CN" w:bidi="ar-SA"/>
        </w:rPr>
      </w:pPr>
      <w:r>
        <w:rPr>
          <w:rFonts w:hint="eastAsia" w:ascii="Calibri" w:hAnsi="宋体" w:eastAsia="宋体" w:cs="黑体"/>
          <w:bCs/>
          <w:color w:val="auto"/>
          <w:kern w:val="2"/>
          <w:sz w:val="21"/>
          <w:szCs w:val="21"/>
          <w:highlight w:val="none"/>
          <w:lang w:val="en-US" w:eastAsia="zh-CN" w:bidi="ar-SA"/>
        </w:rPr>
        <w:t>电子交易平台联系电话</w:t>
      </w:r>
      <w:r>
        <w:rPr>
          <w:rFonts w:hint="eastAsia" w:ascii="Calibri" w:hAnsi="宋体" w:eastAsia="宋体" w:cs="黑体"/>
          <w:bCs/>
          <w:color w:val="auto"/>
          <w:kern w:val="2"/>
          <w:sz w:val="21"/>
          <w:szCs w:val="21"/>
          <w:highlight w:val="none"/>
          <w:u w:val="single"/>
          <w:lang w:val="en-US" w:eastAsia="zh-CN" w:bidi="ar-SA"/>
        </w:rPr>
        <w:t>：_________________________</w:t>
      </w:r>
    </w:p>
    <w:p>
      <w:pPr>
        <w:spacing w:line="430" w:lineRule="exact"/>
        <w:ind w:left="315" w:leftChars="150" w:firstLine="465" w:firstLineChars="194"/>
        <w:rPr>
          <w:rFonts w:ascii="宋体" w:hAnsi="宋体"/>
          <w:color w:val="auto"/>
          <w:sz w:val="24"/>
          <w:highlight w:val="none"/>
        </w:rPr>
      </w:pPr>
    </w:p>
    <w:p>
      <w:pPr>
        <w:spacing w:line="430" w:lineRule="exact"/>
        <w:ind w:left="315" w:leftChars="150" w:firstLine="465" w:firstLineChars="194"/>
        <w:rPr>
          <w:color w:val="auto"/>
          <w:highlight w:val="none"/>
        </w:rPr>
      </w:pPr>
      <w:r>
        <w:rPr>
          <w:rFonts w:ascii="宋体" w:hAnsi="宋体"/>
          <w:color w:val="auto"/>
          <w:sz w:val="24"/>
          <w:highlight w:val="none"/>
        </w:rPr>
        <w:t xml:space="preserve">                                </w:t>
      </w:r>
      <w:r>
        <w:rPr>
          <w:rFonts w:ascii="宋体" w:hAnsi="宋体"/>
          <w:color w:val="auto"/>
          <w:spacing w:val="210"/>
          <w:kern w:val="0"/>
          <w:sz w:val="24"/>
          <w:highlight w:val="none"/>
        </w:rPr>
        <w:t>日</w:t>
      </w:r>
      <w:r>
        <w:rPr>
          <w:rFonts w:ascii="宋体" w:hAnsi="宋体"/>
          <w:color w:val="auto"/>
          <w:kern w:val="0"/>
          <w:sz w:val="24"/>
          <w:highlight w:val="none"/>
        </w:rPr>
        <w:t>期</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日 </w:t>
      </w:r>
    </w:p>
    <w:p>
      <w:pPr>
        <w:pStyle w:val="3"/>
        <w:pageBreakBefore/>
        <w:rPr>
          <w:color w:val="auto"/>
          <w:highlight w:val="none"/>
        </w:rPr>
      </w:pPr>
      <w:bookmarkStart w:id="23" w:name="_Toc488650769"/>
      <w:r>
        <w:rPr>
          <w:rFonts w:hint="eastAsia"/>
          <w:color w:val="auto"/>
          <w:highlight w:val="none"/>
        </w:rPr>
        <w:t>第二章  投标人须知</w:t>
      </w:r>
      <w:bookmarkEnd w:id="23"/>
    </w:p>
    <w:p>
      <w:pPr>
        <w:pStyle w:val="4"/>
        <w:spacing w:before="0" w:after="120"/>
        <w:jc w:val="center"/>
        <w:rPr>
          <w:rFonts w:hint="eastAsia"/>
          <w:color w:val="auto"/>
          <w:highlight w:val="none"/>
        </w:rPr>
      </w:pPr>
      <w:bookmarkStart w:id="24" w:name="_Toc487291452"/>
      <w:bookmarkStart w:id="25" w:name="_Toc488650770"/>
      <w:r>
        <w:rPr>
          <w:rFonts w:hint="eastAsia"/>
          <w:color w:val="auto"/>
          <w:highlight w:val="none"/>
        </w:rPr>
        <w:t>投标人须知前附表</w:t>
      </w:r>
      <w:bookmarkEnd w:id="24"/>
      <w:bookmarkEnd w:id="25"/>
    </w:p>
    <w:p>
      <w:pPr>
        <w:jc w:val="left"/>
        <w:rPr>
          <w:color w:val="auto"/>
          <w:highlight w:val="none"/>
        </w:rPr>
      </w:pPr>
      <w:r>
        <w:rPr>
          <w:rFonts w:hint="eastAsia" w:cs="Times New Roman"/>
          <w:color w:val="auto"/>
          <w:highlight w:val="none"/>
        </w:rPr>
        <w:t>说明：投标人须知前附表是投标人须知的修改和补充，不一致的以前附表内容为准。</w:t>
      </w:r>
    </w:p>
    <w:tbl>
      <w:tblPr>
        <w:tblStyle w:val="43"/>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57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008" w:type="dxa"/>
            <w:noWrap w:val="0"/>
            <w:vAlign w:val="center"/>
          </w:tcPr>
          <w:p>
            <w:pPr>
              <w:spacing w:line="360" w:lineRule="exact"/>
              <w:jc w:val="center"/>
              <w:rPr>
                <w:b/>
                <w:color w:val="auto"/>
                <w:sz w:val="24"/>
                <w:highlight w:val="none"/>
              </w:rPr>
            </w:pPr>
            <w:r>
              <w:rPr>
                <w:rFonts w:hint="eastAsia"/>
                <w:b/>
                <w:color w:val="auto"/>
                <w:sz w:val="24"/>
                <w:highlight w:val="none"/>
              </w:rPr>
              <w:t>条款号</w:t>
            </w:r>
          </w:p>
        </w:tc>
        <w:tc>
          <w:tcPr>
            <w:tcW w:w="2880" w:type="dxa"/>
            <w:noWrap w:val="0"/>
            <w:vAlign w:val="center"/>
          </w:tcPr>
          <w:p>
            <w:pPr>
              <w:spacing w:line="360" w:lineRule="exact"/>
              <w:jc w:val="center"/>
              <w:rPr>
                <w:b/>
                <w:color w:val="auto"/>
                <w:sz w:val="24"/>
                <w:highlight w:val="none"/>
              </w:rPr>
            </w:pPr>
            <w:r>
              <w:rPr>
                <w:rFonts w:hint="eastAsia"/>
                <w:b/>
                <w:color w:val="auto"/>
                <w:sz w:val="24"/>
                <w:highlight w:val="none"/>
              </w:rPr>
              <w:t>条 款 名 称</w:t>
            </w:r>
          </w:p>
        </w:tc>
        <w:tc>
          <w:tcPr>
            <w:tcW w:w="5718" w:type="dxa"/>
            <w:noWrap w:val="0"/>
            <w:vAlign w:val="center"/>
          </w:tcPr>
          <w:p>
            <w:pPr>
              <w:spacing w:line="360" w:lineRule="exact"/>
              <w:jc w:val="center"/>
              <w:rPr>
                <w:b/>
                <w:color w:val="auto"/>
                <w:sz w:val="24"/>
                <w:highlight w:val="none"/>
              </w:rPr>
            </w:pPr>
            <w:r>
              <w:rPr>
                <w:rFonts w:hint="eastAsia"/>
                <w:b/>
                <w:color w:val="auto"/>
                <w:sz w:val="24"/>
                <w:highlight w:val="none"/>
              </w:rPr>
              <w:t>编 列 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8" w:type="dxa"/>
            <w:noWrap w:val="0"/>
            <w:vAlign w:val="center"/>
          </w:tcPr>
          <w:p>
            <w:pPr>
              <w:spacing w:line="360" w:lineRule="exact"/>
              <w:jc w:val="center"/>
              <w:rPr>
                <w:color w:val="auto"/>
                <w:szCs w:val="21"/>
                <w:highlight w:val="none"/>
              </w:rPr>
            </w:pPr>
            <w:r>
              <w:rPr>
                <w:color w:val="auto"/>
                <w:szCs w:val="21"/>
                <w:highlight w:val="none"/>
              </w:rPr>
              <w:t>1.1.2</w:t>
            </w:r>
          </w:p>
        </w:tc>
        <w:tc>
          <w:tcPr>
            <w:tcW w:w="2880" w:type="dxa"/>
            <w:noWrap w:val="0"/>
            <w:vAlign w:val="center"/>
          </w:tcPr>
          <w:p>
            <w:pPr>
              <w:spacing w:line="360" w:lineRule="exact"/>
              <w:jc w:val="center"/>
              <w:rPr>
                <w:color w:val="auto"/>
                <w:szCs w:val="21"/>
                <w:highlight w:val="none"/>
              </w:rPr>
            </w:pPr>
            <w:r>
              <w:rPr>
                <w:color w:val="auto"/>
                <w:szCs w:val="21"/>
                <w:highlight w:val="none"/>
              </w:rPr>
              <w:t>招标人</w:t>
            </w:r>
          </w:p>
        </w:tc>
        <w:tc>
          <w:tcPr>
            <w:tcW w:w="5718" w:type="dxa"/>
            <w:noWrap w:val="0"/>
            <w:vAlign w:val="center"/>
          </w:tcPr>
          <w:p>
            <w:pPr>
              <w:tabs>
                <w:tab w:val="left" w:pos="480"/>
              </w:tabs>
              <w:adjustRightInd w:val="0"/>
              <w:snapToGrid w:val="0"/>
              <w:spacing w:line="324"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招标人：</w:t>
            </w:r>
            <w:r>
              <w:rPr>
                <w:rFonts w:hint="eastAsia" w:ascii="宋体" w:hAnsi="宋体" w:cs="宋体"/>
                <w:snapToGrid w:val="0"/>
                <w:color w:val="auto"/>
                <w:kern w:val="0"/>
                <w:szCs w:val="21"/>
                <w:highlight w:val="none"/>
                <w:u w:val="single"/>
              </w:rPr>
              <w:t xml:space="preserve">                                 </w:t>
            </w:r>
          </w:p>
          <w:p>
            <w:pPr>
              <w:tabs>
                <w:tab w:val="left" w:pos="480"/>
              </w:tabs>
              <w:adjustRightInd w:val="0"/>
              <w:snapToGrid w:val="0"/>
              <w:spacing w:line="324"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地址：</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w:t>
            </w:r>
          </w:p>
          <w:p>
            <w:pPr>
              <w:tabs>
                <w:tab w:val="left" w:pos="480"/>
              </w:tabs>
              <w:adjustRightInd w:val="0"/>
              <w:snapToGrid w:val="0"/>
              <w:spacing w:line="324"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联系人：</w:t>
            </w:r>
            <w:r>
              <w:rPr>
                <w:rFonts w:hint="eastAsia" w:ascii="宋体" w:hAnsi="宋体" w:cs="宋体"/>
                <w:snapToGrid w:val="0"/>
                <w:color w:val="auto"/>
                <w:kern w:val="0"/>
                <w:szCs w:val="21"/>
                <w:highlight w:val="none"/>
                <w:u w:val="single"/>
              </w:rPr>
              <w:t xml:space="preserve">                   </w:t>
            </w:r>
          </w:p>
          <w:p>
            <w:pPr>
              <w:tabs>
                <w:tab w:val="left" w:pos="480"/>
              </w:tabs>
              <w:adjustRightInd w:val="0"/>
              <w:snapToGrid w:val="0"/>
              <w:spacing w:line="324"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电话：</w:t>
            </w:r>
            <w:r>
              <w:rPr>
                <w:rFonts w:hint="eastAsia" w:ascii="宋体" w:hAnsi="宋体" w:cs="宋体"/>
                <w:snapToGrid w:val="0"/>
                <w:color w:val="auto"/>
                <w:kern w:val="0"/>
                <w:szCs w:val="21"/>
                <w:highlight w:val="none"/>
                <w:u w:val="single"/>
              </w:rPr>
              <w:t xml:space="preserve">                     </w:t>
            </w:r>
          </w:p>
          <w:p>
            <w:pPr>
              <w:tabs>
                <w:tab w:val="left" w:pos="480"/>
              </w:tabs>
              <w:adjustRightInd w:val="0"/>
              <w:snapToGrid w:val="0"/>
              <w:spacing w:line="324" w:lineRule="auto"/>
              <w:ind w:firstLine="420" w:firstLineChars="200"/>
              <w:rPr>
                <w:rFonts w:ascii="宋体" w:hAnsi="宋体" w:cs="宋体"/>
                <w:color w:val="auto"/>
                <w:szCs w:val="21"/>
                <w:highlight w:val="none"/>
                <w:u w:val="single"/>
              </w:rPr>
            </w:pPr>
            <w:r>
              <w:rPr>
                <w:rFonts w:hint="eastAsia" w:ascii="宋体" w:hAnsi="宋体" w:cs="宋体"/>
                <w:snapToGrid w:val="0"/>
                <w:color w:val="auto"/>
                <w:kern w:val="0"/>
                <w:szCs w:val="21"/>
                <w:highlight w:val="none"/>
              </w:rPr>
              <w:t>传真：</w:t>
            </w:r>
            <w:r>
              <w:rPr>
                <w:rFonts w:hint="eastAsia" w:ascii="宋体" w:hAnsi="宋体" w:cs="宋体"/>
                <w:snapToGrid w:val="0"/>
                <w:color w:val="auto"/>
                <w:kern w:val="0"/>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8" w:type="dxa"/>
            <w:noWrap w:val="0"/>
            <w:vAlign w:val="center"/>
          </w:tcPr>
          <w:p>
            <w:pPr>
              <w:spacing w:line="360" w:lineRule="exact"/>
              <w:jc w:val="center"/>
              <w:rPr>
                <w:color w:val="auto"/>
                <w:szCs w:val="21"/>
                <w:highlight w:val="none"/>
              </w:rPr>
            </w:pPr>
            <w:r>
              <w:rPr>
                <w:color w:val="auto"/>
                <w:szCs w:val="21"/>
                <w:highlight w:val="none"/>
              </w:rPr>
              <w:t>1.1.3</w:t>
            </w:r>
          </w:p>
        </w:tc>
        <w:tc>
          <w:tcPr>
            <w:tcW w:w="2880" w:type="dxa"/>
            <w:noWrap w:val="0"/>
            <w:vAlign w:val="center"/>
          </w:tcPr>
          <w:p>
            <w:pPr>
              <w:spacing w:line="360" w:lineRule="exact"/>
              <w:jc w:val="center"/>
              <w:rPr>
                <w:color w:val="auto"/>
                <w:szCs w:val="21"/>
                <w:highlight w:val="none"/>
              </w:rPr>
            </w:pPr>
            <w:r>
              <w:rPr>
                <w:color w:val="auto"/>
                <w:szCs w:val="21"/>
                <w:highlight w:val="none"/>
              </w:rPr>
              <w:t>招标代理机构</w:t>
            </w:r>
          </w:p>
        </w:tc>
        <w:tc>
          <w:tcPr>
            <w:tcW w:w="5718" w:type="dxa"/>
            <w:noWrap w:val="0"/>
            <w:vAlign w:val="center"/>
          </w:tcPr>
          <w:p>
            <w:pPr>
              <w:tabs>
                <w:tab w:val="left" w:pos="480"/>
              </w:tabs>
              <w:adjustRightInd w:val="0"/>
              <w:snapToGrid w:val="0"/>
              <w:spacing w:line="324"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招标代理机构：</w:t>
            </w:r>
            <w:r>
              <w:rPr>
                <w:rFonts w:hint="eastAsia" w:ascii="宋体" w:hAnsi="宋体" w:cs="宋体"/>
                <w:snapToGrid w:val="0"/>
                <w:color w:val="auto"/>
                <w:kern w:val="0"/>
                <w:szCs w:val="21"/>
                <w:highlight w:val="none"/>
                <w:u w:val="single"/>
              </w:rPr>
              <w:t xml:space="preserve">                           </w:t>
            </w:r>
          </w:p>
          <w:p>
            <w:pPr>
              <w:tabs>
                <w:tab w:val="left" w:pos="480"/>
              </w:tabs>
              <w:adjustRightInd w:val="0"/>
              <w:snapToGrid w:val="0"/>
              <w:spacing w:line="324"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地址：</w:t>
            </w:r>
            <w:r>
              <w:rPr>
                <w:rFonts w:hint="eastAsia" w:ascii="宋体" w:hAnsi="宋体" w:cs="宋体"/>
                <w:snapToGrid w:val="0"/>
                <w:color w:val="auto"/>
                <w:kern w:val="0"/>
                <w:szCs w:val="21"/>
                <w:highlight w:val="none"/>
                <w:u w:val="single"/>
              </w:rPr>
              <w:t xml:space="preserve">                                   </w:t>
            </w:r>
          </w:p>
          <w:p>
            <w:pPr>
              <w:tabs>
                <w:tab w:val="left" w:pos="480"/>
              </w:tabs>
              <w:adjustRightInd w:val="0"/>
              <w:snapToGrid w:val="0"/>
              <w:spacing w:line="324"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w:t>
            </w:r>
          </w:p>
          <w:p>
            <w:pPr>
              <w:tabs>
                <w:tab w:val="left" w:pos="480"/>
              </w:tabs>
              <w:adjustRightInd w:val="0"/>
              <w:snapToGrid w:val="0"/>
              <w:spacing w:line="324"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w:t>
            </w:r>
          </w:p>
          <w:p>
            <w:pPr>
              <w:tabs>
                <w:tab w:val="left" w:pos="480"/>
              </w:tabs>
              <w:adjustRightInd w:val="0"/>
              <w:snapToGrid w:val="0"/>
              <w:spacing w:line="324"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传真：</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w:t>
            </w:r>
          </w:p>
          <w:p>
            <w:pPr>
              <w:tabs>
                <w:tab w:val="left" w:pos="480"/>
              </w:tabs>
              <w:adjustRightInd w:val="0"/>
              <w:snapToGrid w:val="0"/>
              <w:spacing w:line="324" w:lineRule="auto"/>
              <w:ind w:firstLine="420" w:firstLineChars="200"/>
              <w:rPr>
                <w:rFonts w:ascii="宋体" w:hAnsi="宋体" w:cs="宋体"/>
                <w:color w:val="auto"/>
                <w:szCs w:val="21"/>
                <w:highlight w:val="none"/>
                <w:u w:val="single"/>
              </w:rPr>
            </w:pPr>
            <w:r>
              <w:rPr>
                <w:rFonts w:hint="eastAsia" w:ascii="宋体" w:hAnsi="宋体" w:cs="宋体"/>
                <w:snapToGrid w:val="0"/>
                <w:color w:val="auto"/>
                <w:kern w:val="0"/>
                <w:szCs w:val="21"/>
                <w:highlight w:val="none"/>
              </w:rPr>
              <w:t>电子邮箱：</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1.1.4</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项目名称</w:t>
            </w:r>
          </w:p>
        </w:tc>
        <w:tc>
          <w:tcPr>
            <w:tcW w:w="5718" w:type="dxa"/>
            <w:noWrap w:val="0"/>
            <w:vAlign w:val="center"/>
          </w:tcPr>
          <w:p>
            <w:pPr>
              <w:spacing w:line="324" w:lineRule="auto"/>
              <w:ind w:firstLine="420" w:firstLineChars="200"/>
              <w:rPr>
                <w:rFonts w:ascii="宋体" w:hAnsi="宋体" w:cs="宋体"/>
                <w:color w:val="auto"/>
                <w:kern w:val="32"/>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施工监理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1.1.5</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建设地点</w:t>
            </w:r>
          </w:p>
        </w:tc>
        <w:tc>
          <w:tcPr>
            <w:tcW w:w="5718" w:type="dxa"/>
            <w:noWrap w:val="0"/>
            <w:vAlign w:val="center"/>
          </w:tcPr>
          <w:p>
            <w:pPr>
              <w:spacing w:line="324" w:lineRule="auto"/>
              <w:ind w:firstLine="420" w:firstLineChars="200"/>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1.1.6</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规模</w:t>
            </w:r>
          </w:p>
        </w:tc>
        <w:tc>
          <w:tcPr>
            <w:tcW w:w="5718" w:type="dxa"/>
            <w:noWrap w:val="0"/>
            <w:vAlign w:val="center"/>
          </w:tcPr>
          <w:p>
            <w:pPr>
              <w:spacing w:line="324" w:lineRule="auto"/>
              <w:ind w:firstLine="420" w:firstLineChars="200"/>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1.2.1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资金来源</w:t>
            </w:r>
          </w:p>
        </w:tc>
        <w:tc>
          <w:tcPr>
            <w:tcW w:w="5718" w:type="dxa"/>
            <w:noWrap w:val="0"/>
            <w:vAlign w:val="center"/>
          </w:tcPr>
          <w:p>
            <w:pPr>
              <w:pStyle w:val="41"/>
              <w:spacing w:after="0" w:line="324" w:lineRule="auto"/>
              <w:ind w:firstLineChars="200"/>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1.2.2</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资金落实情况</w:t>
            </w:r>
          </w:p>
        </w:tc>
        <w:tc>
          <w:tcPr>
            <w:tcW w:w="5718" w:type="dxa"/>
            <w:noWrap w:val="0"/>
            <w:vAlign w:val="center"/>
          </w:tcPr>
          <w:p>
            <w:pPr>
              <w:pStyle w:val="41"/>
              <w:spacing w:after="0" w:line="324" w:lineRule="auto"/>
              <w:ind w:firstLineChars="200"/>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1.3.1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本次招标范围</w:t>
            </w:r>
          </w:p>
        </w:tc>
        <w:tc>
          <w:tcPr>
            <w:tcW w:w="5718" w:type="dxa"/>
            <w:noWrap w:val="0"/>
            <w:vAlign w:val="center"/>
          </w:tcPr>
          <w:p>
            <w:pPr>
              <w:pStyle w:val="41"/>
              <w:spacing w:after="0" w:line="324" w:lineRule="auto"/>
              <w:ind w:firstLineChars="200"/>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1.3.2</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监理服务阶段</w:t>
            </w:r>
          </w:p>
        </w:tc>
        <w:tc>
          <w:tcPr>
            <w:tcW w:w="5718" w:type="dxa"/>
            <w:noWrap w:val="0"/>
            <w:vAlign w:val="center"/>
          </w:tcPr>
          <w:p>
            <w:pPr>
              <w:pStyle w:val="41"/>
              <w:spacing w:after="0" w:line="324" w:lineRule="auto"/>
              <w:ind w:firstLineChars="200"/>
              <w:rPr>
                <w:rFonts w:ascii="宋体" w:hAnsi="宋体" w:cs="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1.3.3</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监理工作范围</w:t>
            </w:r>
          </w:p>
        </w:tc>
        <w:tc>
          <w:tcPr>
            <w:tcW w:w="5718" w:type="dxa"/>
            <w:noWrap w:val="0"/>
            <w:vAlign w:val="center"/>
          </w:tcPr>
          <w:p>
            <w:pPr>
              <w:spacing w:line="324" w:lineRule="auto"/>
              <w:ind w:firstLine="420" w:firstLineChars="200"/>
              <w:rPr>
                <w:rFonts w:ascii="宋体" w:hAnsi="宋体" w:cs="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1.3.4</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施工工期和监理服务期</w:t>
            </w:r>
          </w:p>
        </w:tc>
        <w:tc>
          <w:tcPr>
            <w:tcW w:w="5718" w:type="dxa"/>
            <w:noWrap w:val="0"/>
            <w:vAlign w:val="center"/>
          </w:tcPr>
          <w:p>
            <w:pPr>
              <w:spacing w:line="324" w:lineRule="auto"/>
              <w:ind w:firstLine="420" w:firstLineChars="200"/>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1.4.1</w:t>
            </w:r>
          </w:p>
          <w:p>
            <w:pPr>
              <w:pStyle w:val="41"/>
              <w:spacing w:after="0" w:line="360" w:lineRule="exact"/>
              <w:ind w:firstLine="0" w:firstLineChars="0"/>
              <w:jc w:val="center"/>
              <w:rPr>
                <w:color w:val="auto"/>
                <w:szCs w:val="21"/>
                <w:highlight w:val="none"/>
              </w:rPr>
            </w:pPr>
            <w:r>
              <w:rPr>
                <w:rFonts w:hint="eastAsia"/>
                <w:color w:val="auto"/>
                <w:szCs w:val="21"/>
                <w:highlight w:val="none"/>
              </w:rPr>
              <w:t>（1）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资质条件</w:t>
            </w:r>
          </w:p>
        </w:tc>
        <w:tc>
          <w:tcPr>
            <w:tcW w:w="5718" w:type="dxa"/>
            <w:noWrap w:val="0"/>
            <w:vAlign w:val="center"/>
          </w:tcPr>
          <w:p>
            <w:pPr>
              <w:spacing w:line="324" w:lineRule="auto"/>
              <w:rPr>
                <w:rFonts w:ascii="宋体" w:hAnsi="宋体" w:cs="宋体"/>
                <w:color w:val="auto"/>
                <w:szCs w:val="21"/>
                <w:highlight w:val="none"/>
              </w:rPr>
            </w:pPr>
            <w:r>
              <w:rPr>
                <w:rFonts w:hint="eastAsia" w:ascii="宋体" w:hAnsi="宋体" w:cs="宋体"/>
                <w:color w:val="auto"/>
                <w:szCs w:val="21"/>
                <w:highlight w:val="none"/>
              </w:rPr>
              <w:t>详见附件1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1.4.1</w:t>
            </w:r>
          </w:p>
          <w:p>
            <w:pPr>
              <w:pStyle w:val="41"/>
              <w:spacing w:after="0" w:line="360" w:lineRule="exact"/>
              <w:ind w:firstLine="0" w:firstLineChars="0"/>
              <w:jc w:val="center"/>
              <w:rPr>
                <w:color w:val="auto"/>
                <w:szCs w:val="21"/>
                <w:highlight w:val="none"/>
              </w:rPr>
            </w:pPr>
            <w:r>
              <w:rPr>
                <w:rFonts w:hint="eastAsia"/>
                <w:color w:val="auto"/>
                <w:szCs w:val="21"/>
                <w:highlight w:val="none"/>
              </w:rPr>
              <w:t>（2）</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信誉要求</w:t>
            </w:r>
          </w:p>
        </w:tc>
        <w:tc>
          <w:tcPr>
            <w:tcW w:w="5718" w:type="dxa"/>
            <w:noWrap w:val="0"/>
            <w:vAlign w:val="center"/>
          </w:tcPr>
          <w:p>
            <w:pPr>
              <w:spacing w:line="324" w:lineRule="auto"/>
              <w:rPr>
                <w:rFonts w:ascii="宋体" w:hAnsi="宋体" w:cs="宋体"/>
                <w:color w:val="auto"/>
                <w:szCs w:val="21"/>
                <w:highlight w:val="none"/>
              </w:rPr>
            </w:pPr>
            <w:r>
              <w:rPr>
                <w:rFonts w:hint="eastAsia" w:ascii="宋体" w:hAnsi="宋体" w:cs="宋体"/>
                <w:color w:val="auto"/>
                <w:szCs w:val="21"/>
                <w:highlight w:val="none"/>
              </w:rPr>
              <w:t>详见附件2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1.4.1</w:t>
            </w:r>
          </w:p>
          <w:p>
            <w:pPr>
              <w:pStyle w:val="41"/>
              <w:spacing w:after="0" w:line="360" w:lineRule="exact"/>
              <w:ind w:firstLine="0" w:firstLineChars="0"/>
              <w:jc w:val="center"/>
              <w:rPr>
                <w:color w:val="auto"/>
                <w:szCs w:val="21"/>
                <w:highlight w:val="none"/>
              </w:rPr>
            </w:pPr>
            <w:r>
              <w:rPr>
                <w:rFonts w:hint="eastAsia"/>
                <w:color w:val="auto"/>
                <w:szCs w:val="21"/>
                <w:highlight w:val="none"/>
              </w:rPr>
              <w:t>（3）</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业绩要求</w:t>
            </w:r>
          </w:p>
        </w:tc>
        <w:tc>
          <w:tcPr>
            <w:tcW w:w="5718" w:type="dxa"/>
            <w:noWrap w:val="0"/>
            <w:vAlign w:val="center"/>
          </w:tcPr>
          <w:p>
            <w:pPr>
              <w:spacing w:line="324" w:lineRule="auto"/>
              <w:rPr>
                <w:rFonts w:ascii="宋体" w:hAnsi="宋体" w:cs="宋体"/>
                <w:color w:val="auto"/>
                <w:szCs w:val="21"/>
                <w:highlight w:val="none"/>
              </w:rPr>
            </w:pPr>
            <w:r>
              <w:rPr>
                <w:rFonts w:hint="eastAsia" w:ascii="宋体" w:hAnsi="宋体" w:cs="宋体"/>
                <w:color w:val="auto"/>
                <w:szCs w:val="21"/>
                <w:highlight w:val="none"/>
              </w:rPr>
              <w:t>详见附件3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1.4.1</w:t>
            </w:r>
          </w:p>
          <w:p>
            <w:pPr>
              <w:pStyle w:val="41"/>
              <w:spacing w:after="0" w:line="360" w:lineRule="exact"/>
              <w:ind w:firstLine="0" w:firstLineChars="0"/>
              <w:jc w:val="center"/>
              <w:rPr>
                <w:color w:val="auto"/>
                <w:szCs w:val="21"/>
                <w:highlight w:val="none"/>
              </w:rPr>
            </w:pPr>
            <w:r>
              <w:rPr>
                <w:rFonts w:hint="eastAsia"/>
                <w:color w:val="auto"/>
                <w:szCs w:val="21"/>
                <w:highlight w:val="none"/>
              </w:rPr>
              <w:t>（4）</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主要人员资格要求</w:t>
            </w:r>
          </w:p>
        </w:tc>
        <w:tc>
          <w:tcPr>
            <w:tcW w:w="5718" w:type="dxa"/>
            <w:noWrap w:val="0"/>
            <w:vAlign w:val="center"/>
          </w:tcPr>
          <w:p>
            <w:pPr>
              <w:spacing w:line="324" w:lineRule="auto"/>
              <w:rPr>
                <w:rFonts w:ascii="宋体" w:hAnsi="宋体" w:cs="宋体"/>
                <w:color w:val="auto"/>
                <w:szCs w:val="21"/>
                <w:highlight w:val="none"/>
              </w:rPr>
            </w:pPr>
            <w:r>
              <w:rPr>
                <w:rFonts w:hint="eastAsia" w:ascii="宋体" w:hAnsi="宋体" w:cs="宋体"/>
                <w:color w:val="auto"/>
                <w:szCs w:val="21"/>
                <w:highlight w:val="none"/>
              </w:rPr>
              <w:t>详见附件4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1.4.1</w:t>
            </w:r>
          </w:p>
          <w:p>
            <w:pPr>
              <w:pStyle w:val="41"/>
              <w:spacing w:after="0" w:line="360" w:lineRule="exact"/>
              <w:ind w:firstLine="0" w:firstLineChars="0"/>
              <w:jc w:val="center"/>
              <w:rPr>
                <w:color w:val="auto"/>
                <w:szCs w:val="21"/>
                <w:highlight w:val="none"/>
              </w:rPr>
            </w:pPr>
            <w:r>
              <w:rPr>
                <w:rFonts w:hint="eastAsia"/>
                <w:color w:val="auto"/>
                <w:szCs w:val="21"/>
                <w:highlight w:val="none"/>
              </w:rPr>
              <w:t>（5）</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财务要求</w:t>
            </w:r>
          </w:p>
        </w:tc>
        <w:tc>
          <w:tcPr>
            <w:tcW w:w="5718" w:type="dxa"/>
            <w:noWrap w:val="0"/>
            <w:vAlign w:val="center"/>
          </w:tcPr>
          <w:p>
            <w:pPr>
              <w:spacing w:line="324" w:lineRule="auto"/>
              <w:rPr>
                <w:rFonts w:ascii="宋体" w:hAnsi="宋体" w:cs="宋体"/>
                <w:color w:val="auto"/>
                <w:szCs w:val="21"/>
                <w:highlight w:val="none"/>
              </w:rPr>
            </w:pPr>
            <w:r>
              <w:rPr>
                <w:rFonts w:hint="eastAsia" w:ascii="宋体" w:hAnsi="宋体" w:cs="宋体"/>
                <w:color w:val="auto"/>
                <w:szCs w:val="21"/>
                <w:highlight w:val="none"/>
              </w:rPr>
              <w:t>详见附件5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1.4.1</w:t>
            </w:r>
          </w:p>
          <w:p>
            <w:pPr>
              <w:pStyle w:val="41"/>
              <w:spacing w:after="0" w:line="360" w:lineRule="exact"/>
              <w:ind w:firstLine="0" w:firstLineChars="0"/>
              <w:jc w:val="center"/>
              <w:rPr>
                <w:color w:val="auto"/>
                <w:szCs w:val="21"/>
                <w:highlight w:val="none"/>
              </w:rPr>
            </w:pPr>
            <w:r>
              <w:rPr>
                <w:rFonts w:hint="eastAsia"/>
                <w:color w:val="auto"/>
                <w:szCs w:val="21"/>
                <w:highlight w:val="none"/>
              </w:rPr>
              <w:t>（6）</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其他要求</w:t>
            </w:r>
          </w:p>
        </w:tc>
        <w:tc>
          <w:tcPr>
            <w:tcW w:w="5718" w:type="dxa"/>
            <w:noWrap w:val="0"/>
            <w:vAlign w:val="center"/>
          </w:tcPr>
          <w:p>
            <w:pPr>
              <w:spacing w:line="324" w:lineRule="auto"/>
              <w:rPr>
                <w:rFonts w:ascii="宋体" w:hAnsi="宋体" w:cs="宋体"/>
                <w:color w:val="auto"/>
                <w:szCs w:val="21"/>
                <w:highlight w:val="none"/>
              </w:rPr>
            </w:pPr>
            <w:r>
              <w:rPr>
                <w:rFonts w:hint="eastAsia" w:ascii="宋体" w:hAnsi="宋体" w:cs="宋体"/>
                <w:color w:val="auto"/>
                <w:szCs w:val="21"/>
                <w:highlight w:val="none"/>
              </w:rPr>
              <w:t>详见附件6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1.4.2</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是否接受联合体投标</w:t>
            </w:r>
          </w:p>
        </w:tc>
        <w:tc>
          <w:tcPr>
            <w:tcW w:w="5718" w:type="dxa"/>
            <w:noWrap w:val="0"/>
            <w:vAlign w:val="center"/>
          </w:tcPr>
          <w:p>
            <w:pPr>
              <w:widowControl/>
              <w:numPr>
                <w:ilvl w:val="-1"/>
                <w:numId w:val="0"/>
              </w:numPr>
              <w:spacing w:after="0" w:line="360" w:lineRule="exact"/>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□不接受</w:t>
            </w:r>
          </w:p>
          <w:p>
            <w:pPr>
              <w:widowControl/>
              <w:numPr>
                <w:ilvl w:val="-1"/>
                <w:numId w:val="0"/>
              </w:numPr>
              <w:spacing w:after="0" w:line="360" w:lineRule="exact"/>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□接受，应满足下列要求：</w:t>
            </w:r>
          </w:p>
          <w:p>
            <w:pPr>
              <w:numPr>
                <w:ilvl w:val="0"/>
                <w:numId w:val="2"/>
              </w:numPr>
              <w:spacing w:line="360" w:lineRule="exact"/>
              <w:jc w:val="left"/>
              <w:textAlignment w:val="center"/>
              <w:rPr>
                <w:rFonts w:hint="eastAsia" w:ascii="宋体" w:hAnsi="宋体" w:cs="Times New Roman"/>
                <w:bCs/>
                <w:color w:val="auto"/>
                <w:szCs w:val="21"/>
                <w:highlight w:val="none"/>
              </w:rPr>
            </w:pPr>
            <w:r>
              <w:rPr>
                <w:rFonts w:hint="eastAsia" w:ascii="宋体" w:hAnsi="宋体" w:cs="Times New Roman"/>
                <w:bCs/>
                <w:color w:val="auto"/>
                <w:szCs w:val="21"/>
                <w:highlight w:val="none"/>
              </w:rPr>
              <w:t>联合体所有成员数量不得超过3家；</w:t>
            </w:r>
          </w:p>
          <w:p>
            <w:pPr>
              <w:numPr>
                <w:ilvl w:val="0"/>
                <w:numId w:val="2"/>
              </w:numPr>
              <w:spacing w:after="0" w:line="360" w:lineRule="exact"/>
              <w:ind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投标人的信用等级按联合体牵头人的信用等级确定。</w:t>
            </w:r>
          </w:p>
          <w:p>
            <w:pPr>
              <w:numPr>
                <w:ilvl w:val="0"/>
                <w:numId w:val="2"/>
              </w:numPr>
              <w:spacing w:after="0" w:line="360" w:lineRule="exact"/>
              <w:ind w:firstLineChars="200"/>
              <w:jc w:val="left"/>
              <w:textAlignment w:val="center"/>
              <w:rPr>
                <w:rFonts w:ascii="宋体" w:hAnsi="宋体" w:cs="宋体"/>
                <w:color w:val="auto"/>
                <w:szCs w:val="21"/>
                <w:highlight w:val="none"/>
              </w:rPr>
            </w:pPr>
            <w:r>
              <w:rPr>
                <w:rFonts w:hint="eastAsia" w:ascii="宋体" w:hAnsi="宋体" w:eastAsia="宋体" w:cs="宋体"/>
                <w:color w:val="auto"/>
                <w:kern w:val="2"/>
                <w:sz w:val="21"/>
                <w:szCs w:val="21"/>
                <w:highlight w:val="none"/>
                <w:u w:val="single"/>
                <w:lang w:val="en-US" w:eastAsia="zh-CN" w:bidi="ar-SA"/>
              </w:rPr>
              <w:t xml:space="preserve">联合体要求：_____________________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1.9.1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踏勘现场</w:t>
            </w:r>
          </w:p>
        </w:tc>
        <w:tc>
          <w:tcPr>
            <w:tcW w:w="5718" w:type="dxa"/>
            <w:noWrap w:val="0"/>
            <w:vAlign w:val="center"/>
          </w:tcPr>
          <w:p>
            <w:pPr>
              <w:spacing w:line="324" w:lineRule="auto"/>
              <w:rPr>
                <w:rFonts w:ascii="宋体" w:hAnsi="宋体" w:cs="宋体"/>
                <w:color w:val="auto"/>
                <w:szCs w:val="21"/>
                <w:highlight w:val="none"/>
              </w:rPr>
            </w:pPr>
            <w:r>
              <w:rPr>
                <w:rFonts w:hint="eastAsia" w:ascii="宋体" w:hAnsi="宋体" w:cs="宋体"/>
                <w:color w:val="auto"/>
                <w:szCs w:val="21"/>
                <w:highlight w:val="none"/>
              </w:rPr>
              <w:t>不组织，投标人自行现场考察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1.10.1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投标预备会</w:t>
            </w:r>
          </w:p>
        </w:tc>
        <w:tc>
          <w:tcPr>
            <w:tcW w:w="5718" w:type="dxa"/>
            <w:noWrap w:val="0"/>
            <w:vAlign w:val="center"/>
          </w:tcPr>
          <w:p>
            <w:pPr>
              <w:spacing w:line="324" w:lineRule="auto"/>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1.10.2</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投标人提出问题的截止时间</w:t>
            </w:r>
          </w:p>
        </w:tc>
        <w:tc>
          <w:tcPr>
            <w:tcW w:w="5718" w:type="dxa"/>
            <w:noWrap w:val="0"/>
            <w:vAlign w:val="center"/>
          </w:tcPr>
          <w:p>
            <w:pPr>
              <w:spacing w:line="324" w:lineRule="auto"/>
              <w:ind w:firstLine="420" w:firstLineChars="200"/>
              <w:rPr>
                <w:rFonts w:ascii="宋体" w:hAnsi="宋体" w:cs="宋体"/>
                <w:color w:val="auto"/>
                <w:szCs w:val="21"/>
                <w:highlight w:val="non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rPr>
              <w:t xml:space="preserve">  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1.10.3</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招标人书面澄清的时间</w:t>
            </w:r>
          </w:p>
        </w:tc>
        <w:tc>
          <w:tcPr>
            <w:tcW w:w="5718" w:type="dxa"/>
            <w:noWrap w:val="0"/>
            <w:vAlign w:val="center"/>
          </w:tcPr>
          <w:p>
            <w:pPr>
              <w:spacing w:line="324" w:lineRule="auto"/>
              <w:ind w:firstLine="420" w:firstLineChars="200"/>
              <w:rPr>
                <w:rFonts w:ascii="宋体" w:hAnsi="宋体" w:cs="宋体"/>
                <w:color w:val="auto"/>
                <w:szCs w:val="21"/>
                <w:highlight w:val="non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rPr>
              <w:t xml:space="preserve">  秒之前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1.11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分包</w:t>
            </w:r>
          </w:p>
        </w:tc>
        <w:tc>
          <w:tcPr>
            <w:tcW w:w="5718" w:type="dxa"/>
            <w:noWrap w:val="0"/>
            <w:vAlign w:val="center"/>
          </w:tcPr>
          <w:p>
            <w:pPr>
              <w:spacing w:line="324"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□不允许</w:t>
            </w:r>
          </w:p>
          <w:p>
            <w:pPr>
              <w:spacing w:line="324"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□允许，分包要求：</w:t>
            </w:r>
            <w:r>
              <w:rPr>
                <w:rFonts w:hint="eastAsia" w:ascii="宋体" w:hAnsi="宋体" w:cs="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1.12</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 xml:space="preserve">偏差  </w:t>
            </w:r>
          </w:p>
        </w:tc>
        <w:tc>
          <w:tcPr>
            <w:tcW w:w="5718" w:type="dxa"/>
            <w:noWrap w:val="0"/>
            <w:vAlign w:val="center"/>
          </w:tcPr>
          <w:p>
            <w:pPr>
              <w:spacing w:line="332" w:lineRule="exact"/>
              <w:ind w:left="1575" w:leftChars="200" w:right="113" w:hanging="1155" w:hangingChars="550"/>
              <w:rPr>
                <w:rFonts w:ascii="宋体" w:hAnsi="宋体" w:cs="Times New Roman"/>
                <w:color w:val="auto"/>
                <w:szCs w:val="21"/>
                <w:highlight w:val="none"/>
              </w:rPr>
            </w:pPr>
            <w:r>
              <w:rPr>
                <w:rFonts w:hint="eastAsia" w:ascii="宋体" w:hAnsi="宋体" w:cs="Times New Roman"/>
                <w:color w:val="auto"/>
                <w:szCs w:val="21"/>
                <w:highlight w:val="none"/>
              </w:rPr>
              <w:t xml:space="preserve">重大偏差：1.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 xml:space="preserve">   ；2</w:t>
            </w:r>
            <w:r>
              <w:rPr>
                <w:rFonts w:ascii="宋体" w:hAnsi="宋体" w:cs="Times New Roman"/>
                <w:color w:val="auto"/>
                <w:szCs w:val="21"/>
                <w:highlight w:val="none"/>
                <w:lang w:val="en"/>
              </w:rPr>
              <w:t>.</w:t>
            </w:r>
            <w:r>
              <w:rPr>
                <w:rFonts w:hint="eastAsia" w:ascii="宋体" w:hAnsi="宋体" w:cs="Times New Roman"/>
                <w:color w:val="auto"/>
                <w:szCs w:val="21"/>
                <w:highlight w:val="none"/>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 xml:space="preserve"> ；3</w:t>
            </w:r>
            <w:r>
              <w:rPr>
                <w:rFonts w:ascii="宋体" w:hAnsi="宋体" w:cs="Times New Roman"/>
                <w:color w:val="auto"/>
                <w:szCs w:val="21"/>
                <w:highlight w:val="none"/>
                <w:lang w:val="en"/>
              </w:rPr>
              <w:t>.</w:t>
            </w:r>
            <w:r>
              <w:rPr>
                <w:rFonts w:hint="eastAsia" w:ascii="宋体" w:hAnsi="宋体" w:cs="Times New Roman"/>
                <w:color w:val="auto"/>
                <w:szCs w:val="21"/>
                <w:highlight w:val="none"/>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 xml:space="preserve">  </w:t>
            </w:r>
            <w:r>
              <w:rPr>
                <w:rFonts w:hint="eastAsia" w:ascii="宋体" w:hAnsi="宋体" w:cs="Times New Roman"/>
                <w:color w:val="auto"/>
                <w:szCs w:val="21"/>
                <w:highlight w:val="none"/>
                <w:u w:val="single"/>
              </w:rPr>
              <w:t>……</w:t>
            </w:r>
          </w:p>
          <w:p>
            <w:pPr>
              <w:spacing w:line="332" w:lineRule="exact"/>
              <w:ind w:left="113" w:leftChars="54" w:firstLine="315" w:firstLineChars="150"/>
              <w:rPr>
                <w:rFonts w:ascii="宋体" w:hAnsi="宋体" w:cs="宋体"/>
                <w:color w:val="auto"/>
                <w:szCs w:val="21"/>
                <w:highlight w:val="none"/>
              </w:rPr>
            </w:pPr>
            <w:r>
              <w:rPr>
                <w:rFonts w:hint="eastAsia" w:ascii="宋体" w:hAnsi="宋体" w:cs="Times New Roman"/>
                <w:color w:val="auto"/>
                <w:szCs w:val="21"/>
                <w:highlight w:val="none"/>
              </w:rPr>
              <w:t>除重大偏差外为细微偏差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2.1（9）</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构成招标文件的其他材料</w:t>
            </w:r>
          </w:p>
        </w:tc>
        <w:tc>
          <w:tcPr>
            <w:tcW w:w="5718" w:type="dxa"/>
            <w:noWrap w:val="0"/>
            <w:vAlign w:val="center"/>
          </w:tcPr>
          <w:p>
            <w:pPr>
              <w:spacing w:line="324" w:lineRule="auto"/>
              <w:rPr>
                <w:rFonts w:ascii="宋体" w:hAnsi="宋体" w:cs="宋体"/>
                <w:color w:val="auto"/>
                <w:szCs w:val="21"/>
                <w:highlight w:val="none"/>
              </w:rPr>
            </w:pPr>
            <w:r>
              <w:rPr>
                <w:rFonts w:hint="eastAsia"/>
                <w:color w:val="auto"/>
                <w:szCs w:val="21"/>
                <w:highlight w:val="none"/>
              </w:rPr>
              <w:t>项目相关文件及相关图纸，招标人在投标截止时间之前发出的所有的澄清、修改、补遗书和其他有关通知等。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2.2.1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投标人要求澄清招标文件的截止时间</w:t>
            </w:r>
          </w:p>
        </w:tc>
        <w:tc>
          <w:tcPr>
            <w:tcW w:w="5718" w:type="dxa"/>
            <w:noWrap w:val="0"/>
            <w:vAlign w:val="center"/>
          </w:tcPr>
          <w:p>
            <w:pPr>
              <w:spacing w:line="360" w:lineRule="exact"/>
              <w:rPr>
                <w:color w:val="auto"/>
                <w:szCs w:val="21"/>
                <w:highlight w:val="none"/>
                <w:u w:val="single"/>
              </w:rPr>
            </w:pPr>
            <w:r>
              <w:rPr>
                <w:rFonts w:hint="eastAsia" w:ascii="宋体" w:hAnsi="宋体"/>
                <w:color w:val="auto"/>
                <w:szCs w:val="21"/>
                <w:highlight w:val="none"/>
              </w:rPr>
              <w:t xml:space="preserve">    截止时间：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2.2.2</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投标截止时间</w:t>
            </w:r>
          </w:p>
        </w:tc>
        <w:tc>
          <w:tcPr>
            <w:tcW w:w="5718" w:type="dxa"/>
            <w:noWrap w:val="0"/>
            <w:vAlign w:val="center"/>
          </w:tcPr>
          <w:p>
            <w:pPr>
              <w:spacing w:line="324"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2.2.3</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投标人确认收到招标文件澄清的时间</w:t>
            </w:r>
          </w:p>
        </w:tc>
        <w:tc>
          <w:tcPr>
            <w:tcW w:w="5718" w:type="dxa"/>
            <w:noWrap w:val="0"/>
            <w:vAlign w:val="center"/>
          </w:tcPr>
          <w:p>
            <w:pPr>
              <w:autoSpaceDE w:val="0"/>
              <w:autoSpaceDN w:val="0"/>
              <w:adjustRightInd w:val="0"/>
              <w:spacing w:line="360" w:lineRule="exact"/>
              <w:rPr>
                <w:rFonts w:ascii="宋体" w:hAnsi="宋体"/>
                <w:color w:val="auto"/>
                <w:szCs w:val="21"/>
                <w:highlight w:val="none"/>
              </w:rPr>
            </w:pPr>
            <w:r>
              <w:rPr>
                <w:rFonts w:hint="eastAsia" w:ascii="宋体" w:hAnsi="宋体"/>
                <w:color w:val="auto"/>
                <w:szCs w:val="21"/>
                <w:highlight w:val="none"/>
              </w:rPr>
              <w:t>由</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网上自行查询，无需确认。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2.3.2</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投标人确认收到招标文件修改的时间</w:t>
            </w:r>
          </w:p>
        </w:tc>
        <w:tc>
          <w:tcPr>
            <w:tcW w:w="5718" w:type="dxa"/>
            <w:noWrap w:val="0"/>
            <w:vAlign w:val="center"/>
          </w:tcPr>
          <w:p>
            <w:pPr>
              <w:autoSpaceDE w:val="0"/>
              <w:autoSpaceDN w:val="0"/>
              <w:adjustRightInd w:val="0"/>
              <w:spacing w:line="360" w:lineRule="exact"/>
              <w:rPr>
                <w:rFonts w:ascii="宋体" w:hAnsi="宋体"/>
                <w:color w:val="auto"/>
                <w:szCs w:val="21"/>
                <w:highlight w:val="none"/>
              </w:rPr>
            </w:pPr>
            <w:r>
              <w:rPr>
                <w:rFonts w:hint="eastAsia" w:ascii="宋体" w:hAnsi="宋体"/>
                <w:color w:val="auto"/>
                <w:szCs w:val="21"/>
                <w:highlight w:val="none"/>
              </w:rPr>
              <w:t>由</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网上自行查询，无需确认。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3.1.1（10）</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构成投标文件的其他材料</w:t>
            </w:r>
          </w:p>
        </w:tc>
        <w:tc>
          <w:tcPr>
            <w:tcW w:w="5718" w:type="dxa"/>
            <w:noWrap w:val="0"/>
            <w:vAlign w:val="center"/>
          </w:tcPr>
          <w:p>
            <w:pPr>
              <w:spacing w:line="324" w:lineRule="auto"/>
              <w:rPr>
                <w:rFonts w:ascii="宋体" w:hAnsi="宋体" w:cs="宋体"/>
                <w:color w:val="auto"/>
                <w:szCs w:val="21"/>
                <w:highlight w:val="none"/>
                <w:u w:val="single"/>
              </w:rPr>
            </w:pPr>
            <w:r>
              <w:rPr>
                <w:rFonts w:hint="eastAsia" w:ascii="宋体" w:hAnsi="宋体"/>
                <w:color w:val="auto"/>
                <w:szCs w:val="21"/>
                <w:highlight w:val="none"/>
              </w:rPr>
              <w:t>包括但不限于投标文件格式所列要求需提供的证明材料、对评标委员会提出的投标文件有关问题（若有）的澄清函。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3.2.2</w:t>
            </w:r>
          </w:p>
        </w:tc>
        <w:tc>
          <w:tcPr>
            <w:tcW w:w="2880" w:type="dxa"/>
            <w:noWrap w:val="0"/>
            <w:vAlign w:val="center"/>
          </w:tcPr>
          <w:p>
            <w:pPr>
              <w:spacing w:line="360" w:lineRule="exact"/>
              <w:jc w:val="center"/>
              <w:rPr>
                <w:rFonts w:hint="eastAsia"/>
                <w:color w:val="auto"/>
                <w:szCs w:val="21"/>
                <w:highlight w:val="none"/>
              </w:rPr>
            </w:pPr>
            <w:r>
              <w:rPr>
                <w:rFonts w:hint="eastAsia"/>
                <w:color w:val="auto"/>
                <w:szCs w:val="21"/>
                <w:highlight w:val="none"/>
              </w:rPr>
              <w:t>最高投标报价限价</w:t>
            </w:r>
          </w:p>
        </w:tc>
        <w:tc>
          <w:tcPr>
            <w:tcW w:w="5718" w:type="dxa"/>
            <w:noWrap w:val="0"/>
            <w:vAlign w:val="center"/>
          </w:tcPr>
          <w:p>
            <w:pPr>
              <w:spacing w:line="360" w:lineRule="exact"/>
              <w:rPr>
                <w:rFonts w:ascii="宋体" w:hAnsi="宋体" w:cs="宋体"/>
                <w:color w:val="auto"/>
                <w:szCs w:val="21"/>
                <w:highlight w:val="none"/>
              </w:rPr>
            </w:pPr>
            <w:r>
              <w:rPr>
                <w:rFonts w:hint="eastAsia"/>
                <w:color w:val="auto"/>
                <w:szCs w:val="21"/>
                <w:highlight w:val="none"/>
              </w:rPr>
              <w:t>最高投标报价限价</w:t>
            </w:r>
            <w:r>
              <w:rPr>
                <w:color w:val="auto"/>
                <w:szCs w:val="21"/>
                <w:highlight w:val="none"/>
              </w:rPr>
              <w:t>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元</w:t>
            </w:r>
            <w:r>
              <w:rPr>
                <w:rFonts w:hint="eastAsia" w:ascii="宋体" w:hAnsi="宋体"/>
                <w:snapToGrid w:val="0"/>
                <w:color w:val="auto"/>
                <w:kern w:val="0"/>
                <w:szCs w:val="21"/>
                <w:highlight w:val="none"/>
              </w:rPr>
              <w:t>。</w:t>
            </w:r>
            <w:r>
              <w:rPr>
                <w:rFonts w:hint="eastAsia" w:ascii="宋体" w:hAnsi="宋体"/>
                <w:color w:val="auto"/>
                <w:szCs w:val="21"/>
                <w:highlight w:val="none"/>
              </w:rPr>
              <w:t>投标人投标报价若高于最高投标报价限价，投标文件将做废标处理。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3.3.1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投标有效期</w:t>
            </w:r>
          </w:p>
        </w:tc>
        <w:tc>
          <w:tcPr>
            <w:tcW w:w="5718" w:type="dxa"/>
            <w:noWrap w:val="0"/>
            <w:vAlign w:val="center"/>
          </w:tcPr>
          <w:p>
            <w:pPr>
              <w:pStyle w:val="41"/>
              <w:spacing w:after="0" w:line="324" w:lineRule="auto"/>
              <w:ind w:firstLineChars="200"/>
              <w:rPr>
                <w:rFonts w:hint="eastAsia" w:ascii="宋体" w:hAnsi="宋体" w:cs="宋体"/>
                <w:color w:val="auto"/>
                <w:szCs w:val="21"/>
                <w:highlight w:val="none"/>
              </w:rPr>
            </w:pPr>
            <w:r>
              <w:rPr>
                <w:rFonts w:hint="eastAsia"/>
                <w:color w:val="auto"/>
                <w:szCs w:val="21"/>
                <w:highlight w:val="none"/>
              </w:rPr>
              <w:t>自投标截止时间起</w:t>
            </w:r>
            <w:r>
              <w:rPr>
                <w:rFonts w:hint="eastAsia"/>
                <w:color w:val="auto"/>
                <w:szCs w:val="21"/>
                <w:highlight w:val="none"/>
                <w:u w:val="single"/>
              </w:rPr>
              <w:t xml:space="preserve">       日历</w:t>
            </w:r>
            <w:r>
              <w:rPr>
                <w:rFonts w:hint="eastAsia"/>
                <w:color w:val="auto"/>
                <w:szCs w:val="21"/>
                <w:highlight w:val="none"/>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3.4.1</w:t>
            </w:r>
          </w:p>
        </w:tc>
        <w:tc>
          <w:tcPr>
            <w:tcW w:w="2880" w:type="dxa"/>
            <w:noWrap w:val="0"/>
            <w:vAlign w:val="center"/>
          </w:tcPr>
          <w:p>
            <w:pPr>
              <w:spacing w:line="360" w:lineRule="exact"/>
              <w:jc w:val="center"/>
              <w:rPr>
                <w:color w:val="auto"/>
                <w:szCs w:val="21"/>
                <w:highlight w:val="none"/>
              </w:rPr>
            </w:pPr>
            <w:r>
              <w:rPr>
                <w:color w:val="auto"/>
                <w:szCs w:val="21"/>
                <w:highlight w:val="none"/>
              </w:rPr>
              <w:t>投标保证金</w:t>
            </w:r>
            <w:r>
              <w:rPr>
                <w:rFonts w:hint="eastAsia"/>
                <w:color w:val="auto"/>
                <w:szCs w:val="21"/>
                <w:highlight w:val="none"/>
              </w:rPr>
              <w:t>（投标保证金按照项目估算价的2%计算，最高不得超过80万元）</w:t>
            </w:r>
          </w:p>
        </w:tc>
        <w:tc>
          <w:tcPr>
            <w:tcW w:w="5718" w:type="dxa"/>
            <w:noWrap w:val="0"/>
            <w:vAlign w:val="center"/>
          </w:tcPr>
          <w:p>
            <w:pPr>
              <w:tabs>
                <w:tab w:val="left" w:pos="900"/>
                <w:tab w:val="left" w:pos="1100"/>
              </w:tabs>
              <w:spacing w:line="360" w:lineRule="auto"/>
              <w:ind w:firstLine="315" w:firstLineChars="15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投标保证金的金额：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 xml:space="preserve"> 万元人民币；</w:t>
            </w:r>
          </w:p>
          <w:p>
            <w:pPr>
              <w:tabs>
                <w:tab w:val="left" w:pos="900"/>
                <w:tab w:val="left" w:pos="1100"/>
              </w:tabs>
              <w:adjustRightInd/>
              <w:snapToGrid/>
              <w:spacing w:line="360" w:lineRule="auto"/>
              <w:ind w:firstLine="315" w:firstLineChars="150"/>
              <w:textAlignment w:val="auto"/>
              <w:rPr>
                <w:rFonts w:hint="eastAsia" w:ascii="宋体" w:hAnsi="宋体"/>
                <w:snapToGrid w:val="0"/>
                <w:color w:val="auto"/>
                <w:kern w:val="0"/>
                <w:szCs w:val="21"/>
                <w:highlight w:val="none"/>
              </w:rPr>
            </w:pPr>
            <w:r>
              <w:rPr>
                <w:rFonts w:hint="eastAsia" w:ascii="宋体" w:hAnsi="宋体" w:cs="宋体"/>
                <w:color w:val="auto"/>
                <w:kern w:val="0"/>
                <w:sz w:val="21"/>
                <w:szCs w:val="21"/>
                <w:highlight w:val="none"/>
              </w:rPr>
              <w:t>本招标项目</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rPr>
              <w:t xml:space="preserve"> 不接受  □ 接受</w:t>
            </w:r>
            <w:r>
              <w:rPr>
                <w:rFonts w:hint="eastAsia" w:ascii="宋体" w:hAnsi="宋体" w:cs="宋体"/>
                <w:color w:val="auto"/>
                <w:kern w:val="0"/>
                <w:sz w:val="21"/>
                <w:szCs w:val="21"/>
                <w:highlight w:val="none"/>
              </w:rPr>
              <w:t>投标保证金优惠：</w:t>
            </w:r>
            <w:r>
              <w:rPr>
                <w:rFonts w:hint="eastAsia" w:ascii="宋体" w:hAnsi="宋体" w:cs="宋体"/>
                <w:color w:val="auto"/>
                <w:kern w:val="0"/>
                <w:sz w:val="21"/>
                <w:szCs w:val="21"/>
                <w:highlight w:val="none"/>
                <w:lang w:val="en-US" w:eastAsia="zh-CN"/>
              </w:rPr>
              <w:t>福建省交通运输厅、福建省发展和改革委员会发布的当年度交通建设项目从业单位信用考核结果，投标人</w:t>
            </w:r>
            <w:r>
              <w:rPr>
                <w:rFonts w:ascii="宋体" w:hAnsi="宋体" w:cs="宋体"/>
                <w:color w:val="auto"/>
                <w:kern w:val="0"/>
                <w:sz w:val="21"/>
                <w:szCs w:val="21"/>
                <w:highlight w:val="none"/>
              </w:rPr>
              <w:t>为</w:t>
            </w:r>
            <w:r>
              <w:rPr>
                <w:rFonts w:hint="default" w:ascii="宋体" w:hAnsi="宋体" w:cs="宋体"/>
                <w:color w:val="auto"/>
                <w:kern w:val="0"/>
                <w:sz w:val="21"/>
                <w:szCs w:val="21"/>
                <w:highlight w:val="none"/>
                <w:lang w:val="en-US" w:eastAsia="zh-CN"/>
              </w:rPr>
              <w:t>AA级</w:t>
            </w:r>
            <w:r>
              <w:rPr>
                <w:rFonts w:ascii="宋体" w:hAnsi="宋体" w:cs="宋体"/>
                <w:color w:val="auto"/>
                <w:kern w:val="0"/>
                <w:sz w:val="21"/>
                <w:szCs w:val="21"/>
                <w:highlight w:val="none"/>
              </w:rPr>
              <w:t>的</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缴交投标保证金为招标文件要求金额的50%</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万元人民币）</w:t>
            </w:r>
            <w:r>
              <w:rPr>
                <w:rFonts w:ascii="宋体" w:hAnsi="宋体" w:cs="宋体"/>
                <w:color w:val="auto"/>
                <w:kern w:val="0"/>
                <w:sz w:val="21"/>
                <w:szCs w:val="21"/>
                <w:highlight w:val="none"/>
              </w:rPr>
              <w:t xml:space="preserve">；投标人为 </w:t>
            </w:r>
            <w:r>
              <w:rPr>
                <w:rFonts w:hint="default" w:ascii="宋体" w:hAnsi="宋体" w:cs="宋体"/>
                <w:color w:val="auto"/>
                <w:kern w:val="0"/>
                <w:sz w:val="21"/>
                <w:szCs w:val="21"/>
                <w:highlight w:val="none"/>
                <w:lang w:val="en-US" w:eastAsia="zh-CN"/>
              </w:rPr>
              <w:t>A</w:t>
            </w:r>
            <w:r>
              <w:rPr>
                <w:rFonts w:ascii="宋体" w:hAnsi="宋体" w:cs="宋体"/>
                <w:color w:val="auto"/>
                <w:kern w:val="0"/>
                <w:sz w:val="21"/>
                <w:szCs w:val="21"/>
                <w:highlight w:val="none"/>
              </w:rPr>
              <w:t>级的</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缴交投标保证金为招标文件要求金额的75%</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万元人民币）</w:t>
            </w:r>
            <w:r>
              <w:rPr>
                <w:rFonts w:ascii="宋体" w:hAnsi="宋体" w:cs="宋体"/>
                <w:color w:val="auto"/>
                <w:kern w:val="0"/>
                <w:sz w:val="21"/>
                <w:szCs w:val="21"/>
                <w:highlight w:val="none"/>
              </w:rPr>
              <w:t>。</w:t>
            </w:r>
          </w:p>
          <w:p>
            <w:pPr>
              <w:tabs>
                <w:tab w:val="left" w:pos="900"/>
                <w:tab w:val="left" w:pos="1100"/>
              </w:tabs>
              <w:spacing w:line="360" w:lineRule="auto"/>
              <w:ind w:firstLine="315" w:firstLineChars="150"/>
              <w:rPr>
                <w:rFonts w:ascii="宋体" w:hAnsi="宋体"/>
                <w:color w:val="auto"/>
                <w:szCs w:val="21"/>
                <w:highlight w:val="none"/>
              </w:rPr>
            </w:pPr>
            <w:r>
              <w:rPr>
                <w:rFonts w:hint="eastAsia" w:ascii="宋体" w:hAnsi="宋体"/>
                <w:snapToGrid w:val="0"/>
                <w:color w:val="auto"/>
                <w:kern w:val="0"/>
                <w:szCs w:val="21"/>
                <w:highlight w:val="none"/>
              </w:rPr>
              <w:t>投标保证金递交截止：应在投标截止时间之前汇达指定账户。</w:t>
            </w:r>
          </w:p>
          <w:p>
            <w:pPr>
              <w:tabs>
                <w:tab w:val="left" w:pos="900"/>
                <w:tab w:val="left" w:pos="1100"/>
              </w:tabs>
              <w:spacing w:line="360" w:lineRule="auto"/>
              <w:ind w:firstLine="315" w:firstLineChars="150"/>
              <w:rPr>
                <w:rFonts w:ascii="宋体" w:hAnsi="宋体"/>
                <w:snapToGrid w:val="0"/>
                <w:color w:val="auto"/>
                <w:kern w:val="0"/>
                <w:szCs w:val="21"/>
                <w:highlight w:val="none"/>
                <w:u w:val="single"/>
              </w:rPr>
            </w:pPr>
            <w:r>
              <w:rPr>
                <w:rFonts w:hint="eastAsia" w:ascii="宋体" w:hAnsi="宋体"/>
                <w:color w:val="auto"/>
                <w:szCs w:val="21"/>
                <w:highlight w:val="none"/>
              </w:rPr>
              <w:t xml:space="preserve">    投标人应</w:t>
            </w:r>
            <w:r>
              <w:rPr>
                <w:rFonts w:hint="eastAsia" w:ascii="宋体" w:hAnsi="宋体"/>
                <w:bCs/>
                <w:color w:val="auto"/>
                <w:szCs w:val="21"/>
                <w:highlight w:val="none"/>
              </w:rPr>
              <w:t>自行考虑银行之间汇款所需时间，</w:t>
            </w:r>
            <w:r>
              <w:rPr>
                <w:rFonts w:hint="eastAsia" w:ascii="宋体" w:hAnsi="宋体"/>
                <w:color w:val="auto"/>
                <w:szCs w:val="21"/>
                <w:highlight w:val="none"/>
              </w:rPr>
              <w:t>确保投标保证金按上述要求在招标公告规定的截止之前到达招标人指定的银行账户</w:t>
            </w:r>
            <w:r>
              <w:rPr>
                <w:rFonts w:hint="eastAsia" w:ascii="宋体" w:hAnsi="宋体"/>
                <w:bCs/>
                <w:color w:val="auto"/>
                <w:szCs w:val="21"/>
                <w:highlight w:val="none"/>
              </w:rPr>
              <w:t>（以银行开出加盖业务公章的到账凭证为准，并需在汇款单上注明“</w:t>
            </w:r>
            <w:r>
              <w:rPr>
                <w:rFonts w:hint="eastAsia" w:ascii="宋体" w:hAnsi="宋体"/>
                <w:bCs/>
                <w:color w:val="auto"/>
                <w:szCs w:val="21"/>
                <w:highlight w:val="none"/>
                <w:u w:val="single"/>
              </w:rPr>
              <w:t xml:space="preserve"> （项目名称） </w:t>
            </w:r>
            <w:r>
              <w:rPr>
                <w:rFonts w:hint="eastAsia" w:ascii="宋体" w:hAnsi="宋体"/>
                <w:color w:val="auto"/>
                <w:szCs w:val="21"/>
                <w:highlight w:val="none"/>
              </w:rPr>
              <w:t>投标保证金</w:t>
            </w:r>
            <w:r>
              <w:rPr>
                <w:rFonts w:hint="eastAsia" w:ascii="宋体" w:hAnsi="宋体"/>
                <w:bCs/>
                <w:color w:val="auto"/>
                <w:szCs w:val="21"/>
                <w:highlight w:val="none"/>
              </w:rPr>
              <w:t>”字样，否则招标人无法辨别投标保证金所属工程项目，无法出具到账证明，由此造成的后果将由投标人自行负责）</w:t>
            </w:r>
            <w:r>
              <w:rPr>
                <w:rFonts w:hint="eastAsia" w:ascii="宋体" w:hAnsi="宋体"/>
                <w:color w:val="auto"/>
                <w:szCs w:val="21"/>
                <w:highlight w:val="none"/>
              </w:rPr>
              <w:t>。</w:t>
            </w:r>
          </w:p>
          <w:p>
            <w:pPr>
              <w:tabs>
                <w:tab w:val="left" w:pos="900"/>
                <w:tab w:val="left" w:pos="1100"/>
              </w:tabs>
              <w:spacing w:line="360" w:lineRule="auto"/>
              <w:ind w:firstLine="315" w:firstLineChars="150"/>
              <w:rPr>
                <w:rFonts w:ascii="宋体" w:hAnsi="宋体"/>
                <w:color w:val="auto"/>
                <w:szCs w:val="21"/>
                <w:highlight w:val="none"/>
              </w:rPr>
            </w:pPr>
            <w:r>
              <w:rPr>
                <w:rFonts w:ascii="宋体" w:hAnsi="宋体"/>
                <w:color w:val="auto"/>
                <w:szCs w:val="21"/>
                <w:highlight w:val="none"/>
              </w:rPr>
              <w:t>投标保证金提交的方式</w:t>
            </w:r>
            <w:r>
              <w:rPr>
                <w:rFonts w:hint="eastAsia" w:ascii="宋体" w:hAnsi="宋体"/>
                <w:color w:val="auto"/>
                <w:szCs w:val="21"/>
                <w:highlight w:val="none"/>
              </w:rPr>
              <w:t>（</w:t>
            </w:r>
            <w:r>
              <w:rPr>
                <w:rFonts w:hint="eastAsia" w:ascii="宋体" w:hAnsi="宋体" w:cs="宋体"/>
                <w:color w:val="auto"/>
                <w:kern w:val="0"/>
                <w:szCs w:val="21"/>
                <w:highlight w:val="none"/>
              </w:rPr>
              <w:t>可按以下任一方式提交）：</w:t>
            </w:r>
          </w:p>
          <w:p>
            <w:pPr>
              <w:tabs>
                <w:tab w:val="left" w:pos="900"/>
                <w:tab w:val="left" w:pos="1100"/>
              </w:tabs>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① 单项工程投标保证金：</w:t>
            </w:r>
            <w:r>
              <w:rPr>
                <w:rFonts w:hint="eastAsia" w:ascii="宋体" w:hAnsi="宋体" w:cs="宋体"/>
                <w:color w:val="auto"/>
                <w:szCs w:val="21"/>
                <w:highlight w:val="none"/>
              </w:rPr>
              <w:t>应从投标人企业基本账户</w:t>
            </w:r>
            <w:r>
              <w:rPr>
                <w:rFonts w:hint="eastAsia" w:ascii="宋体" w:hAnsi="宋体" w:cs="宋体"/>
                <w:bCs/>
                <w:color w:val="auto"/>
                <w:szCs w:val="21"/>
                <w:highlight w:val="none"/>
              </w:rPr>
              <w:t>以</w:t>
            </w:r>
            <w:r>
              <w:rPr>
                <w:rFonts w:hint="eastAsia" w:ascii="宋体" w:hAnsi="宋体" w:cs="宋体"/>
                <w:color w:val="auto"/>
                <w:szCs w:val="21"/>
                <w:highlight w:val="none"/>
              </w:rPr>
              <w:t>电汇或银行转账方式提交(以指定账户的到账查询结果为准，现金不予受理)，并应在电汇或银行转账单上注明为本招标项目的投标保证金</w:t>
            </w:r>
            <w:r>
              <w:rPr>
                <w:rFonts w:hint="eastAsia" w:ascii="宋体" w:hAnsi="宋体" w:cs="宋体"/>
                <w:color w:val="auto"/>
                <w:kern w:val="0"/>
                <w:szCs w:val="21"/>
                <w:highlight w:val="none"/>
              </w:rPr>
              <w:t>；</w:t>
            </w:r>
          </w:p>
          <w:p>
            <w:pPr>
              <w:tabs>
                <w:tab w:val="left" w:pos="900"/>
                <w:tab w:val="left" w:pos="1100"/>
              </w:tabs>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② 年度投标保证金：根据相关规定，在项目所在地公共资源交易中心或省公共资源交易中心已缴交年度投标保证金的投标人，凭本项目公共资源交易中心开具的“年度投标保证金或保函”可参与本项目的投标，投标时不需要按项目交存投标保证金。”</w:t>
            </w:r>
          </w:p>
          <w:p>
            <w:pPr>
              <w:tabs>
                <w:tab w:val="left" w:pos="900"/>
                <w:tab w:val="left" w:pos="1100"/>
              </w:tabs>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③ 银行保函：按闽建筑〔2015〕29号文的规定提交银行保函。</w:t>
            </w:r>
          </w:p>
          <w:p>
            <w:pPr>
              <w:tabs>
                <w:tab w:val="left" w:pos="900"/>
                <w:tab w:val="left" w:pos="1100"/>
              </w:tabs>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④采用电子保函：</w:t>
            </w:r>
            <w:r>
              <w:rPr>
                <w:rFonts w:hint="eastAsia" w:ascii="宋体" w:hAnsi="宋体"/>
                <w:color w:val="auto"/>
                <w:szCs w:val="21"/>
                <w:highlight w:val="none"/>
                <w:lang w:bidi="ar"/>
              </w:rPr>
              <w:t>电子保函应由具备开展工程担保业务能力的银行业金融机构、工程担保公司、保险机构开具，办理电子保函所需的一切费用由投标人自理。</w:t>
            </w:r>
            <w:r>
              <w:rPr>
                <w:rFonts w:hint="eastAsia" w:ascii="宋体" w:hAnsi="宋体"/>
                <w:color w:val="auto"/>
                <w:szCs w:val="21"/>
                <w:highlight w:val="none"/>
              </w:rPr>
              <w:t>投标人提交的电子保函文件应符合《福建省公共资源电子保函文件格式标准（试行）》要求，以及在电子保函文件中应有担保人对电子保函真实性和承担责任等的承诺、查验保函网址。</w:t>
            </w:r>
          </w:p>
          <w:p>
            <w:pPr>
              <w:tabs>
                <w:tab w:val="left" w:pos="900"/>
                <w:tab w:val="left" w:pos="1100"/>
              </w:tabs>
              <w:spacing w:line="360" w:lineRule="auto"/>
              <w:ind w:firstLine="315" w:firstLineChars="150"/>
              <w:rPr>
                <w:rFonts w:hint="eastAsia" w:ascii="宋体" w:hAnsi="宋体" w:cs="黑体"/>
                <w:bCs/>
                <w:color w:val="auto"/>
                <w:szCs w:val="21"/>
                <w:highlight w:val="none"/>
              </w:rPr>
            </w:pPr>
            <w:r>
              <w:rPr>
                <w:rFonts w:hint="eastAsia" w:ascii="宋体" w:hAnsi="宋体" w:cs="黑体"/>
                <w:bCs/>
                <w:color w:val="auto"/>
                <w:szCs w:val="21"/>
                <w:highlight w:val="none"/>
              </w:rPr>
              <w:t>⑤免缴投标保证金形式：符合下列情形之一的投标人，予以免缴投标保证金。</w:t>
            </w:r>
          </w:p>
          <w:p>
            <w:pPr>
              <w:tabs>
                <w:tab w:val="left" w:pos="900"/>
                <w:tab w:val="left" w:pos="1100"/>
              </w:tabs>
              <w:spacing w:line="360" w:lineRule="auto"/>
              <w:ind w:firstLine="315" w:firstLineChars="150"/>
              <w:rPr>
                <w:rFonts w:hint="eastAsia" w:ascii="宋体" w:hAnsi="宋体" w:cs="黑体"/>
                <w:bCs/>
                <w:color w:val="auto"/>
                <w:szCs w:val="21"/>
                <w:highlight w:val="none"/>
              </w:rPr>
            </w:pPr>
            <w:r>
              <w:rPr>
                <w:rFonts w:hint="eastAsia" w:ascii="宋体" w:hAnsi="宋体" w:cs="黑体"/>
                <w:bCs/>
                <w:color w:val="auto"/>
                <w:szCs w:val="21"/>
                <w:highlight w:val="none"/>
              </w:rPr>
              <w:t>□a.在法定媒介发布招标公告之日仍属于福建省住房和城乡建设厅公布的福建省建筑业龙头企业名单内；</w:t>
            </w:r>
          </w:p>
          <w:p>
            <w:pPr>
              <w:tabs>
                <w:tab w:val="left" w:pos="900"/>
                <w:tab w:val="left" w:pos="1100"/>
              </w:tabs>
              <w:spacing w:line="360" w:lineRule="auto"/>
              <w:ind w:firstLine="315" w:firstLineChars="150"/>
              <w:rPr>
                <w:rFonts w:hint="eastAsia" w:ascii="宋体" w:hAnsi="宋体" w:cs="黑体"/>
                <w:bCs/>
                <w:color w:val="auto"/>
                <w:szCs w:val="21"/>
                <w:highlight w:val="none"/>
                <w:lang w:val="en-US" w:eastAsia="zh-CN"/>
              </w:rPr>
            </w:pPr>
            <w:r>
              <w:rPr>
                <w:rFonts w:hint="eastAsia" w:ascii="宋体" w:hAnsi="宋体" w:cs="黑体"/>
                <w:bCs/>
                <w:color w:val="auto"/>
                <w:szCs w:val="21"/>
                <w:highlight w:val="none"/>
                <w:lang w:val="en-US" w:eastAsia="zh-CN"/>
              </w:rPr>
              <w:t>□b.投标人最近三年福建省交通运输厅、福建省发展和改革委员会发布的当年度交通建设项目从业单位信用考核结果均为AA级别；</w:t>
            </w:r>
          </w:p>
          <w:p>
            <w:pPr>
              <w:tabs>
                <w:tab w:val="left" w:pos="900"/>
                <w:tab w:val="left" w:pos="1100"/>
              </w:tabs>
              <w:spacing w:line="360" w:lineRule="auto"/>
              <w:ind w:firstLine="315" w:firstLineChars="150"/>
              <w:rPr>
                <w:rFonts w:hint="eastAsia" w:ascii="宋体" w:hAnsi="宋体" w:cs="黑体"/>
                <w:bCs/>
                <w:color w:val="auto"/>
                <w:szCs w:val="21"/>
                <w:highlight w:val="none"/>
                <w:lang w:val="en-US" w:eastAsia="zh-CN"/>
              </w:rPr>
            </w:pPr>
            <w:r>
              <w:rPr>
                <w:rFonts w:hint="eastAsia" w:ascii="宋体" w:hAnsi="宋体" w:cs="黑体"/>
                <w:bCs/>
                <w:color w:val="auto"/>
                <w:szCs w:val="21"/>
                <w:highlight w:val="none"/>
                <w:lang w:val="en-US" w:eastAsia="zh-CN"/>
              </w:rPr>
              <w:t xml:space="preserve">□c.                      </w:t>
            </w:r>
          </w:p>
          <w:p>
            <w:pPr>
              <w:tabs>
                <w:tab w:val="left" w:pos="900"/>
                <w:tab w:val="left" w:pos="1100"/>
              </w:tabs>
              <w:spacing w:line="360" w:lineRule="auto"/>
              <w:ind w:firstLine="315" w:firstLineChars="150"/>
              <w:rPr>
                <w:rFonts w:hint="eastAsia" w:ascii="宋体" w:hAnsi="宋体" w:cs="黑体"/>
                <w:bCs/>
                <w:color w:val="auto"/>
                <w:szCs w:val="21"/>
                <w:highlight w:val="none"/>
                <w:lang w:val="en-US" w:eastAsia="zh-CN"/>
              </w:rPr>
            </w:pPr>
            <w:r>
              <w:rPr>
                <w:rFonts w:hint="eastAsia" w:ascii="宋体" w:hAnsi="宋体" w:cs="黑体"/>
                <w:bCs/>
                <w:color w:val="auto"/>
                <w:szCs w:val="21"/>
                <w:highlight w:val="none"/>
                <w:lang w:val="en-US" w:eastAsia="zh-CN"/>
              </w:rPr>
              <w:t xml:space="preserve">⑥其他形式：               </w:t>
            </w:r>
          </w:p>
          <w:p>
            <w:pPr>
              <w:tabs>
                <w:tab w:val="left" w:pos="900"/>
                <w:tab w:val="left" w:pos="1100"/>
              </w:tabs>
              <w:spacing w:line="360" w:lineRule="auto"/>
              <w:ind w:firstLine="315" w:firstLineChars="150"/>
              <w:rPr>
                <w:rFonts w:hint="eastAsia" w:ascii="宋体" w:hAnsi="宋体" w:cs="黑体"/>
                <w:bCs/>
                <w:color w:val="auto"/>
                <w:szCs w:val="21"/>
                <w:highlight w:val="none"/>
              </w:rPr>
            </w:pPr>
            <w:r>
              <w:rPr>
                <w:rFonts w:hint="eastAsia" w:ascii="宋体" w:hAnsi="宋体" w:cs="黑体"/>
                <w:bCs/>
                <w:color w:val="auto"/>
                <w:szCs w:val="21"/>
                <w:highlight w:val="none"/>
              </w:rPr>
              <w:t>采用</w:t>
            </w:r>
            <w:r>
              <w:rPr>
                <w:rFonts w:hint="eastAsia" w:ascii="宋体" w:hAnsi="宋体" w:cs="黑体"/>
                <w:bCs/>
                <w:color w:val="auto"/>
                <w:szCs w:val="21"/>
                <w:highlight w:val="none"/>
                <w:lang w:val="zh-CN"/>
              </w:rPr>
              <w:t>免缴投标保证金形式：</w:t>
            </w:r>
            <w:r>
              <w:rPr>
                <w:rFonts w:hint="eastAsia" w:ascii="宋体" w:hAnsi="宋体" w:cs="黑体"/>
                <w:bCs/>
                <w:color w:val="auto"/>
                <w:szCs w:val="21"/>
                <w:highlight w:val="none"/>
              </w:rPr>
              <w:t>符合免缴投标保证金情形之一的投标人，在本招标项目采用免缴投标保证金形式的，提交加盖投标人单位电子印章的《免缴投标保证金承诺函》并提交加盖投标人单位电子印章的符合免缴投标保证金形式规定的证明材料，作为资格文件的组成部分。</w:t>
            </w:r>
          </w:p>
          <w:p>
            <w:pPr>
              <w:tabs>
                <w:tab w:val="left" w:pos="900"/>
                <w:tab w:val="left" w:pos="1100"/>
              </w:tabs>
              <w:spacing w:line="360" w:lineRule="auto"/>
              <w:ind w:firstLine="315" w:firstLineChars="150"/>
              <w:rPr>
                <w:rFonts w:hint="eastAsia" w:ascii="宋体" w:hAnsi="宋体" w:cs="黑体"/>
                <w:bCs/>
                <w:color w:val="auto"/>
                <w:szCs w:val="21"/>
                <w:highlight w:val="none"/>
              </w:rPr>
            </w:pPr>
            <w:r>
              <w:rPr>
                <w:rFonts w:hint="eastAsia" w:ascii="宋体" w:hAnsi="宋体" w:cs="黑体"/>
                <w:bCs/>
                <w:color w:val="auto"/>
                <w:szCs w:val="21"/>
                <w:highlight w:val="none"/>
              </w:rPr>
              <w:t>投标人享受投标保证金优惠政策的，提交相应证明材料，作为资格文件的组成部分。享受优惠政策的投标人，若出现法律法规规定的没收投标保证金情形的，应按招标文件要求的金额缴足投标保证金。</w:t>
            </w:r>
          </w:p>
          <w:p>
            <w:pPr>
              <w:tabs>
                <w:tab w:val="left" w:pos="900"/>
                <w:tab w:val="left" w:pos="1100"/>
              </w:tabs>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olor w:val="auto"/>
                <w:szCs w:val="21"/>
                <w:highlight w:val="none"/>
              </w:rPr>
              <w:t>保证金指定</w:t>
            </w:r>
            <w:r>
              <w:rPr>
                <w:rFonts w:hint="eastAsia" w:ascii="宋体" w:hAnsi="宋体" w:cs="宋体"/>
                <w:color w:val="auto"/>
                <w:kern w:val="0"/>
                <w:szCs w:val="21"/>
                <w:highlight w:val="none"/>
              </w:rPr>
              <w:t>账户</w:t>
            </w:r>
          </w:p>
          <w:p>
            <w:pPr>
              <w:tabs>
                <w:tab w:val="left" w:pos="900"/>
                <w:tab w:val="left" w:pos="1100"/>
              </w:tabs>
              <w:spacing w:line="360" w:lineRule="auto"/>
              <w:ind w:firstLine="315" w:firstLineChars="150"/>
              <w:rPr>
                <w:rFonts w:ascii="宋体" w:hAnsi="宋体" w:cs="黑体"/>
                <w:bCs/>
                <w:color w:val="auto"/>
                <w:szCs w:val="21"/>
                <w:highlight w:val="none"/>
              </w:rPr>
            </w:pPr>
            <w:r>
              <w:rPr>
                <w:rFonts w:hint="eastAsia" w:ascii="宋体" w:hAnsi="宋体" w:cs="黑体"/>
                <w:bCs/>
                <w:color w:val="auto"/>
                <w:szCs w:val="21"/>
                <w:highlight w:val="none"/>
              </w:rPr>
              <w:t>单位名称：</w:t>
            </w:r>
            <w:r>
              <w:rPr>
                <w:rFonts w:hint="eastAsia" w:ascii="宋体" w:hAnsi="宋体" w:cs="黑体"/>
                <w:bCs/>
                <w:color w:val="auto"/>
                <w:szCs w:val="21"/>
                <w:highlight w:val="none"/>
                <w:u w:val="single"/>
              </w:rPr>
              <w:t xml:space="preserve">                         </w:t>
            </w:r>
          </w:p>
          <w:p>
            <w:pPr>
              <w:tabs>
                <w:tab w:val="left" w:pos="900"/>
                <w:tab w:val="left" w:pos="1100"/>
              </w:tabs>
              <w:spacing w:line="360" w:lineRule="auto"/>
              <w:ind w:firstLine="315" w:firstLineChars="150"/>
              <w:rPr>
                <w:rFonts w:ascii="宋体" w:hAnsi="宋体" w:cs="黑体"/>
                <w:bCs/>
                <w:color w:val="auto"/>
                <w:szCs w:val="21"/>
                <w:highlight w:val="none"/>
              </w:rPr>
            </w:pPr>
            <w:r>
              <w:rPr>
                <w:rFonts w:hint="eastAsia" w:ascii="宋体" w:hAnsi="宋体" w:cs="黑体"/>
                <w:bCs/>
                <w:color w:val="auto"/>
                <w:szCs w:val="21"/>
                <w:highlight w:val="none"/>
                <w:lang w:eastAsia="zh-CN"/>
              </w:rPr>
              <w:t>账</w:t>
            </w:r>
            <w:r>
              <w:rPr>
                <w:rFonts w:hint="eastAsia" w:ascii="宋体" w:hAnsi="宋体" w:cs="黑体"/>
                <w:bCs/>
                <w:color w:val="auto"/>
                <w:szCs w:val="21"/>
                <w:highlight w:val="none"/>
              </w:rPr>
              <w:t> 号：</w:t>
            </w:r>
            <w:r>
              <w:rPr>
                <w:rFonts w:hint="eastAsia" w:ascii="宋体" w:hAnsi="宋体" w:cs="黑体"/>
                <w:bCs/>
                <w:color w:val="auto"/>
                <w:szCs w:val="21"/>
                <w:highlight w:val="none"/>
                <w:u w:val="single"/>
              </w:rPr>
              <w:t xml:space="preserve">                           </w:t>
            </w:r>
          </w:p>
          <w:p>
            <w:pPr>
              <w:tabs>
                <w:tab w:val="left" w:pos="900"/>
                <w:tab w:val="left" w:pos="1100"/>
              </w:tabs>
              <w:spacing w:line="360" w:lineRule="auto"/>
              <w:ind w:firstLine="315" w:firstLineChars="150"/>
              <w:rPr>
                <w:rFonts w:hint="eastAsia" w:ascii="宋体" w:hAnsi="宋体" w:cs="黑体"/>
                <w:bCs/>
                <w:color w:val="auto"/>
                <w:szCs w:val="21"/>
                <w:highlight w:val="none"/>
                <w:u w:val="single"/>
              </w:rPr>
            </w:pPr>
            <w:r>
              <w:rPr>
                <w:rFonts w:hint="eastAsia" w:ascii="宋体" w:hAnsi="宋体" w:cs="黑体"/>
                <w:bCs/>
                <w:color w:val="auto"/>
                <w:szCs w:val="21"/>
                <w:highlight w:val="none"/>
              </w:rPr>
              <w:t>开 户 行：</w:t>
            </w:r>
            <w:r>
              <w:rPr>
                <w:rFonts w:hint="eastAsia" w:ascii="宋体" w:hAnsi="宋体" w:cs="黑体"/>
                <w:bCs/>
                <w:color w:val="auto"/>
                <w:szCs w:val="21"/>
                <w:highlight w:val="none"/>
                <w:u w:val="single"/>
              </w:rPr>
              <w:t xml:space="preserve">                         </w:t>
            </w:r>
          </w:p>
          <w:p>
            <w:pPr>
              <w:tabs>
                <w:tab w:val="left" w:pos="900"/>
                <w:tab w:val="left" w:pos="1100"/>
              </w:tabs>
              <w:spacing w:line="360" w:lineRule="auto"/>
              <w:ind w:firstLine="315" w:firstLineChars="150"/>
              <w:rPr>
                <w:rFonts w:hint="eastAsia" w:ascii="宋体" w:hAnsi="宋体" w:cs="黑体"/>
                <w:bCs/>
                <w:color w:val="auto"/>
                <w:szCs w:val="21"/>
                <w:highlight w:val="none"/>
                <w:u w:val="single"/>
              </w:rPr>
            </w:pPr>
            <w:r>
              <w:rPr>
                <w:rFonts w:hint="eastAsia" w:ascii="宋体" w:hAnsi="宋体" w:cs="黑体"/>
                <w:bCs/>
                <w:color w:val="auto"/>
                <w:szCs w:val="21"/>
                <w:highlight w:val="none"/>
              </w:rPr>
              <w:t>投标保证金有效期：与投标有效期一致。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3.5.2</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近年财务状况的年份要求</w:t>
            </w:r>
          </w:p>
        </w:tc>
        <w:tc>
          <w:tcPr>
            <w:tcW w:w="5718" w:type="dxa"/>
            <w:noWrap w:val="0"/>
            <w:vAlign w:val="center"/>
          </w:tcPr>
          <w:p>
            <w:pPr>
              <w:pStyle w:val="41"/>
              <w:spacing w:after="0" w:line="324" w:lineRule="auto"/>
              <w:ind w:firstLineChars="200"/>
              <w:rPr>
                <w:rFonts w:ascii="宋体" w:hAnsi="宋体" w:cs="宋体"/>
                <w:color w:val="auto"/>
                <w:szCs w:val="21"/>
                <w:highlight w:val="none"/>
              </w:rPr>
            </w:pPr>
            <w:r>
              <w:rPr>
                <w:rFonts w:hint="eastAsia"/>
                <w:color w:val="auto"/>
                <w:szCs w:val="21"/>
                <w:highlight w:val="none"/>
                <w:lang w:val="en-US" w:eastAsia="zh-CN"/>
              </w:rPr>
              <w:t>无需提交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3.5.3</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近年已完工的同类工程一览表的年份要求</w:t>
            </w:r>
          </w:p>
        </w:tc>
        <w:tc>
          <w:tcPr>
            <w:tcW w:w="5718" w:type="dxa"/>
            <w:noWrap w:val="0"/>
            <w:vAlign w:val="center"/>
          </w:tcPr>
          <w:p>
            <w:pPr>
              <w:spacing w:line="320" w:lineRule="exact"/>
              <w:rPr>
                <w:rFonts w:hint="eastAsia" w:ascii="宋体" w:hAnsi="宋体" w:cs="Times New Roman"/>
                <w:color w:val="auto"/>
                <w:highlight w:val="none"/>
              </w:rPr>
            </w:pPr>
            <w:r>
              <w:rPr>
                <w:rFonts w:hint="eastAsia" w:ascii="宋体" w:hAnsi="宋体" w:cs="Times New Roman"/>
                <w:color w:val="auto"/>
                <w:highlight w:val="none"/>
              </w:rPr>
              <w:t>□不作要求</w:t>
            </w:r>
          </w:p>
          <w:p>
            <w:pPr>
              <w:spacing w:line="320" w:lineRule="exact"/>
              <w:rPr>
                <w:rFonts w:hint="eastAsia"/>
                <w:color w:val="auto"/>
                <w:szCs w:val="21"/>
                <w:highlight w:val="none"/>
                <w:u w:val="single"/>
              </w:rPr>
            </w:pPr>
            <w:r>
              <w:rPr>
                <w:rFonts w:hint="eastAsia" w:ascii="宋体" w:hAnsi="宋体"/>
                <w:color w:val="auto"/>
                <w:highlight w:val="none"/>
              </w:rPr>
              <w:t>□近5年：</w:t>
            </w:r>
            <w:r>
              <w:rPr>
                <w:rFonts w:hint="eastAsia" w:ascii="宋体" w:hAnsi="宋体"/>
                <w:color w:val="auto"/>
                <w:szCs w:val="21"/>
                <w:highlight w:val="none"/>
              </w:rPr>
              <w:t>自招标公告正式发布之日前5年至</w:t>
            </w:r>
            <w:r>
              <w:rPr>
                <w:rFonts w:hint="eastAsia"/>
                <w:color w:val="auto"/>
                <w:szCs w:val="21"/>
                <w:highlight w:val="none"/>
                <w:u w:val="single"/>
              </w:rPr>
              <w:t>投标截止时</w:t>
            </w:r>
          </w:p>
          <w:p>
            <w:pPr>
              <w:pStyle w:val="41"/>
              <w:spacing w:after="0" w:line="324" w:lineRule="auto"/>
              <w:ind w:firstLine="0" w:firstLineChars="0"/>
              <w:rPr>
                <w:rFonts w:hint="eastAsia"/>
                <w:color w:val="auto"/>
                <w:szCs w:val="21"/>
                <w:highlight w:val="none"/>
                <w:u w:val="single"/>
              </w:rPr>
            </w:pPr>
            <w:r>
              <w:rPr>
                <w:rFonts w:hint="eastAsia" w:ascii="宋体" w:hAnsi="宋体"/>
                <w:color w:val="auto"/>
                <w:highlight w:val="none"/>
              </w:rPr>
              <w:t>□近10年：</w:t>
            </w:r>
            <w:r>
              <w:rPr>
                <w:rFonts w:hint="eastAsia" w:ascii="宋体" w:hAnsi="宋体"/>
                <w:color w:val="auto"/>
                <w:szCs w:val="21"/>
                <w:highlight w:val="none"/>
              </w:rPr>
              <w:t>自招标公告正式发布之日前10年至</w:t>
            </w:r>
            <w:r>
              <w:rPr>
                <w:rFonts w:hint="eastAsia"/>
                <w:color w:val="auto"/>
                <w:szCs w:val="21"/>
                <w:highlight w:val="none"/>
                <w:u w:val="single"/>
              </w:rPr>
              <w:t>投标截止时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3.5.5</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近年发生的诉讼及仲裁情况的年份要求</w:t>
            </w:r>
          </w:p>
        </w:tc>
        <w:tc>
          <w:tcPr>
            <w:tcW w:w="5718" w:type="dxa"/>
            <w:noWrap w:val="0"/>
            <w:vAlign w:val="center"/>
          </w:tcPr>
          <w:p>
            <w:pPr>
              <w:pStyle w:val="41"/>
              <w:spacing w:after="0" w:line="324" w:lineRule="auto"/>
              <w:ind w:firstLineChars="200"/>
              <w:rPr>
                <w:rFonts w:ascii="宋体" w:hAnsi="宋体" w:cs="宋体"/>
                <w:color w:val="auto"/>
                <w:szCs w:val="21"/>
                <w:highlight w:val="none"/>
              </w:rPr>
            </w:pPr>
            <w:r>
              <w:rPr>
                <w:rFonts w:hint="eastAsia"/>
                <w:color w:val="auto"/>
                <w:szCs w:val="21"/>
                <w:highlight w:val="none"/>
              </w:rPr>
              <w:t>近三年，</w:t>
            </w:r>
            <w:r>
              <w:rPr>
                <w:rFonts w:hint="eastAsia" w:ascii="宋体" w:hAnsi="宋体"/>
                <w:color w:val="auto"/>
                <w:szCs w:val="21"/>
                <w:highlight w:val="none"/>
              </w:rPr>
              <w:t>自招标公告正式发布之日前3年</w:t>
            </w:r>
            <w:r>
              <w:rPr>
                <w:rFonts w:hint="eastAsia"/>
                <w:color w:val="auto"/>
                <w:szCs w:val="21"/>
                <w:highlight w:val="none"/>
              </w:rPr>
              <w:t>至</w:t>
            </w:r>
            <w:r>
              <w:rPr>
                <w:rFonts w:hint="eastAsia"/>
                <w:color w:val="auto"/>
                <w:szCs w:val="21"/>
                <w:highlight w:val="none"/>
                <w:u w:val="single"/>
              </w:rPr>
              <w:t>投标截止时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3.6.3</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投标文件签字或盖章要求</w:t>
            </w:r>
          </w:p>
        </w:tc>
        <w:tc>
          <w:tcPr>
            <w:tcW w:w="5718" w:type="dxa"/>
            <w:noWrap w:val="0"/>
            <w:vAlign w:val="center"/>
          </w:tcPr>
          <w:p>
            <w:pPr>
              <w:spacing w:line="324" w:lineRule="auto"/>
              <w:ind w:firstLine="420" w:firstLineChars="200"/>
              <w:rPr>
                <w:rFonts w:ascii="宋体" w:hAnsi="宋体" w:cs="宋体"/>
                <w:color w:val="auto"/>
                <w:szCs w:val="21"/>
                <w:highlight w:val="none"/>
              </w:rPr>
            </w:pPr>
            <w:r>
              <w:rPr>
                <w:rFonts w:hint="eastAsia" w:ascii="宋体" w:hAnsi="宋体"/>
                <w:color w:val="auto"/>
                <w:szCs w:val="21"/>
                <w:highlight w:val="none"/>
              </w:rPr>
              <w:t>按投标文件格式要求盖章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5.1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开标时间和地点</w:t>
            </w:r>
          </w:p>
        </w:tc>
        <w:tc>
          <w:tcPr>
            <w:tcW w:w="5718" w:type="dxa"/>
            <w:noWrap w:val="0"/>
            <w:vAlign w:val="center"/>
          </w:tcPr>
          <w:p>
            <w:pPr>
              <w:pStyle w:val="41"/>
              <w:spacing w:after="0" w:line="324" w:lineRule="auto"/>
              <w:ind w:firstLineChars="200"/>
              <w:rPr>
                <w:rFonts w:ascii="宋体" w:hAnsi="宋体" w:cs="宋体"/>
                <w:color w:val="auto"/>
                <w:szCs w:val="21"/>
                <w:highlight w:val="none"/>
              </w:rPr>
            </w:pPr>
            <w:r>
              <w:rPr>
                <w:rFonts w:hint="eastAsia" w:ascii="宋体" w:hAnsi="宋体" w:cs="宋体"/>
                <w:color w:val="auto"/>
                <w:szCs w:val="21"/>
                <w:highlight w:val="none"/>
              </w:rPr>
              <w:t>开标时间：同投标截止时间</w:t>
            </w:r>
          </w:p>
          <w:p>
            <w:pPr>
              <w:pStyle w:val="41"/>
              <w:spacing w:after="0" w:line="324" w:lineRule="auto"/>
              <w:ind w:firstLineChars="200"/>
              <w:rPr>
                <w:rFonts w:ascii="宋体" w:hAnsi="宋体" w:cs="宋体"/>
                <w:color w:val="auto"/>
                <w:szCs w:val="21"/>
                <w:highlight w:val="none"/>
                <w:u w:val="single"/>
              </w:rPr>
            </w:pPr>
            <w:r>
              <w:rPr>
                <w:rFonts w:hint="eastAsia" w:ascii="宋体" w:hAnsi="宋体" w:cs="宋体"/>
                <w:color w:val="auto"/>
                <w:szCs w:val="21"/>
                <w:highlight w:val="none"/>
              </w:rPr>
              <w:t>开标地点：</w:t>
            </w:r>
            <w:r>
              <w:rPr>
                <w:rFonts w:hint="eastAsia" w:ascii="宋体" w:hAnsi="宋体"/>
                <w:color w:val="auto"/>
                <w:szCs w:val="21"/>
                <w:highlight w:val="none"/>
              </w:rPr>
              <w:t>在电子交易平台上在线公开开标，投标人应在线参加开标。同时在</w:t>
            </w:r>
            <w:r>
              <w:rPr>
                <w:rFonts w:hint="eastAsia" w:ascii="宋体" w:hAnsi="宋体"/>
                <w:color w:val="auto"/>
                <w:szCs w:val="21"/>
                <w:highlight w:val="none"/>
                <w:u w:val="single"/>
              </w:rPr>
              <w:t xml:space="preserve">      （</w:t>
            </w:r>
            <w:r>
              <w:rPr>
                <w:rFonts w:hint="eastAsia" w:ascii="宋体" w:hAnsi="宋体"/>
                <w:color w:val="auto"/>
                <w:szCs w:val="21"/>
                <w:highlight w:val="none"/>
              </w:rPr>
              <w:t>交易场所）设置在线开标会场，投标人可到场参加开标会。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6.1.1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评标委员会的组建</w:t>
            </w:r>
          </w:p>
        </w:tc>
        <w:tc>
          <w:tcPr>
            <w:tcW w:w="5718" w:type="dxa"/>
            <w:noWrap w:val="0"/>
            <w:vAlign w:val="center"/>
          </w:tcPr>
          <w:p>
            <w:pPr>
              <w:spacing w:line="360" w:lineRule="exact"/>
              <w:jc w:val="left"/>
              <w:rPr>
                <w:rFonts w:ascii="宋体" w:hAnsi="宋体" w:cs="Times New Roman"/>
                <w:color w:val="auto"/>
                <w:szCs w:val="21"/>
                <w:highlight w:val="none"/>
              </w:rPr>
            </w:pPr>
            <w:r>
              <w:rPr>
                <w:rFonts w:hint="eastAsia" w:ascii="宋体" w:hAnsi="宋体" w:cs="Times New Roman"/>
                <w:color w:val="auto"/>
                <w:szCs w:val="21"/>
                <w:highlight w:val="none"/>
              </w:rPr>
              <w:t>评标委员会构成：</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人，其中招标人代表</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人，专家</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人；</w:t>
            </w:r>
          </w:p>
          <w:p>
            <w:pPr>
              <w:autoSpaceDE w:val="0"/>
              <w:autoSpaceDN w:val="0"/>
              <w:adjustRightInd w:val="0"/>
              <w:spacing w:line="360" w:lineRule="exact"/>
              <w:rPr>
                <w:rFonts w:ascii="宋体" w:hAnsi="宋体" w:cs="Times New Roman"/>
                <w:color w:val="auto"/>
                <w:szCs w:val="21"/>
                <w:highlight w:val="none"/>
              </w:rPr>
            </w:pPr>
            <w:r>
              <w:rPr>
                <w:rFonts w:hint="eastAsia" w:ascii="宋体" w:hAnsi="宋体" w:cs="Times New Roman"/>
                <w:color w:val="auto"/>
                <w:szCs w:val="21"/>
                <w:highlight w:val="none"/>
              </w:rPr>
              <w:t>评标专家确定方式：</w:t>
            </w:r>
          </w:p>
          <w:p>
            <w:pPr>
              <w:spacing w:line="324" w:lineRule="auto"/>
              <w:rPr>
                <w:rFonts w:ascii="宋体" w:hAnsi="宋体" w:cs="宋体"/>
                <w:color w:val="auto"/>
                <w:szCs w:val="21"/>
                <w:highlight w:val="none"/>
              </w:rPr>
            </w:pPr>
            <w:r>
              <w:rPr>
                <w:rFonts w:hint="eastAsia" w:ascii="宋体" w:hAnsi="宋体" w:cs="Times New Roman"/>
                <w:color w:val="auto"/>
                <w:szCs w:val="21"/>
                <w:highlight w:val="none"/>
              </w:rPr>
              <w:t xml:space="preserve">按规定从  </w:t>
            </w:r>
            <w:r>
              <w:rPr>
                <w:rFonts w:hint="eastAsia" w:ascii="宋体" w:hAnsi="宋体" w:cs="Times New Roman"/>
                <w:color w:val="auto"/>
                <w:szCs w:val="21"/>
                <w:highlight w:val="none"/>
                <w:u w:val="single"/>
                <w:lang w:val="en"/>
              </w:rPr>
              <w:t>（</w:t>
            </w:r>
            <w:r>
              <w:rPr>
                <w:rFonts w:ascii="宋体" w:hAnsi="宋体" w:cs="Times New Roman"/>
                <w:color w:val="auto"/>
                <w:szCs w:val="21"/>
                <w:highlight w:val="none"/>
                <w:u w:val="single"/>
              </w:rPr>
              <w:t>交通运输部或</w:t>
            </w:r>
            <w:r>
              <w:rPr>
                <w:rFonts w:hint="eastAsia" w:ascii="宋体" w:hAnsi="宋体" w:cs="Times New Roman"/>
                <w:color w:val="auto"/>
                <w:szCs w:val="21"/>
                <w:highlight w:val="none"/>
                <w:u w:val="single"/>
              </w:rPr>
              <w:t>福建省</w:t>
            </w:r>
            <w:r>
              <w:rPr>
                <w:rFonts w:hint="eastAsia" w:ascii="宋体" w:hAnsi="宋体" w:cs="Times New Roman"/>
                <w:color w:val="auto"/>
                <w:szCs w:val="21"/>
                <w:highlight w:val="none"/>
                <w:u w:val="single"/>
                <w:lang w:val="en"/>
              </w:rPr>
              <w:t>）</w:t>
            </w:r>
            <w:r>
              <w:rPr>
                <w:rFonts w:ascii="宋体" w:hAnsi="宋体" w:cs="Times New Roman"/>
                <w:color w:val="auto"/>
                <w:szCs w:val="21"/>
                <w:highlight w:val="none"/>
                <w:u w:val="single"/>
              </w:rPr>
              <w:t>评标</w:t>
            </w:r>
            <w:r>
              <w:rPr>
                <w:rFonts w:hint="eastAsia" w:ascii="宋体" w:hAnsi="宋体" w:cs="Times New Roman"/>
                <w:color w:val="auto"/>
                <w:szCs w:val="21"/>
                <w:highlight w:val="none"/>
              </w:rPr>
              <w:t>专家库中随机抽取。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6.4</w:t>
            </w:r>
          </w:p>
        </w:tc>
        <w:tc>
          <w:tcPr>
            <w:tcW w:w="2880" w:type="dxa"/>
            <w:noWrap w:val="0"/>
            <w:vAlign w:val="center"/>
          </w:tcPr>
          <w:p>
            <w:pPr>
              <w:spacing w:line="360" w:lineRule="exact"/>
              <w:jc w:val="center"/>
              <w:rPr>
                <w:color w:val="auto"/>
                <w:szCs w:val="21"/>
                <w:highlight w:val="none"/>
              </w:rPr>
            </w:pPr>
            <w:r>
              <w:rPr>
                <w:rFonts w:hint="eastAsia" w:ascii="宋体" w:hAnsi="宋体"/>
                <w:color w:val="auto"/>
                <w:szCs w:val="21"/>
                <w:highlight w:val="none"/>
              </w:rPr>
              <w:t>定标候选人公示媒体</w:t>
            </w:r>
          </w:p>
        </w:tc>
        <w:tc>
          <w:tcPr>
            <w:tcW w:w="5718" w:type="dxa"/>
            <w:noWrap w:val="0"/>
            <w:vAlign w:val="center"/>
          </w:tcPr>
          <w:p>
            <w:pPr>
              <w:autoSpaceDE w:val="0"/>
              <w:autoSpaceDN w:val="0"/>
              <w:adjustRightInd w:val="0"/>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公示方式：网站公示</w:t>
            </w:r>
          </w:p>
          <w:p>
            <w:pPr>
              <w:spacing w:line="324" w:lineRule="auto"/>
              <w:rPr>
                <w:rFonts w:ascii="宋体" w:hAnsi="宋体" w:cs="宋体"/>
                <w:color w:val="auto"/>
                <w:szCs w:val="21"/>
                <w:highlight w:val="none"/>
              </w:rPr>
            </w:pPr>
            <w:r>
              <w:rPr>
                <w:rFonts w:hint="eastAsia" w:ascii="宋体" w:hAnsi="宋体"/>
                <w:color w:val="auto"/>
                <w:kern w:val="0"/>
                <w:szCs w:val="21"/>
                <w:highlight w:val="none"/>
              </w:rPr>
              <w:t>公示网站：</w:t>
            </w:r>
            <w:r>
              <w:rPr>
                <w:rFonts w:hint="eastAsia" w:ascii="宋体" w:hAnsi="宋体" w:cs="宋体"/>
                <w:color w:val="auto"/>
                <w:szCs w:val="21"/>
                <w:highlight w:val="none"/>
              </w:rPr>
              <w:t>福建省公共资源交易电子公共服务平台（网址：</w:t>
            </w:r>
            <w:r>
              <w:rPr>
                <w:color w:val="auto"/>
                <w:szCs w:val="21"/>
                <w:highlight w:val="none"/>
              </w:rPr>
              <w:fldChar w:fldCharType="begin"/>
            </w:r>
            <w:r>
              <w:rPr>
                <w:color w:val="auto"/>
                <w:szCs w:val="21"/>
                <w:highlight w:val="none"/>
              </w:rPr>
              <w:instrText xml:space="preserve">HYPERLINK "http://www.fjbid.gov.cn）、电子招标投标交易平台"</w:instrText>
            </w:r>
            <w:r>
              <w:rPr>
                <w:color w:val="auto"/>
                <w:szCs w:val="21"/>
                <w:highlight w:val="none"/>
              </w:rPr>
              <w:fldChar w:fldCharType="separate"/>
            </w:r>
            <w:r>
              <w:rPr>
                <w:rFonts w:ascii="宋体" w:hAnsi="宋体"/>
                <w:color w:val="auto"/>
                <w:szCs w:val="21"/>
                <w:highlight w:val="none"/>
              </w:rPr>
              <w:t>ggzyfw.fj.gov.cn</w:t>
            </w:r>
            <w:r>
              <w:rPr>
                <w:rStyle w:val="50"/>
                <w:rFonts w:hint="eastAsia" w:ascii="宋体" w:hAnsi="宋体" w:cs="宋体"/>
                <w:color w:val="auto"/>
                <w:szCs w:val="21"/>
                <w:highlight w:val="none"/>
              </w:rPr>
              <w:t>）、电子招标投标交易平台</w:t>
            </w:r>
            <w:r>
              <w:rPr>
                <w:color w:val="auto"/>
                <w:szCs w:val="21"/>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7.2</w:t>
            </w:r>
          </w:p>
        </w:tc>
        <w:tc>
          <w:tcPr>
            <w:tcW w:w="2880" w:type="dxa"/>
            <w:noWrap w:val="0"/>
            <w:vAlign w:val="center"/>
          </w:tcPr>
          <w:p>
            <w:pPr>
              <w:pStyle w:val="115"/>
              <w:spacing w:before="120" w:beforeLines="50" w:line="300" w:lineRule="auto"/>
              <w:jc w:val="center"/>
              <w:rPr>
                <w:rFonts w:hint="eastAsia" w:ascii="宋体" w:hAnsi="宋体"/>
                <w:color w:val="auto"/>
                <w:szCs w:val="21"/>
                <w:highlight w:val="none"/>
              </w:rPr>
            </w:pPr>
            <w:r>
              <w:rPr>
                <w:rFonts w:hint="eastAsia" w:ascii="宋体" w:hAnsi="宋体" w:cs="宋体"/>
                <w:color w:val="auto"/>
                <w:szCs w:val="21"/>
                <w:highlight w:val="none"/>
              </w:rPr>
              <w:t>定标办法</w:t>
            </w:r>
          </w:p>
        </w:tc>
        <w:tc>
          <w:tcPr>
            <w:tcW w:w="5718" w:type="dxa"/>
            <w:noWrap w:val="0"/>
            <w:vAlign w:val="top"/>
          </w:tcPr>
          <w:p>
            <w:pPr>
              <w:spacing w:line="360" w:lineRule="exact"/>
              <w:jc w:val="left"/>
              <w:rPr>
                <w:rFonts w:hint="eastAsia" w:ascii="宋体" w:hAnsi="宋体"/>
                <w:color w:val="auto"/>
                <w:szCs w:val="21"/>
                <w:highlight w:val="none"/>
              </w:rPr>
            </w:pPr>
            <w:r>
              <w:rPr>
                <w:rFonts w:hint="eastAsia" w:ascii="宋体" w:hAnsi="宋体"/>
                <w:color w:val="auto"/>
                <w:szCs w:val="21"/>
                <w:highlight w:val="none"/>
                <w:lang w:val="zh-CN" w:bidi="zh-CN"/>
              </w:rPr>
              <w:t xml:space="preserve">□ </w:t>
            </w:r>
            <w:r>
              <w:rPr>
                <w:rFonts w:hint="eastAsia" w:ascii="宋体" w:hAnsi="宋体"/>
                <w:color w:val="auto"/>
                <w:szCs w:val="21"/>
                <w:highlight w:val="none"/>
              </w:rPr>
              <w:t>票决定标法中的</w:t>
            </w:r>
            <w:r>
              <w:rPr>
                <w:rFonts w:hint="eastAsia" w:ascii="宋体" w:hAnsi="宋体"/>
                <w:color w:val="auto"/>
                <w:szCs w:val="21"/>
                <w:highlight w:val="none"/>
                <w:lang w:val="zh-CN" w:bidi="zh-CN"/>
              </w:rPr>
              <w:sym w:font="Wingdings 2" w:char="00A3"/>
            </w:r>
            <w:r>
              <w:rPr>
                <w:rFonts w:hint="eastAsia" w:ascii="宋体" w:hAnsi="宋体"/>
                <w:color w:val="auto"/>
                <w:szCs w:val="21"/>
                <w:highlight w:val="none"/>
                <w:lang w:val="zh-CN" w:bidi="zh-CN"/>
              </w:rPr>
              <w:t>直接票决法或□逐轮票决法</w:t>
            </w:r>
          </w:p>
          <w:p>
            <w:pPr>
              <w:spacing w:line="360" w:lineRule="exact"/>
              <w:jc w:val="left"/>
              <w:rPr>
                <w:rFonts w:hint="eastAsia" w:ascii="宋体" w:hAnsi="宋体"/>
                <w:color w:val="auto"/>
                <w:szCs w:val="21"/>
                <w:highlight w:val="none"/>
              </w:rPr>
            </w:pPr>
            <w:r>
              <w:rPr>
                <w:rFonts w:hint="eastAsia" w:ascii="宋体" w:hAnsi="宋体"/>
                <w:color w:val="auto"/>
                <w:szCs w:val="21"/>
                <w:highlight w:val="none"/>
                <w:lang w:val="zh-CN" w:bidi="zh-CN"/>
              </w:rPr>
              <w:t xml:space="preserve">□ </w:t>
            </w:r>
            <w:r>
              <w:rPr>
                <w:rFonts w:hint="eastAsia" w:ascii="宋体" w:hAnsi="宋体"/>
                <w:color w:val="auto"/>
                <w:szCs w:val="21"/>
                <w:highlight w:val="none"/>
              </w:rPr>
              <w:t>票决抽签定标法</w:t>
            </w:r>
          </w:p>
          <w:p>
            <w:pPr>
              <w:pStyle w:val="115"/>
              <w:spacing w:before="120" w:beforeLines="50" w:line="300" w:lineRule="auto"/>
              <w:jc w:val="left"/>
              <w:rPr>
                <w:rFonts w:hint="eastAsia" w:ascii="宋体" w:hAnsi="宋体"/>
                <w:color w:val="auto"/>
                <w:kern w:val="0"/>
                <w:szCs w:val="21"/>
                <w:highlight w:val="none"/>
              </w:rPr>
            </w:pPr>
            <w:r>
              <w:rPr>
                <w:rFonts w:hint="eastAsia" w:ascii="宋体" w:hAnsi="宋体"/>
                <w:color w:val="auto"/>
                <w:szCs w:val="21"/>
                <w:highlight w:val="none"/>
                <w:lang w:val="zh-CN" w:bidi="zh-CN"/>
              </w:rPr>
              <w:sym w:font="Wingdings 2" w:char="00A3"/>
            </w:r>
            <w:r>
              <w:rPr>
                <w:rFonts w:hint="eastAsia" w:ascii="宋体" w:hAnsi="宋体"/>
                <w:color w:val="auto"/>
                <w:szCs w:val="21"/>
                <w:highlight w:val="none"/>
                <w:lang w:val="zh-CN" w:bidi="zh-CN"/>
              </w:rPr>
              <w:t xml:space="preserve"> </w:t>
            </w:r>
            <w:r>
              <w:rPr>
                <w:rFonts w:hint="eastAsia" w:ascii="宋体" w:hAnsi="宋体"/>
                <w:color w:val="auto"/>
                <w:szCs w:val="21"/>
                <w:highlight w:val="none"/>
              </w:rPr>
              <w:t>票决低价定标法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7.3.1</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履约保证金</w:t>
            </w:r>
          </w:p>
          <w:p>
            <w:pPr>
              <w:spacing w:line="360" w:lineRule="exact"/>
              <w:jc w:val="center"/>
              <w:rPr>
                <w:rFonts w:ascii="宋体" w:hAnsi="宋体"/>
                <w:color w:val="auto"/>
                <w:szCs w:val="21"/>
                <w:highlight w:val="none"/>
              </w:rPr>
            </w:pPr>
            <w:r>
              <w:rPr>
                <w:rFonts w:hint="eastAsia"/>
                <w:color w:val="auto"/>
                <w:szCs w:val="21"/>
                <w:highlight w:val="none"/>
              </w:rPr>
              <w:t>（不超过中标合同金额的10%）</w:t>
            </w:r>
          </w:p>
        </w:tc>
        <w:tc>
          <w:tcPr>
            <w:tcW w:w="5718" w:type="dxa"/>
            <w:noWrap w:val="0"/>
            <w:vAlign w:val="center"/>
          </w:tcPr>
          <w:p>
            <w:pPr>
              <w:spacing w:line="360" w:lineRule="exact"/>
              <w:rPr>
                <w:rFonts w:hint="eastAsia" w:ascii="宋体" w:hAnsi="宋体" w:cs="Times New Roman"/>
                <w:color w:val="auto"/>
                <w:szCs w:val="21"/>
                <w:highlight w:val="none"/>
                <w:lang w:val="en"/>
              </w:rPr>
            </w:pPr>
            <w:r>
              <w:rPr>
                <w:rFonts w:hint="eastAsia" w:ascii="宋体" w:hAnsi="宋体" w:cs="Times New Roman"/>
                <w:bCs/>
                <w:color w:val="auto"/>
                <w:szCs w:val="21"/>
                <w:highlight w:val="none"/>
              </w:rPr>
              <w:t>□</w:t>
            </w:r>
            <w:r>
              <w:rPr>
                <w:rFonts w:hint="eastAsia" w:ascii="宋体" w:hAnsi="宋体" w:cs="Times New Roman"/>
                <w:color w:val="auto"/>
                <w:szCs w:val="21"/>
                <w:highlight w:val="none"/>
                <w:lang w:val="en"/>
              </w:rPr>
              <w:t>不需要提供</w:t>
            </w:r>
          </w:p>
          <w:p>
            <w:pPr>
              <w:spacing w:line="360" w:lineRule="exact"/>
              <w:rPr>
                <w:rFonts w:hint="eastAsia" w:ascii="宋体" w:hAnsi="宋体" w:cs="Times New Roman"/>
                <w:color w:val="auto"/>
                <w:szCs w:val="21"/>
                <w:highlight w:val="none"/>
              </w:rPr>
            </w:pPr>
            <w:r>
              <w:rPr>
                <w:rFonts w:hint="eastAsia" w:ascii="宋体" w:hAnsi="宋体" w:cs="Times New Roman"/>
                <w:bCs/>
                <w:color w:val="auto"/>
                <w:szCs w:val="21"/>
                <w:highlight w:val="none"/>
              </w:rPr>
              <w:t>□</w:t>
            </w:r>
            <w:r>
              <w:rPr>
                <w:rFonts w:hint="eastAsia" w:ascii="宋体" w:hAnsi="宋体" w:cs="Times New Roman"/>
                <w:color w:val="auto"/>
                <w:szCs w:val="21"/>
                <w:highlight w:val="none"/>
              </w:rPr>
              <w:t>需提供</w:t>
            </w:r>
          </w:p>
          <w:p>
            <w:pPr>
              <w:numPr>
                <w:ilvl w:val="0"/>
                <w:numId w:val="3"/>
              </w:numPr>
              <w:spacing w:line="320" w:lineRule="exact"/>
              <w:ind w:left="210" w:hanging="210" w:hangingChars="100"/>
              <w:rPr>
                <w:rFonts w:hint="eastAsia" w:ascii="宋体" w:hAnsi="宋体" w:cs="Times New Roman"/>
                <w:color w:val="auto"/>
                <w:szCs w:val="21"/>
                <w:highlight w:val="none"/>
              </w:rPr>
            </w:pPr>
            <w:r>
              <w:rPr>
                <w:rFonts w:hint="eastAsia" w:ascii="宋体" w:hAnsi="宋体" w:cs="Times New Roman"/>
                <w:color w:val="auto"/>
                <w:szCs w:val="21"/>
                <w:highlight w:val="none"/>
              </w:rPr>
              <w:t>履约</w:t>
            </w:r>
            <w:r>
              <w:rPr>
                <w:rFonts w:ascii="宋体" w:hAnsi="宋体" w:cs="Times New Roman"/>
                <w:color w:val="auto"/>
                <w:szCs w:val="21"/>
                <w:highlight w:val="none"/>
              </w:rPr>
              <w:t>保证金提交的方式</w:t>
            </w:r>
            <w:r>
              <w:rPr>
                <w:rFonts w:hint="eastAsia" w:ascii="宋体" w:hAnsi="宋体" w:cs="Times New Roman"/>
                <w:color w:val="auto"/>
                <w:szCs w:val="21"/>
                <w:highlight w:val="none"/>
              </w:rPr>
              <w:t>（可按以下任一方式提交）</w:t>
            </w:r>
          </w:p>
          <w:p>
            <w:pPr>
              <w:spacing w:line="320" w:lineRule="exact"/>
              <w:ind w:left="-210" w:leftChars="-100" w:firstLine="420" w:firstLineChars="200"/>
              <w:rPr>
                <w:rFonts w:hint="eastAsia" w:ascii="宋体" w:hAnsi="宋体" w:cs="Times New Roman"/>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Times New Roman"/>
                <w:color w:val="auto"/>
                <w:szCs w:val="21"/>
                <w:highlight w:val="none"/>
              </w:rPr>
              <w:t>保函形式</w:t>
            </w:r>
          </w:p>
          <w:p>
            <w:pPr>
              <w:spacing w:line="320" w:lineRule="exact"/>
              <w:ind w:firstLine="210" w:firstLineChars="100"/>
              <w:rPr>
                <w:rFonts w:hint="eastAsia" w:ascii="宋体" w:hAnsi="宋体" w:cs="Times New Roman"/>
                <w:bCs/>
                <w:color w:val="auto"/>
                <w:szCs w:val="21"/>
                <w:highlight w:val="none"/>
                <w:u w:val="single"/>
              </w:rPr>
            </w:pPr>
            <w:r>
              <w:rPr>
                <w:rFonts w:hint="eastAsia" w:ascii="宋体" w:hAnsi="宋体" w:cs="Times New Roman"/>
                <w:bCs/>
                <w:color w:val="auto"/>
                <w:szCs w:val="21"/>
                <w:highlight w:val="none"/>
              </w:rPr>
              <w:sym w:font="Wingdings 2" w:char="00A3"/>
            </w:r>
            <w:r>
              <w:rPr>
                <w:rFonts w:hint="eastAsia" w:ascii="宋体" w:hAnsi="宋体" w:cs="Times New Roman"/>
                <w:bCs/>
                <w:color w:val="auto"/>
                <w:szCs w:val="21"/>
                <w:highlight w:val="none"/>
              </w:rPr>
              <w:t>银行：</w:t>
            </w:r>
            <w:r>
              <w:rPr>
                <w:rFonts w:hint="eastAsia" w:ascii="宋体" w:hAnsi="宋体" w:cs="Times New Roman"/>
                <w:bCs/>
                <w:color w:val="auto"/>
                <w:szCs w:val="21"/>
                <w:highlight w:val="none"/>
                <w:u w:val="single"/>
              </w:rPr>
              <w:t xml:space="preserve">                                               </w:t>
            </w:r>
          </w:p>
          <w:p>
            <w:pPr>
              <w:autoSpaceDE w:val="0"/>
              <w:autoSpaceDN w:val="0"/>
              <w:spacing w:line="320" w:lineRule="exact"/>
              <w:ind w:firstLine="210" w:firstLineChars="100"/>
              <w:rPr>
                <w:rFonts w:hint="eastAsia" w:ascii="宋体" w:hAnsi="宋体" w:cs="Times New Roman"/>
                <w:bCs/>
                <w:color w:val="auto"/>
                <w:szCs w:val="21"/>
                <w:highlight w:val="none"/>
                <w:u w:val="single"/>
              </w:rPr>
            </w:pPr>
            <w:r>
              <w:rPr>
                <w:rFonts w:hint="eastAsia" w:ascii="宋体" w:hAnsi="宋体" w:cs="Times New Roman"/>
                <w:bCs/>
                <w:color w:val="auto"/>
                <w:szCs w:val="21"/>
                <w:highlight w:val="none"/>
              </w:rPr>
              <w:sym w:font="Wingdings 2" w:char="00A3"/>
            </w:r>
            <w:r>
              <w:rPr>
                <w:rFonts w:hint="eastAsia" w:ascii="宋体" w:hAnsi="宋体" w:cs="Times New Roman"/>
                <w:bCs/>
                <w:color w:val="auto"/>
                <w:szCs w:val="21"/>
                <w:highlight w:val="none"/>
              </w:rPr>
              <w:t>其他金融机构：</w:t>
            </w:r>
            <w:r>
              <w:rPr>
                <w:rFonts w:hint="eastAsia" w:ascii="宋体" w:hAnsi="宋体" w:cs="Times New Roman"/>
                <w:bCs/>
                <w:color w:val="auto"/>
                <w:szCs w:val="21"/>
                <w:highlight w:val="none"/>
                <w:u w:val="single"/>
              </w:rPr>
              <w:t xml:space="preserve">                 </w:t>
            </w:r>
          </w:p>
          <w:p>
            <w:pPr>
              <w:autoSpaceDE w:val="0"/>
              <w:autoSpaceDN w:val="0"/>
              <w:spacing w:line="320" w:lineRule="exact"/>
              <w:ind w:firstLine="210" w:firstLineChars="100"/>
              <w:rPr>
                <w:rFonts w:ascii="宋体" w:hAnsi="宋体" w:cs="Times New Roman"/>
                <w:bCs/>
                <w:color w:val="auto"/>
                <w:szCs w:val="21"/>
                <w:highlight w:val="none"/>
                <w:u w:val="single"/>
              </w:rPr>
            </w:pPr>
            <w:r>
              <w:rPr>
                <w:rFonts w:hint="eastAsia" w:ascii="汉仪书宋二S" w:hAnsi="汉仪书宋二S" w:eastAsia="汉仪书宋二S" w:cs="汉仪书宋二S"/>
                <w:color w:val="auto"/>
                <w:szCs w:val="21"/>
                <w:highlight w:val="none"/>
              </w:rPr>
              <w:t>②</w:t>
            </w:r>
            <w:r>
              <w:rPr>
                <w:rFonts w:hint="eastAsia" w:ascii="宋体" w:hAnsi="宋体" w:eastAsia="汉仪书宋二S" w:cs="Times New Roman"/>
                <w:color w:val="auto"/>
                <w:szCs w:val="21"/>
                <w:highlight w:val="none"/>
              </w:rPr>
              <w:t>现金形式</w:t>
            </w:r>
            <w:r>
              <w:rPr>
                <w:rFonts w:hint="eastAsia" w:ascii="宋体" w:hAnsi="宋体" w:cs="Times New Roman"/>
                <w:color w:val="auto"/>
                <w:szCs w:val="21"/>
                <w:highlight w:val="none"/>
              </w:rPr>
              <w:t>：</w:t>
            </w:r>
            <w:r>
              <w:rPr>
                <w:rFonts w:hint="eastAsia" w:ascii="宋体" w:hAnsi="宋体" w:cs="宋体"/>
                <w:color w:val="auto"/>
                <w:szCs w:val="21"/>
                <w:highlight w:val="none"/>
                <w:u w:val="single"/>
              </w:rPr>
              <w:t>应从投标人基本账户</w:t>
            </w:r>
            <w:r>
              <w:rPr>
                <w:rFonts w:hint="eastAsia" w:ascii="宋体" w:hAnsi="宋体" w:cs="宋体"/>
                <w:bCs/>
                <w:color w:val="auto"/>
                <w:szCs w:val="21"/>
                <w:highlight w:val="none"/>
                <w:u w:val="single"/>
              </w:rPr>
              <w:t>以</w:t>
            </w:r>
            <w:r>
              <w:rPr>
                <w:rFonts w:hint="eastAsia" w:ascii="宋体" w:hAnsi="宋体" w:cs="宋体"/>
                <w:color w:val="auto"/>
                <w:szCs w:val="21"/>
                <w:highlight w:val="none"/>
                <w:u w:val="single"/>
              </w:rPr>
              <w:t>电汇或银行转账方式提交(以款项到达时间为准)，并应在电汇或银行转账单上注明为本招标项目的履约保证金。</w:t>
            </w:r>
            <w:r>
              <w:rPr>
                <w:rFonts w:hint="eastAsia" w:ascii="宋体" w:hAnsi="宋体" w:cs="Times New Roman"/>
                <w:color w:val="auto"/>
                <w:szCs w:val="21"/>
                <w:highlight w:val="none"/>
                <w:u w:val="single"/>
              </w:rPr>
              <w:t xml:space="preserve">  </w:t>
            </w:r>
            <w:r>
              <w:rPr>
                <w:rFonts w:hint="eastAsia" w:ascii="宋体" w:hAnsi="宋体" w:cs="Times New Roman"/>
                <w:bCs/>
                <w:color w:val="auto"/>
                <w:szCs w:val="21"/>
                <w:highlight w:val="none"/>
                <w:u w:val="single"/>
              </w:rPr>
              <w:t xml:space="preserve">                      </w:t>
            </w:r>
          </w:p>
          <w:p>
            <w:pPr>
              <w:autoSpaceDE w:val="0"/>
              <w:autoSpaceDN w:val="0"/>
              <w:spacing w:line="360" w:lineRule="exact"/>
              <w:rPr>
                <w:rFonts w:cs="Times New Roman"/>
                <w:color w:val="auto"/>
                <w:szCs w:val="21"/>
                <w:highlight w:val="none"/>
              </w:rPr>
            </w:pPr>
            <w:r>
              <w:rPr>
                <w:rFonts w:hint="eastAsia" w:ascii="宋体" w:hAnsi="宋体" w:cs="Times New Roman"/>
                <w:color w:val="auto"/>
                <w:szCs w:val="21"/>
                <w:highlight w:val="none"/>
              </w:rPr>
              <w:t>（2）履约担保的金额：</w:t>
            </w:r>
            <w:r>
              <w:rPr>
                <w:rFonts w:hint="eastAsia" w:ascii="宋体" w:hAnsi="宋体" w:cs="Times New Roman"/>
                <w:color w:val="auto"/>
                <w:kern w:val="0"/>
                <w:szCs w:val="21"/>
                <w:highlight w:val="none"/>
              </w:rPr>
              <w:t>中标合同金额</w:t>
            </w:r>
            <w:r>
              <w:rPr>
                <w:rFonts w:hint="eastAsia" w:ascii="宋体" w:hAnsi="宋体" w:cs="Times New Roman"/>
                <w:color w:val="auto"/>
                <w:szCs w:val="21"/>
                <w:highlight w:val="none"/>
              </w:rPr>
              <w:t>的</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cs="Times New Roman"/>
                <w:color w:val="auto"/>
                <w:szCs w:val="21"/>
                <w:highlight w:val="none"/>
              </w:rPr>
              <w:t>。</w:t>
            </w:r>
          </w:p>
          <w:p>
            <w:pPr>
              <w:spacing w:line="324" w:lineRule="auto"/>
              <w:ind w:firstLine="420" w:firstLineChars="200"/>
              <w:rPr>
                <w:rFonts w:ascii="宋体" w:hAnsi="宋体" w:cs="宋体"/>
                <w:color w:val="auto"/>
                <w:szCs w:val="21"/>
                <w:highlight w:val="none"/>
                <w:u w:val="single"/>
              </w:rPr>
            </w:pPr>
            <w:r>
              <w:rPr>
                <w:rFonts w:hint="eastAsia" w:ascii="宋体" w:hAnsi="宋体" w:cs="Times New Roman"/>
                <w:color w:val="auto"/>
                <w:szCs w:val="21"/>
                <w:highlight w:val="none"/>
              </w:rPr>
              <w:t>中标人应在收到中标通知书后30天内，在签订合同协议书之前提交。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9.5</w:t>
            </w:r>
          </w:p>
        </w:tc>
        <w:tc>
          <w:tcPr>
            <w:tcW w:w="2880" w:type="dxa"/>
            <w:noWrap w:val="0"/>
            <w:vAlign w:val="center"/>
          </w:tcPr>
          <w:p>
            <w:pPr>
              <w:spacing w:line="360" w:lineRule="exact"/>
              <w:jc w:val="center"/>
              <w:rPr>
                <w:color w:val="auto"/>
                <w:szCs w:val="21"/>
                <w:highlight w:val="none"/>
              </w:rPr>
            </w:pPr>
            <w:r>
              <w:rPr>
                <w:rFonts w:hint="eastAsia"/>
                <w:color w:val="auto"/>
                <w:szCs w:val="21"/>
                <w:highlight w:val="none"/>
              </w:rPr>
              <w:t>行政监督主管部门</w:t>
            </w:r>
          </w:p>
        </w:tc>
        <w:tc>
          <w:tcPr>
            <w:tcW w:w="5718" w:type="dxa"/>
            <w:noWrap w:val="0"/>
            <w:vAlign w:val="center"/>
          </w:tcPr>
          <w:p>
            <w:pPr>
              <w:snapToGrid w:val="0"/>
              <w:spacing w:line="324"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单位名称：</w:t>
            </w:r>
            <w:r>
              <w:rPr>
                <w:rFonts w:hint="eastAsia" w:ascii="宋体" w:hAnsi="宋体" w:cs="宋体"/>
                <w:snapToGrid w:val="0"/>
                <w:color w:val="auto"/>
                <w:kern w:val="0"/>
                <w:szCs w:val="21"/>
                <w:highlight w:val="none"/>
                <w:u w:val="single"/>
              </w:rPr>
              <w:t xml:space="preserve">                </w:t>
            </w:r>
          </w:p>
          <w:p>
            <w:pPr>
              <w:snapToGrid w:val="0"/>
              <w:spacing w:line="324"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   址：</w:t>
            </w:r>
            <w:r>
              <w:rPr>
                <w:rFonts w:hint="eastAsia" w:ascii="宋体" w:hAnsi="宋体" w:cs="宋体"/>
                <w:snapToGrid w:val="0"/>
                <w:color w:val="auto"/>
                <w:kern w:val="0"/>
                <w:szCs w:val="21"/>
                <w:highlight w:val="none"/>
                <w:u w:val="single"/>
              </w:rPr>
              <w:t xml:space="preserve">                     </w:t>
            </w:r>
          </w:p>
          <w:p>
            <w:pPr>
              <w:snapToGrid w:val="0"/>
              <w:spacing w:line="324"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电   话：</w:t>
            </w:r>
            <w:r>
              <w:rPr>
                <w:rFonts w:hint="eastAsia" w:ascii="宋体" w:hAnsi="宋体" w:cs="宋体"/>
                <w:snapToGrid w:val="0"/>
                <w:color w:val="auto"/>
                <w:kern w:val="0"/>
                <w:szCs w:val="21"/>
                <w:highlight w:val="none"/>
                <w:u w:val="single"/>
              </w:rPr>
              <w:t xml:space="preserve">                 </w:t>
            </w:r>
          </w:p>
          <w:p>
            <w:pPr>
              <w:snapToGrid w:val="0"/>
              <w:spacing w:line="324"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r>
              <w:rPr>
                <w:rFonts w:hint="eastAsia" w:ascii="宋体" w:hAnsi="宋体" w:cs="宋体"/>
                <w:snapToGrid w:val="0"/>
                <w:color w:val="auto"/>
                <w:kern w:val="0"/>
                <w:szCs w:val="21"/>
                <w:highlight w:val="none"/>
                <w:u w:val="single"/>
              </w:rPr>
              <w:t xml:space="preserve">                    </w:t>
            </w:r>
          </w:p>
          <w:p>
            <w:pPr>
              <w:tabs>
                <w:tab w:val="left" w:pos="480"/>
              </w:tabs>
              <w:adjustRightInd w:val="0"/>
              <w:snapToGrid w:val="0"/>
              <w:spacing w:line="324" w:lineRule="auto"/>
              <w:ind w:firstLine="420" w:firstLineChars="200"/>
              <w:rPr>
                <w:rFonts w:ascii="宋体" w:hAnsi="宋体" w:cs="宋体"/>
                <w:color w:val="auto"/>
                <w:szCs w:val="21"/>
                <w:highlight w:val="none"/>
              </w:rPr>
            </w:pPr>
            <w:r>
              <w:rPr>
                <w:rFonts w:hint="eastAsia" w:ascii="宋体" w:hAnsi="宋体" w:cs="宋体"/>
                <w:snapToGrid w:val="0"/>
                <w:color w:val="auto"/>
                <w:kern w:val="0"/>
                <w:szCs w:val="21"/>
                <w:highlight w:val="none"/>
              </w:rPr>
              <w:t>邮   编：</w:t>
            </w:r>
            <w:r>
              <w:rPr>
                <w:rFonts w:hint="eastAsia" w:ascii="宋体" w:hAnsi="宋体" w:cs="宋体"/>
                <w:snapToGrid w:val="0"/>
                <w:color w:val="auto"/>
                <w:kern w:val="0"/>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pStyle w:val="41"/>
              <w:spacing w:after="0" w:line="360" w:lineRule="exact"/>
              <w:ind w:firstLine="0" w:firstLineChars="0"/>
              <w:jc w:val="center"/>
              <w:rPr>
                <w:color w:val="auto"/>
                <w:szCs w:val="21"/>
                <w:highlight w:val="none"/>
              </w:rPr>
            </w:pPr>
            <w:r>
              <w:rPr>
                <w:rFonts w:hint="eastAsia"/>
                <w:color w:val="auto"/>
                <w:szCs w:val="21"/>
                <w:highlight w:val="none"/>
              </w:rPr>
              <w:t>10</w:t>
            </w:r>
          </w:p>
        </w:tc>
        <w:tc>
          <w:tcPr>
            <w:tcW w:w="2880" w:type="dxa"/>
            <w:noWrap w:val="0"/>
            <w:vAlign w:val="center"/>
          </w:tcPr>
          <w:p>
            <w:pPr>
              <w:spacing w:line="360" w:lineRule="exact"/>
              <w:ind w:firstLine="420" w:firstLineChars="200"/>
              <w:rPr>
                <w:color w:val="auto"/>
                <w:szCs w:val="21"/>
                <w:highlight w:val="none"/>
              </w:rPr>
            </w:pPr>
            <w:r>
              <w:rPr>
                <w:rFonts w:hint="eastAsia" w:ascii="宋体" w:hAnsi="宋体" w:cs="宋体"/>
                <w:color w:val="auto"/>
                <w:szCs w:val="21"/>
                <w:highlight w:val="none"/>
              </w:rPr>
              <w:t>需要补充的其他内容：</w:t>
            </w:r>
          </w:p>
        </w:tc>
        <w:tc>
          <w:tcPr>
            <w:tcW w:w="5718" w:type="dxa"/>
            <w:noWrap w:val="0"/>
            <w:vAlign w:val="center"/>
          </w:tcPr>
          <w:p>
            <w:pPr>
              <w:tabs>
                <w:tab w:val="left" w:pos="480"/>
              </w:tabs>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10.1评标结束后，定标候选人提交的投标报价、业绩及总监理工程师的姓名和相关证书编号、信用分享用情况，以及被否决投标的投标人名称、否决依据和原因等将在</w:t>
            </w:r>
            <w:r>
              <w:rPr>
                <w:rFonts w:hint="eastAsia" w:ascii="宋体" w:hAnsi="宋体"/>
                <w:snapToGrid w:val="0"/>
                <w:color w:val="auto"/>
                <w:kern w:val="0"/>
                <w:szCs w:val="21"/>
                <w:highlight w:val="none"/>
                <w:u w:val="single"/>
              </w:rPr>
              <w:t>交易网站上</w:t>
            </w:r>
            <w:r>
              <w:rPr>
                <w:rFonts w:hint="eastAsia" w:ascii="宋体" w:hAnsi="宋体"/>
                <w:snapToGrid w:val="0"/>
                <w:color w:val="auto"/>
                <w:kern w:val="0"/>
                <w:szCs w:val="21"/>
                <w:highlight w:val="none"/>
              </w:rPr>
              <w:t>进行公示，接受社会监督。若经查实存在弄虚作假行为，招标人将取消其定标候选人资格，并报省交通运输厅按法律、法规、规章及福建省交通建设市场信用考核管理办法有关规定处理。</w:t>
            </w:r>
          </w:p>
          <w:p>
            <w:pPr>
              <w:tabs>
                <w:tab w:val="left" w:pos="480"/>
              </w:tabs>
              <w:adjustRightInd w:val="0"/>
              <w:snapToGrid w:val="0"/>
              <w:spacing w:line="360" w:lineRule="auto"/>
              <w:ind w:firstLine="525" w:firstLineChars="250"/>
              <w:rPr>
                <w:rFonts w:ascii="宋体" w:hAnsi="宋体"/>
                <w:snapToGrid w:val="0"/>
                <w:color w:val="auto"/>
                <w:kern w:val="0"/>
                <w:szCs w:val="21"/>
                <w:highlight w:val="none"/>
              </w:rPr>
            </w:pPr>
            <w:r>
              <w:rPr>
                <w:rFonts w:hint="eastAsia" w:ascii="宋体" w:hAnsi="宋体"/>
                <w:snapToGrid w:val="0"/>
                <w:color w:val="auto"/>
                <w:kern w:val="0"/>
                <w:szCs w:val="21"/>
                <w:highlight w:val="none"/>
              </w:rPr>
              <w:t>10.2 潜在投标人或者投标人及其他利害关系人对招标文件或者评标结果有异议的，应当在《中华人民共和国招标投标法实施条例》规定的期限内以书面形式向招标人提出。异议的内容和要求应当符合《工程建设项目招标投标活动投诉处理办法》（国家发改委等七部委令第11号）第七条的规定，否则不予受理。对恶意虚假投诉的，将报请行政主管部门按有关规定进行处理，并限制其参加相应项目投标。</w:t>
            </w:r>
          </w:p>
          <w:p>
            <w:pPr>
              <w:tabs>
                <w:tab w:val="left" w:pos="480"/>
              </w:tabs>
              <w:adjustRightInd w:val="0"/>
              <w:snapToGrid w:val="0"/>
              <w:spacing w:line="324"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10.3中标人在中标结果公示结束前应向招标代理递交纸质版投标文件一式五份，纸质投标文件应与交易系统递交的电子文件一致。</w:t>
            </w:r>
          </w:p>
          <w:p>
            <w:pPr>
              <w:tabs>
                <w:tab w:val="left" w:pos="480"/>
              </w:tabs>
              <w:adjustRightInd w:val="0"/>
              <w:snapToGrid w:val="0"/>
              <w:spacing w:line="324" w:lineRule="auto"/>
              <w:ind w:firstLine="420" w:firstLineChars="200"/>
              <w:rPr>
                <w:rFonts w:ascii="宋体" w:hAnsi="宋体" w:cs="宋体"/>
                <w:snapToGrid w:val="0"/>
                <w:color w:val="auto"/>
                <w:kern w:val="0"/>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其他要求……</w:t>
            </w:r>
          </w:p>
        </w:tc>
      </w:tr>
    </w:tbl>
    <w:p>
      <w:pPr>
        <w:rPr>
          <w:rStyle w:val="54"/>
          <w:rFonts w:ascii="宋体" w:hAnsi="宋体"/>
          <w:color w:val="auto"/>
          <w:sz w:val="24"/>
          <w:szCs w:val="24"/>
          <w:highlight w:val="none"/>
        </w:rPr>
      </w:pPr>
      <w:r>
        <w:rPr>
          <w:rFonts w:hint="eastAsia"/>
          <w:color w:val="auto"/>
          <w:sz w:val="24"/>
          <w:highlight w:val="none"/>
        </w:rPr>
        <w:br w:type="page"/>
      </w:r>
    </w:p>
    <w:p>
      <w:pPr>
        <w:jc w:val="left"/>
        <w:rPr>
          <w:rStyle w:val="54"/>
          <w:rFonts w:ascii="宋体" w:hAnsi="宋体"/>
          <w:color w:val="auto"/>
          <w:sz w:val="24"/>
          <w:szCs w:val="24"/>
          <w:highlight w:val="none"/>
        </w:rPr>
      </w:pPr>
    </w:p>
    <w:p>
      <w:pPr>
        <w:pStyle w:val="4"/>
        <w:jc w:val="center"/>
        <w:rPr>
          <w:rFonts w:ascii="宋体" w:hAnsi="宋体"/>
          <w:color w:val="auto"/>
          <w:highlight w:val="none"/>
        </w:rPr>
      </w:pPr>
      <w:bookmarkStart w:id="26" w:name="_Toc382997648"/>
      <w:bookmarkStart w:id="27" w:name="_Toc445392822"/>
      <w:bookmarkStart w:id="28" w:name="_Toc19612"/>
      <w:bookmarkStart w:id="29" w:name="_Toc488650772"/>
      <w:r>
        <w:rPr>
          <w:rFonts w:hint="eastAsia" w:ascii="宋体" w:hAnsi="宋体"/>
          <w:color w:val="auto"/>
          <w:highlight w:val="none"/>
        </w:rPr>
        <w:t>附件1 资格审查条件(资质条件)</w:t>
      </w:r>
      <w:bookmarkEnd w:id="26"/>
      <w:bookmarkEnd w:id="27"/>
      <w:bookmarkEnd w:id="28"/>
      <w:bookmarkEnd w:id="29"/>
    </w:p>
    <w:p>
      <w:pPr>
        <w:rPr>
          <w:rFonts w:ascii="宋体" w:hAnsi="宋体"/>
          <w:color w:val="auto"/>
          <w:highlight w:val="none"/>
        </w:rPr>
      </w:pP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8897" w:type="dxa"/>
            <w:noWrap w:val="0"/>
            <w:vAlign w:val="center"/>
          </w:tcPr>
          <w:p>
            <w:pPr>
              <w:jc w:val="center"/>
              <w:rPr>
                <w:rFonts w:ascii="宋体" w:hAnsi="宋体"/>
                <w:bCs/>
                <w:color w:val="auto"/>
                <w:szCs w:val="21"/>
                <w:highlight w:val="none"/>
              </w:rPr>
            </w:pPr>
            <w:r>
              <w:rPr>
                <w:rFonts w:hint="eastAsia" w:ascii="宋体" w:hAnsi="宋体"/>
                <w:b/>
                <w:color w:val="auto"/>
                <w:sz w:val="24"/>
                <w:highlight w:val="none"/>
              </w:rPr>
              <w:t>资质条件要求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897" w:type="dxa"/>
            <w:noWrap w:val="0"/>
            <w:vAlign w:val="center"/>
          </w:tcPr>
          <w:p>
            <w:pPr>
              <w:spacing w:line="440" w:lineRule="exact"/>
              <w:ind w:left="105" w:hanging="105" w:hangingChars="5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highlight w:val="none"/>
              </w:rPr>
              <w:t>具有</w:t>
            </w:r>
            <w:r>
              <w:rPr>
                <w:rFonts w:hint="eastAsia" w:ascii="宋体" w:hAnsi="宋体"/>
                <w:color w:val="auto"/>
                <w:highlight w:val="none"/>
                <w:u w:val="single"/>
              </w:rPr>
              <w:t xml:space="preserve">         </w:t>
            </w:r>
            <w:r>
              <w:rPr>
                <w:rFonts w:hint="eastAsia" w:ascii="宋体" w:hAnsi="宋体"/>
                <w:color w:val="auto"/>
                <w:highlight w:val="none"/>
              </w:rPr>
              <w:t>资质等级证书。</w:t>
            </w:r>
          </w:p>
          <w:p>
            <w:pPr>
              <w:spacing w:line="440" w:lineRule="exact"/>
              <w:rPr>
                <w:rFonts w:ascii="宋体" w:hAnsi="宋体"/>
                <w:color w:val="auto"/>
                <w:highlight w:val="none"/>
              </w:rPr>
            </w:pPr>
            <w:r>
              <w:rPr>
                <w:rFonts w:hint="eastAsia" w:ascii="宋体" w:hAnsi="宋体"/>
                <w:color w:val="auto"/>
                <w:szCs w:val="21"/>
                <w:highlight w:val="none"/>
              </w:rPr>
              <w:t>2、具备独立法人资格、具有有效的营业执照。</w:t>
            </w:r>
          </w:p>
          <w:p>
            <w:pPr>
              <w:spacing w:line="440" w:lineRule="exact"/>
              <w:rPr>
                <w:rFonts w:ascii="宋体" w:hAnsi="宋体"/>
                <w:color w:val="auto"/>
                <w:szCs w:val="21"/>
                <w:highlight w:val="none"/>
              </w:rPr>
            </w:pPr>
            <w:r>
              <w:rPr>
                <w:rFonts w:hint="eastAsia" w:ascii="宋体" w:hAnsi="宋体"/>
                <w:color w:val="auto"/>
                <w:szCs w:val="21"/>
                <w:highlight w:val="none"/>
              </w:rPr>
              <w:t>3、本招标项目</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（接受或不接受，要求两种及以上不同专业资质要求的，不得出现“不接受”联合体投标词汇。）</w:t>
            </w:r>
            <w:r>
              <w:rPr>
                <w:rFonts w:hint="eastAsia" w:ascii="宋体" w:hAnsi="宋体"/>
                <w:b/>
                <w:color w:val="auto"/>
                <w:szCs w:val="21"/>
                <w:highlight w:val="none"/>
                <w:u w:val="single"/>
              </w:rPr>
              <w:t xml:space="preserve">  </w:t>
            </w:r>
            <w:r>
              <w:rPr>
                <w:rFonts w:hint="eastAsia" w:ascii="宋体" w:hAnsi="宋体"/>
                <w:color w:val="auto"/>
                <w:szCs w:val="21"/>
                <w:highlight w:val="none"/>
              </w:rPr>
              <w:t>联合体投标。</w:t>
            </w:r>
          </w:p>
        </w:tc>
      </w:tr>
    </w:tbl>
    <w:p>
      <w:pPr>
        <w:rPr>
          <w:rFonts w:hint="eastAsia" w:ascii="宋体" w:hAnsi="宋体" w:cs="Times New Roman"/>
          <w:snapToGrid w:val="0"/>
          <w:color w:val="auto"/>
          <w:kern w:val="0"/>
          <w:highlight w:val="none"/>
        </w:rPr>
      </w:pPr>
      <w:r>
        <w:rPr>
          <w:rFonts w:hint="eastAsia" w:ascii="宋体" w:hAnsi="宋体" w:cs="Times New Roman"/>
          <w:snapToGrid w:val="0"/>
          <w:color w:val="auto"/>
          <w:kern w:val="0"/>
          <w:highlight w:val="none"/>
        </w:rPr>
        <w:t>注：</w:t>
      </w:r>
      <w:r>
        <w:rPr>
          <w:rFonts w:hint="eastAsia" w:ascii="宋体" w:hAnsi="宋体" w:cs="宋体"/>
          <w:color w:val="auto"/>
          <w:szCs w:val="18"/>
          <w:highlight w:val="none"/>
        </w:rPr>
        <w:t>具体资质要求由招标人在满足国家相关法律法规前提下，根据招标项目具体特点和实际情况确定，不得设定与项目等级不相应、过高的资质要求。企业资质等级的选择以住建部最新发布的资质等级划分标准为准。</w:t>
      </w:r>
    </w:p>
    <w:p>
      <w:pPr>
        <w:autoSpaceDE w:val="0"/>
        <w:autoSpaceDN w:val="0"/>
        <w:spacing w:line="300" w:lineRule="auto"/>
        <w:textAlignment w:val="bottom"/>
        <w:rPr>
          <w:rFonts w:ascii="宋体" w:hAnsi="宋体"/>
          <w:b/>
          <w:bCs/>
          <w:color w:val="auto"/>
          <w:sz w:val="24"/>
          <w:highlight w:val="none"/>
        </w:rPr>
      </w:pPr>
    </w:p>
    <w:p>
      <w:pPr>
        <w:pStyle w:val="4"/>
        <w:jc w:val="center"/>
        <w:rPr>
          <w:rFonts w:ascii="宋体" w:hAnsi="宋体"/>
          <w:color w:val="auto"/>
          <w:highlight w:val="none"/>
        </w:rPr>
      </w:pPr>
      <w:bookmarkStart w:id="30" w:name="_Toc488650773"/>
      <w:r>
        <w:rPr>
          <w:rFonts w:hint="eastAsia" w:ascii="宋体" w:hAnsi="宋体"/>
          <w:color w:val="auto"/>
          <w:highlight w:val="none"/>
        </w:rPr>
        <w:t>附件2 资格审查条件(业绩要求)</w:t>
      </w:r>
      <w:bookmarkEnd w:id="30"/>
    </w:p>
    <w:p>
      <w:pPr>
        <w:rPr>
          <w:color w:val="auto"/>
          <w:highlight w:val="none"/>
        </w:rPr>
      </w:pP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755"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8755" w:type="dxa"/>
            <w:noWrap w:val="0"/>
            <w:vAlign w:val="top"/>
          </w:tcPr>
          <w:p>
            <w:pPr>
              <w:spacing w:line="440" w:lineRule="exact"/>
              <w:ind w:firstLine="481" w:firstLineChars="200"/>
              <w:rPr>
                <w:rFonts w:ascii="宋体" w:hAnsi="宋体"/>
                <w:b/>
                <w:bCs/>
                <w:color w:val="auto"/>
                <w:sz w:val="24"/>
                <w:highlight w:val="none"/>
                <w:u w:val="single"/>
              </w:rPr>
            </w:pPr>
          </w:p>
        </w:tc>
      </w:tr>
    </w:tbl>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招标人可根据项目本身要求合理设定企业近5年或10年项目业绩，项目业绩最多设置1项。招标人设定项目业绩时，原则应与批复的建设规模相适应(含批复文件中明确的结构预留等级)，且设定的最大建设规模等级不得超过沿海10万吨级（内河500吨级），</w:t>
      </w:r>
      <w:r>
        <w:rPr>
          <w:rFonts w:hint="eastAsia" w:ascii="宋体" w:hAnsi="宋体" w:cs="Times New Roman"/>
          <w:bCs/>
          <w:color w:val="auto"/>
          <w:szCs w:val="21"/>
          <w:highlight w:val="none"/>
        </w:rPr>
        <w:t>其中码头工程业绩不得设置货种、结构形式要求，航道工程监理业绩应为单独立项的航道工程（分标段航道工程业绩视为单独立项的航道工程业绩）</w:t>
      </w:r>
      <w:r>
        <w:rPr>
          <w:rFonts w:hint="eastAsia" w:ascii="宋体" w:hAnsi="宋体" w:cs="宋体"/>
          <w:color w:val="auto"/>
          <w:szCs w:val="21"/>
          <w:highlight w:val="none"/>
        </w:rPr>
        <w:t>。招标人不得设置人员业绩。</w:t>
      </w:r>
    </w:p>
    <w:p>
      <w:pPr>
        <w:wordWrap w:val="0"/>
        <w:spacing w:line="3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cs="Times New Roman"/>
          <w:color w:val="auto"/>
          <w:highlight w:val="none"/>
        </w:rPr>
        <w:t>业绩证明材料：</w:t>
      </w:r>
      <w:r>
        <w:rPr>
          <w:rFonts w:hint="eastAsia" w:ascii="宋体" w:hAnsi="宋体" w:cs="Times New Roman"/>
          <w:color w:val="auto"/>
          <w:szCs w:val="21"/>
          <w:highlight w:val="none"/>
        </w:rPr>
        <w:t>在交通运输部“全国水运建设市场信用信息管理系统”（https://wtis.mot.gov.cn/credit/index.html）中查询到的企业“业绩信息”相关项目网页截图扫描件，或在“福建省交通公路水运建设与运输市场信用信息管理系统（信用交通·福建）”（</w:t>
      </w:r>
      <w:r>
        <w:rPr>
          <w:rFonts w:hint="eastAsia" w:ascii="宋体" w:hAnsi="宋体" w:cs="Times New Roman"/>
          <w:color w:val="auto"/>
          <w:szCs w:val="21"/>
          <w:highlight w:val="none"/>
          <w:lang w:eastAsia="zh-CN"/>
        </w:rPr>
        <w:t>http://220.160.53.3:30050/gzwz/</w:t>
      </w:r>
      <w:r>
        <w:rPr>
          <w:rFonts w:hint="eastAsia" w:ascii="宋体" w:hAnsi="宋体" w:cs="Times New Roman"/>
          <w:color w:val="auto"/>
          <w:szCs w:val="21"/>
          <w:highlight w:val="none"/>
        </w:rPr>
        <w:t>）中查询到的网页截图（并注明查询路径）；并提供</w:t>
      </w:r>
      <w:r>
        <w:rPr>
          <w:rFonts w:hint="eastAsia" w:ascii="汉仪书宋二S" w:hAnsi="汉仪书宋二S" w:eastAsia="汉仪书宋二S" w:cs="汉仪书宋二S"/>
          <w:color w:val="auto"/>
          <w:szCs w:val="21"/>
          <w:highlight w:val="none"/>
        </w:rPr>
        <w:t>①</w:t>
      </w:r>
      <w:r>
        <w:rPr>
          <w:rFonts w:hint="eastAsia" w:ascii="宋体" w:hAnsi="宋体" w:cs="宋体"/>
          <w:bCs/>
          <w:color w:val="auto"/>
          <w:szCs w:val="21"/>
          <w:highlight w:val="none"/>
        </w:rPr>
        <w:t>合同文件扫描件，</w:t>
      </w:r>
      <w:r>
        <w:rPr>
          <w:rFonts w:hint="eastAsia" w:ascii="汉仪书宋二S" w:hAnsi="汉仪书宋二S" w:eastAsia="汉仪书宋二S" w:cs="汉仪书宋二S"/>
          <w:color w:val="auto"/>
          <w:szCs w:val="21"/>
          <w:highlight w:val="none"/>
        </w:rPr>
        <w:t>②</w:t>
      </w:r>
      <w:r>
        <w:rPr>
          <w:rFonts w:hint="eastAsia" w:ascii="宋体" w:hAnsi="宋体" w:cs="宋体"/>
          <w:bCs/>
          <w:color w:val="auto"/>
          <w:szCs w:val="21"/>
          <w:highlight w:val="none"/>
        </w:rPr>
        <w:t>交(竣)工验收证书或交工验收表或竣工验收现场核查报告（均同时附上质量鉴定意见）扫描件。航道工程还需提供单独立项的工可批复文件扫描件。</w:t>
      </w:r>
    </w:p>
    <w:p>
      <w:pPr>
        <w:rPr>
          <w:rFonts w:cs="Times New Roman"/>
          <w:color w:val="auto"/>
          <w:highlight w:val="none"/>
        </w:rPr>
      </w:pPr>
      <w:r>
        <w:rPr>
          <w:rFonts w:hint="eastAsia" w:ascii="宋体" w:hAnsi="宋体" w:cs="宋体"/>
          <w:color w:val="auto"/>
          <w:szCs w:val="21"/>
          <w:highlight w:val="none"/>
        </w:rPr>
        <w:t xml:space="preserve">    3.若</w:t>
      </w:r>
      <w:r>
        <w:rPr>
          <w:rFonts w:ascii="宋体" w:hAnsi="宋体" w:cs="Times New Roman"/>
          <w:bCs/>
          <w:color w:val="auto"/>
          <w:szCs w:val="21"/>
          <w:highlight w:val="none"/>
        </w:rPr>
        <w:t>近年来，投标人法人机构发生合法变更或重组或法人名称变更时，应提供相关部门的合法批件或其他相关证明材料来证明其所附业绩的继承性。投标人提供的业绩必须是</w:t>
      </w:r>
      <w:r>
        <w:rPr>
          <w:rFonts w:hint="eastAsia" w:ascii="宋体" w:hAnsi="宋体" w:cs="Times New Roman"/>
          <w:bCs/>
          <w:color w:val="auto"/>
          <w:szCs w:val="21"/>
          <w:highlight w:val="none"/>
        </w:rPr>
        <w:t>独立投标人或联合体牵头人的自身业绩。</w:t>
      </w:r>
    </w:p>
    <w:p>
      <w:pPr>
        <w:pStyle w:val="4"/>
        <w:jc w:val="center"/>
        <w:rPr>
          <w:rFonts w:ascii="宋体" w:hAnsi="宋体"/>
          <w:color w:val="auto"/>
          <w:highlight w:val="none"/>
        </w:rPr>
      </w:pPr>
    </w:p>
    <w:p>
      <w:pPr>
        <w:rPr>
          <w:color w:val="auto"/>
          <w:highlight w:val="none"/>
        </w:rPr>
      </w:pPr>
    </w:p>
    <w:p>
      <w:pPr>
        <w:rPr>
          <w:color w:val="auto"/>
          <w:highlight w:val="none"/>
        </w:rPr>
      </w:pPr>
    </w:p>
    <w:p>
      <w:pPr>
        <w:pStyle w:val="4"/>
        <w:jc w:val="center"/>
        <w:rPr>
          <w:rFonts w:ascii="宋体" w:hAnsi="宋体"/>
          <w:color w:val="auto"/>
          <w:highlight w:val="none"/>
        </w:rPr>
      </w:pPr>
      <w:bookmarkStart w:id="31" w:name="_Toc488650774"/>
      <w:r>
        <w:rPr>
          <w:rFonts w:hint="eastAsia" w:ascii="宋体" w:hAnsi="宋体"/>
          <w:color w:val="auto"/>
          <w:highlight w:val="none"/>
        </w:rPr>
        <w:t>附件3 资格审查条件(信誉要求)</w:t>
      </w:r>
      <w:bookmarkEnd w:id="31"/>
    </w:p>
    <w:tbl>
      <w:tblPr>
        <w:tblStyle w:val="43"/>
        <w:tblpPr w:leftFromText="180" w:rightFromText="180" w:vertAnchor="text" w:horzAnchor="page" w:tblpX="1731" w:tblpY="30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8755" w:type="dxa"/>
            <w:noWrap w:val="0"/>
            <w:vAlign w:val="center"/>
          </w:tcPr>
          <w:p>
            <w:pPr>
              <w:jc w:val="center"/>
              <w:rPr>
                <w:rFonts w:ascii="宋体" w:hAnsi="宋体"/>
                <w:color w:val="auto"/>
                <w:highlight w:val="none"/>
              </w:rPr>
            </w:pPr>
            <w:r>
              <w:rPr>
                <w:rFonts w:hint="eastAsia" w:ascii="宋体" w:hAnsi="宋体"/>
                <w:b/>
                <w:color w:val="auto"/>
                <w:sz w:val="24"/>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78" w:hRule="atLeast"/>
        </w:trPr>
        <w:tc>
          <w:tcPr>
            <w:tcW w:w="8755" w:type="dxa"/>
            <w:noWrap w:val="0"/>
            <w:vAlign w:val="top"/>
          </w:tcPr>
          <w:p>
            <w:pPr>
              <w:wordWrap w:val="0"/>
              <w:rPr>
                <w:rFonts w:ascii="宋体" w:hAnsi="宋体"/>
                <w:b/>
                <w:color w:val="auto"/>
                <w:szCs w:val="21"/>
                <w:highlight w:val="none"/>
              </w:rPr>
            </w:pPr>
          </w:p>
        </w:tc>
      </w:tr>
    </w:tbl>
    <w:p>
      <w:pPr>
        <w:rPr>
          <w:color w:val="auto"/>
          <w:highlight w:val="none"/>
        </w:rPr>
      </w:pPr>
    </w:p>
    <w:p>
      <w:pPr>
        <w:autoSpaceDE w:val="0"/>
        <w:autoSpaceDN w:val="0"/>
        <w:spacing w:line="300" w:lineRule="auto"/>
        <w:textAlignment w:val="bottom"/>
        <w:rPr>
          <w:rFonts w:ascii="宋体" w:hAnsi="宋体"/>
          <w:b/>
          <w:bCs/>
          <w:color w:val="auto"/>
          <w:sz w:val="24"/>
          <w:highlight w:val="none"/>
        </w:rPr>
      </w:pPr>
    </w:p>
    <w:p>
      <w:pPr>
        <w:pStyle w:val="4"/>
        <w:jc w:val="center"/>
        <w:rPr>
          <w:rFonts w:ascii="宋体" w:hAnsi="宋体"/>
          <w:b w:val="0"/>
          <w:bCs w:val="0"/>
          <w:color w:val="auto"/>
          <w:sz w:val="24"/>
          <w:highlight w:val="none"/>
        </w:rPr>
      </w:pPr>
      <w:bookmarkStart w:id="32" w:name="_Toc445392823"/>
    </w:p>
    <w:p>
      <w:pPr>
        <w:pStyle w:val="4"/>
        <w:jc w:val="center"/>
        <w:rPr>
          <w:rFonts w:ascii="宋体" w:hAnsi="宋体"/>
          <w:color w:val="auto"/>
          <w:highlight w:val="none"/>
        </w:rPr>
      </w:pPr>
      <w:bookmarkStart w:id="33" w:name="_Toc488650775"/>
      <w:r>
        <w:rPr>
          <w:rFonts w:hint="eastAsia" w:ascii="宋体" w:hAnsi="宋体"/>
          <w:color w:val="auto"/>
          <w:highlight w:val="none"/>
        </w:rPr>
        <w:t>附件4 资格审查条件(主要人员资格要求)</w:t>
      </w:r>
      <w:bookmarkEnd w:id="33"/>
    </w:p>
    <w:p>
      <w:pPr>
        <w:rPr>
          <w:color w:val="auto"/>
          <w:highlight w:val="none"/>
        </w:rPr>
      </w:pP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992"/>
        <w:gridCol w:w="6081"/>
        <w:gridCol w:w="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jc w:val="center"/>
        </w:trPr>
        <w:tc>
          <w:tcPr>
            <w:tcW w:w="8755" w:type="dxa"/>
            <w:gridSpan w:val="3"/>
            <w:noWrap w:val="0"/>
            <w:vAlign w:val="center"/>
          </w:tcPr>
          <w:p>
            <w:pPr>
              <w:jc w:val="center"/>
              <w:rPr>
                <w:rFonts w:ascii="宋体" w:hAnsi="宋体"/>
                <w:color w:val="auto"/>
                <w:highlight w:val="none"/>
              </w:rPr>
            </w:pPr>
            <w:r>
              <w:rPr>
                <w:rFonts w:hint="eastAsia" w:ascii="宋体" w:hAnsi="宋体"/>
                <w:b/>
                <w:color w:val="auto"/>
                <w:sz w:val="24"/>
                <w:highlight w:val="none"/>
              </w:rPr>
              <w:t>主要人员资格要求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2" w:type="dxa"/>
            <w:noWrap w:val="0"/>
            <w:vAlign w:val="center"/>
          </w:tcPr>
          <w:p>
            <w:pPr>
              <w:jc w:val="center"/>
              <w:rPr>
                <w:rFonts w:ascii="宋体" w:hAnsi="宋体"/>
                <w:color w:val="auto"/>
                <w:szCs w:val="21"/>
                <w:highlight w:val="none"/>
              </w:rPr>
            </w:pPr>
            <w:bookmarkStart w:id="34" w:name="_Toc445392826"/>
            <w:bookmarkStart w:id="35" w:name="_Toc26701"/>
            <w:bookmarkStart w:id="36" w:name="_Toc382997652"/>
            <w:r>
              <w:rPr>
                <w:rFonts w:hint="eastAsia" w:ascii="宋体" w:hAnsi="宋体"/>
                <w:color w:val="auto"/>
                <w:szCs w:val="21"/>
                <w:highlight w:val="none"/>
              </w:rPr>
              <w:t>人员</w:t>
            </w:r>
          </w:p>
        </w:tc>
        <w:tc>
          <w:tcPr>
            <w:tcW w:w="992" w:type="dxa"/>
            <w:noWrap w:val="0"/>
            <w:vAlign w:val="center"/>
          </w:tcPr>
          <w:p>
            <w:pPr>
              <w:ind w:left="53" w:leftChars="25"/>
              <w:jc w:val="center"/>
              <w:rPr>
                <w:rFonts w:ascii="宋体" w:hAnsi="宋体"/>
                <w:color w:val="auto"/>
                <w:szCs w:val="21"/>
                <w:highlight w:val="none"/>
              </w:rPr>
            </w:pPr>
            <w:r>
              <w:rPr>
                <w:rFonts w:hint="eastAsia" w:ascii="宋体" w:hAnsi="宋体"/>
                <w:color w:val="auto"/>
                <w:szCs w:val="21"/>
                <w:highlight w:val="none"/>
              </w:rPr>
              <w:t>数量</w:t>
            </w:r>
          </w:p>
        </w:tc>
        <w:tc>
          <w:tcPr>
            <w:tcW w:w="6096" w:type="dxa"/>
            <w:gridSpan w:val="2"/>
            <w:noWrap w:val="0"/>
            <w:vAlign w:val="center"/>
          </w:tcPr>
          <w:p>
            <w:pPr>
              <w:jc w:val="center"/>
              <w:rPr>
                <w:rFonts w:ascii="宋体" w:hAnsi="宋体"/>
                <w:color w:val="auto"/>
                <w:szCs w:val="21"/>
                <w:highlight w:val="none"/>
              </w:rPr>
            </w:pPr>
            <w:r>
              <w:rPr>
                <w:rFonts w:hint="eastAsia" w:ascii="宋体" w:hAnsi="宋体"/>
                <w:color w:val="auto"/>
                <w:szCs w:val="21"/>
                <w:highlight w:val="none"/>
              </w:rPr>
              <w:t>主要人员最低要求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2" w:type="dxa"/>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总监理工程师</w:t>
            </w:r>
          </w:p>
        </w:tc>
        <w:tc>
          <w:tcPr>
            <w:tcW w:w="992" w:type="dxa"/>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6096" w:type="dxa"/>
            <w:gridSpan w:val="2"/>
            <w:noWrap w:val="0"/>
            <w:vAlign w:val="center"/>
          </w:tcPr>
          <w:p>
            <w:pPr>
              <w:spacing w:line="400" w:lineRule="exact"/>
              <w:rPr>
                <w:rFonts w:ascii="宋体" w:hAnsi="宋体"/>
                <w:b/>
                <w:color w:val="auto"/>
                <w:szCs w:val="21"/>
                <w:highlight w:val="none"/>
              </w:rPr>
            </w:pPr>
            <w:r>
              <w:rPr>
                <w:rFonts w:hint="eastAsia" w:ascii="宋体" w:hAnsi="宋体"/>
                <w:color w:val="auto"/>
                <w:highlight w:val="none"/>
              </w:rPr>
              <w:t>具有</w:t>
            </w:r>
            <w:r>
              <w:rPr>
                <w:rFonts w:hint="eastAsia" w:ascii="宋体" w:hAnsi="宋体"/>
                <w:color w:val="auto"/>
                <w:highlight w:val="none"/>
                <w:u w:val="single"/>
              </w:rPr>
              <w:t xml:space="preserve">                    </w:t>
            </w:r>
            <w:r>
              <w:rPr>
                <w:rFonts w:hint="eastAsia" w:ascii="宋体" w:hAnsi="宋体"/>
                <w:color w:val="auto"/>
                <w:highlight w:val="none"/>
              </w:rPr>
              <w:t>；岗位登记工作单位为其投标单位（以</w:t>
            </w:r>
            <w:r>
              <w:rPr>
                <w:rFonts w:hint="eastAsia" w:ascii="宋体" w:hAnsi="宋体"/>
                <w:color w:val="auto"/>
                <w:highlight w:val="none"/>
                <w:lang w:eastAsia="zh-CN"/>
              </w:rPr>
              <w:t>全国水运建设市场信用信息管理系统</w:t>
            </w:r>
            <w:r>
              <w:rPr>
                <w:rFonts w:hint="eastAsia" w:ascii="宋体" w:hAnsi="宋体"/>
                <w:color w:val="auto"/>
                <w:highlight w:val="none"/>
              </w:rPr>
              <w:t>岗位登记截图为准）。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2" w:type="dxa"/>
            <w:noWrap w:val="0"/>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 xml:space="preserve">试验室主任 </w:t>
            </w:r>
          </w:p>
        </w:tc>
        <w:tc>
          <w:tcPr>
            <w:tcW w:w="992" w:type="dxa"/>
            <w:noWrap w:val="0"/>
            <w:vAlign w:val="center"/>
          </w:tcPr>
          <w:p>
            <w:pPr>
              <w:pStyle w:val="36"/>
              <w:spacing w:line="320" w:lineRule="exact"/>
              <w:jc w:val="center"/>
              <w:rPr>
                <w:color w:val="auto"/>
                <w:sz w:val="21"/>
                <w:szCs w:val="21"/>
                <w:highlight w:val="none"/>
                <w:lang w:val="en-US" w:eastAsia="zh-CN"/>
              </w:rPr>
            </w:pPr>
            <w:r>
              <w:rPr>
                <w:rFonts w:hint="eastAsia"/>
                <w:color w:val="auto"/>
                <w:sz w:val="21"/>
                <w:szCs w:val="21"/>
                <w:highlight w:val="none"/>
                <w:lang w:val="en-US" w:eastAsia="zh-CN"/>
              </w:rPr>
              <w:t>1</w:t>
            </w:r>
          </w:p>
        </w:tc>
        <w:tc>
          <w:tcPr>
            <w:tcW w:w="6096" w:type="dxa"/>
            <w:gridSpan w:val="2"/>
            <w:noWrap w:val="0"/>
            <w:vAlign w:val="center"/>
          </w:tcPr>
          <w:p>
            <w:pPr>
              <w:pStyle w:val="36"/>
              <w:spacing w:line="320" w:lineRule="exact"/>
              <w:rPr>
                <w:color w:val="auto"/>
                <w:szCs w:val="21"/>
                <w:highlight w:val="none"/>
                <w:lang w:val="en-US" w:eastAsia="zh-CN"/>
              </w:rPr>
            </w:pPr>
          </w:p>
        </w:tc>
      </w:tr>
    </w:tbl>
    <w:p>
      <w:pPr>
        <w:rPr>
          <w:color w:val="auto"/>
          <w:highlight w:val="none"/>
        </w:rPr>
      </w:pPr>
    </w:p>
    <w:p>
      <w:pPr>
        <w:rPr>
          <w:color w:val="auto"/>
          <w:highlight w:val="none"/>
        </w:rPr>
      </w:pPr>
    </w:p>
    <w:bookmarkEnd w:id="34"/>
    <w:bookmarkEnd w:id="35"/>
    <w:bookmarkEnd w:id="36"/>
    <w:p>
      <w:pPr>
        <w:spacing w:line="360" w:lineRule="auto"/>
        <w:ind w:firstLine="440" w:firstLineChars="200"/>
        <w:rPr>
          <w:rFonts w:ascii="宋体" w:hAnsi="宋体"/>
          <w:color w:val="auto"/>
          <w:sz w:val="22"/>
          <w:szCs w:val="22"/>
          <w:highlight w:val="none"/>
        </w:rPr>
      </w:pPr>
    </w:p>
    <w:p>
      <w:pPr>
        <w:pStyle w:val="4"/>
        <w:spacing w:before="0" w:after="0" w:line="240" w:lineRule="auto"/>
        <w:jc w:val="center"/>
        <w:rPr>
          <w:rFonts w:ascii="宋体" w:hAnsi="宋体"/>
          <w:color w:val="auto"/>
          <w:highlight w:val="none"/>
        </w:rPr>
      </w:pPr>
    </w:p>
    <w:p>
      <w:pPr>
        <w:pStyle w:val="4"/>
        <w:spacing w:before="0" w:after="0" w:line="240" w:lineRule="auto"/>
        <w:jc w:val="center"/>
        <w:rPr>
          <w:rFonts w:hint="eastAsia" w:ascii="宋体" w:hAnsi="宋体"/>
          <w:color w:val="auto"/>
          <w:highlight w:val="none"/>
        </w:rPr>
      </w:pPr>
      <w:bookmarkStart w:id="37" w:name="_Toc488650776"/>
    </w:p>
    <w:p>
      <w:pPr>
        <w:pStyle w:val="4"/>
        <w:spacing w:before="0" w:after="0" w:line="240" w:lineRule="auto"/>
        <w:jc w:val="center"/>
        <w:rPr>
          <w:rFonts w:ascii="宋体" w:hAnsi="宋体"/>
          <w:color w:val="auto"/>
          <w:highlight w:val="none"/>
        </w:rPr>
      </w:pPr>
      <w:r>
        <w:rPr>
          <w:rFonts w:hint="eastAsia" w:ascii="宋体" w:hAnsi="宋体"/>
          <w:color w:val="auto"/>
          <w:highlight w:val="none"/>
        </w:rPr>
        <w:t>附件5 资格审查条件(财务要求)</w:t>
      </w:r>
      <w:bookmarkEnd w:id="32"/>
      <w:bookmarkEnd w:id="37"/>
    </w:p>
    <w:p>
      <w:pPr>
        <w:rPr>
          <w:color w:val="auto"/>
          <w:highlight w:val="none"/>
        </w:rPr>
      </w:pP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5" w:type="dxa"/>
            <w:noWrap w:val="0"/>
            <w:vAlign w:val="center"/>
          </w:tcPr>
          <w:p>
            <w:pPr>
              <w:jc w:val="center"/>
              <w:rPr>
                <w:rFonts w:ascii="宋体" w:hAnsi="宋体"/>
                <w:color w:val="auto"/>
                <w:highlight w:val="none"/>
              </w:rPr>
            </w:pPr>
            <w:r>
              <w:rPr>
                <w:rFonts w:hint="eastAsia" w:ascii="宋体" w:hAnsi="宋体"/>
                <w:b/>
                <w:color w:val="auto"/>
                <w:sz w:val="24"/>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noWrap w:val="0"/>
            <w:vAlign w:val="top"/>
          </w:tcPr>
          <w:p>
            <w:pPr>
              <w:spacing w:line="440" w:lineRule="exact"/>
              <w:jc w:val="center"/>
              <w:rPr>
                <w:rFonts w:hint="eastAsia" w:ascii="宋体" w:hAnsi="宋体" w:cs="Times New Roman"/>
                <w:color w:val="auto"/>
                <w:szCs w:val="21"/>
                <w:highlight w:val="none"/>
              </w:rPr>
            </w:pPr>
            <w:r>
              <w:rPr>
                <w:rFonts w:hint="eastAsia" w:ascii="宋体" w:hAnsi="宋体" w:cs="Times New Roman"/>
                <w:color w:val="auto"/>
                <w:szCs w:val="21"/>
                <w:highlight w:val="none"/>
              </w:rPr>
              <w:t>不需要</w:t>
            </w:r>
          </w:p>
          <w:p>
            <w:pPr>
              <w:spacing w:line="440" w:lineRule="exact"/>
              <w:rPr>
                <w:rFonts w:ascii="宋体" w:hAnsi="宋体"/>
                <w:color w:val="auto"/>
                <w:highlight w:val="none"/>
              </w:rPr>
            </w:pPr>
          </w:p>
        </w:tc>
      </w:tr>
    </w:tbl>
    <w:p>
      <w:pPr>
        <w:autoSpaceDE w:val="0"/>
        <w:autoSpaceDN w:val="0"/>
        <w:spacing w:line="300" w:lineRule="auto"/>
        <w:textAlignment w:val="bottom"/>
        <w:rPr>
          <w:rFonts w:ascii="宋体" w:hAnsi="宋体"/>
          <w:b/>
          <w:bCs/>
          <w:color w:val="auto"/>
          <w:sz w:val="24"/>
          <w:highlight w:val="none"/>
        </w:rPr>
      </w:pPr>
    </w:p>
    <w:p>
      <w:pPr>
        <w:rPr>
          <w:rFonts w:hint="eastAsia" w:ascii="宋体" w:hAnsi="宋体"/>
          <w:color w:val="auto"/>
          <w:highlight w:val="none"/>
        </w:rPr>
      </w:pPr>
      <w:bookmarkStart w:id="38" w:name="_Toc445392827"/>
      <w:r>
        <w:rPr>
          <w:rFonts w:hint="eastAsia" w:ascii="宋体" w:hAnsi="宋体"/>
          <w:color w:val="auto"/>
          <w:highlight w:val="none"/>
        </w:rPr>
        <w:br w:type="page"/>
      </w:r>
    </w:p>
    <w:p>
      <w:pPr>
        <w:rPr>
          <w:rFonts w:hint="eastAsia"/>
          <w:color w:val="auto"/>
          <w:highlight w:val="none"/>
        </w:rPr>
      </w:pPr>
    </w:p>
    <w:p>
      <w:pPr>
        <w:pStyle w:val="4"/>
        <w:spacing w:before="0" w:after="0" w:line="240" w:lineRule="auto"/>
        <w:jc w:val="center"/>
        <w:rPr>
          <w:rFonts w:ascii="宋体" w:hAnsi="宋体"/>
          <w:color w:val="auto"/>
          <w:highlight w:val="none"/>
        </w:rPr>
      </w:pPr>
      <w:bookmarkStart w:id="39" w:name="_Toc488650777"/>
      <w:r>
        <w:rPr>
          <w:rFonts w:hint="eastAsia" w:ascii="宋体" w:hAnsi="宋体"/>
          <w:color w:val="auto"/>
          <w:highlight w:val="none"/>
        </w:rPr>
        <w:t>附件6 资格审查条件（其他要求）</w:t>
      </w:r>
      <w:bookmarkEnd w:id="38"/>
      <w:bookmarkEnd w:id="39"/>
    </w:p>
    <w:p>
      <w:pPr>
        <w:rPr>
          <w:color w:val="auto"/>
          <w:highlight w:val="none"/>
        </w:rPr>
      </w:pP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6" w:type="dxa"/>
            <w:noWrap w:val="0"/>
            <w:vAlign w:val="center"/>
          </w:tcPr>
          <w:p>
            <w:pPr>
              <w:jc w:val="center"/>
              <w:rPr>
                <w:rFonts w:ascii="宋体" w:hAnsi="宋体"/>
                <w:color w:val="auto"/>
                <w:highlight w:val="none"/>
              </w:rPr>
            </w:pPr>
            <w:r>
              <w:rPr>
                <w:rFonts w:hint="eastAsia" w:ascii="宋体" w:hAnsi="宋体"/>
                <w:b/>
                <w:color w:val="auto"/>
                <w:sz w:val="24"/>
                <w:highlight w:val="none"/>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9166" w:type="dxa"/>
            <w:noWrap w:val="0"/>
            <w:vAlign w:val="top"/>
          </w:tcPr>
          <w:p>
            <w:pPr>
              <w:widowControl/>
              <w:numPr>
                <w:ilvl w:val="0"/>
                <w:numId w:val="4"/>
              </w:numPr>
              <w:tabs>
                <w:tab w:val="left" w:pos="510"/>
                <w:tab w:val="left" w:pos="900"/>
                <w:tab w:val="left" w:pos="1100"/>
                <w:tab w:val="left" w:pos="3807"/>
              </w:tabs>
              <w:spacing w:line="360" w:lineRule="auto"/>
              <w:jc w:val="left"/>
              <w:rPr>
                <w:rFonts w:hint="eastAsia" w:ascii="宋体" w:hAnsi="宋体"/>
                <w:color w:val="auto"/>
                <w:szCs w:val="21"/>
                <w:highlight w:val="none"/>
              </w:rPr>
            </w:pPr>
            <w:r>
              <w:rPr>
                <w:rFonts w:hint="eastAsia" w:ascii="宋体" w:hAnsi="宋体"/>
                <w:color w:val="auto"/>
                <w:szCs w:val="21"/>
                <w:highlight w:val="none"/>
              </w:rPr>
              <w:t>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tc>
      </w:tr>
    </w:tbl>
    <w:p>
      <w:pPr>
        <w:rPr>
          <w:rFonts w:hint="eastAsia"/>
          <w:color w:val="auto"/>
          <w:sz w:val="24"/>
          <w:highlight w:val="none"/>
        </w:rPr>
      </w:pPr>
    </w:p>
    <w:p>
      <w:pPr>
        <w:pStyle w:val="4"/>
        <w:jc w:val="center"/>
        <w:rPr>
          <w:color w:val="auto"/>
          <w:highlight w:val="none"/>
        </w:rPr>
      </w:pPr>
      <w:bookmarkStart w:id="40" w:name="_Toc488492820"/>
      <w:bookmarkStart w:id="41" w:name="_Toc488650778"/>
      <w:r>
        <w:rPr>
          <w:rFonts w:hint="eastAsia"/>
          <w:color w:val="auto"/>
          <w:highlight w:val="none"/>
        </w:rPr>
        <w:t>附件7 其他主要人员最低要求</w:t>
      </w:r>
      <w:bookmarkEnd w:id="40"/>
      <w:bookmarkEnd w:id="41"/>
    </w:p>
    <w:p>
      <w:pPr>
        <w:spacing w:before="120" w:beforeLines="50" w:after="120" w:afterLines="50" w:line="280" w:lineRule="exact"/>
        <w:jc w:val="center"/>
        <w:rPr>
          <w:b/>
          <w:color w:val="auto"/>
          <w:szCs w:val="21"/>
          <w:highlight w:val="none"/>
          <w:u w:val="single"/>
        </w:rPr>
      </w:pPr>
      <w:r>
        <w:rPr>
          <w:rFonts w:hint="eastAsia" w:ascii="宋体" w:hAnsi="宋体"/>
          <w:b/>
          <w:color w:val="auto"/>
          <w:szCs w:val="21"/>
          <w:highlight w:val="none"/>
          <w:u w:val="single"/>
        </w:rPr>
        <w:t>（本附件投标人投标时不须提交）</w:t>
      </w:r>
    </w:p>
    <w:tbl>
      <w:tblPr>
        <w:tblStyle w:val="43"/>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401"/>
        <w:gridCol w:w="44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noWrap w:val="0"/>
            <w:vAlign w:val="top"/>
          </w:tcPr>
          <w:p>
            <w:pPr>
              <w:spacing w:line="440" w:lineRule="exact"/>
              <w:jc w:val="center"/>
              <w:rPr>
                <w:b/>
                <w:color w:val="auto"/>
                <w:szCs w:val="21"/>
                <w:highlight w:val="none"/>
              </w:rPr>
            </w:pPr>
            <w:r>
              <w:rPr>
                <w:rFonts w:hint="eastAsia"/>
                <w:b/>
                <w:color w:val="auto"/>
                <w:szCs w:val="21"/>
                <w:highlight w:val="none"/>
              </w:rPr>
              <w:t>人员</w:t>
            </w:r>
          </w:p>
        </w:tc>
        <w:tc>
          <w:tcPr>
            <w:tcW w:w="2401" w:type="dxa"/>
            <w:noWrap w:val="0"/>
            <w:vAlign w:val="top"/>
          </w:tcPr>
          <w:p>
            <w:pPr>
              <w:spacing w:line="440" w:lineRule="exact"/>
              <w:jc w:val="center"/>
              <w:rPr>
                <w:b/>
                <w:color w:val="auto"/>
                <w:szCs w:val="21"/>
                <w:highlight w:val="none"/>
              </w:rPr>
            </w:pPr>
            <w:r>
              <w:rPr>
                <w:rFonts w:hint="eastAsia"/>
                <w:b/>
                <w:color w:val="auto"/>
                <w:szCs w:val="21"/>
                <w:highlight w:val="none"/>
              </w:rPr>
              <w:t>数量</w:t>
            </w:r>
          </w:p>
        </w:tc>
        <w:tc>
          <w:tcPr>
            <w:tcW w:w="4419" w:type="dxa"/>
            <w:noWrap w:val="0"/>
            <w:vAlign w:val="top"/>
          </w:tcPr>
          <w:p>
            <w:pPr>
              <w:spacing w:line="440" w:lineRule="exact"/>
              <w:jc w:val="center"/>
              <w:rPr>
                <w:b/>
                <w:color w:val="auto"/>
                <w:szCs w:val="21"/>
                <w:highlight w:val="none"/>
              </w:rPr>
            </w:pPr>
            <w:r>
              <w:rPr>
                <w:rFonts w:hint="eastAsia"/>
                <w:b/>
                <w:color w:val="auto"/>
                <w:szCs w:val="21"/>
                <w:highlight w:val="none"/>
              </w:rPr>
              <w:t>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noWrap w:val="0"/>
            <w:vAlign w:val="top"/>
          </w:tcPr>
          <w:p>
            <w:pPr>
              <w:spacing w:line="440" w:lineRule="exact"/>
              <w:rPr>
                <w:rFonts w:hint="eastAsia"/>
                <w:color w:val="auto"/>
                <w:sz w:val="18"/>
                <w:szCs w:val="18"/>
                <w:highlight w:val="none"/>
              </w:rPr>
            </w:pPr>
          </w:p>
        </w:tc>
        <w:tc>
          <w:tcPr>
            <w:tcW w:w="2401" w:type="dxa"/>
            <w:noWrap w:val="0"/>
            <w:vAlign w:val="top"/>
          </w:tcPr>
          <w:p>
            <w:pPr>
              <w:spacing w:line="440" w:lineRule="exact"/>
              <w:rPr>
                <w:color w:val="auto"/>
                <w:sz w:val="18"/>
                <w:szCs w:val="18"/>
                <w:highlight w:val="none"/>
              </w:rPr>
            </w:pPr>
          </w:p>
        </w:tc>
        <w:tc>
          <w:tcPr>
            <w:tcW w:w="4419" w:type="dxa"/>
            <w:noWrap w:val="0"/>
            <w:vAlign w:val="top"/>
          </w:tcPr>
          <w:p>
            <w:pPr>
              <w:spacing w:line="440" w:lineRule="exact"/>
              <w:rPr>
                <w:rFonts w:hint="eastAsia"/>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noWrap w:val="0"/>
            <w:vAlign w:val="top"/>
          </w:tcPr>
          <w:p>
            <w:pPr>
              <w:spacing w:line="440" w:lineRule="exact"/>
              <w:rPr>
                <w:rFonts w:hint="eastAsia"/>
                <w:color w:val="auto"/>
                <w:sz w:val="18"/>
                <w:szCs w:val="18"/>
                <w:highlight w:val="none"/>
              </w:rPr>
            </w:pPr>
          </w:p>
        </w:tc>
        <w:tc>
          <w:tcPr>
            <w:tcW w:w="2401" w:type="dxa"/>
            <w:noWrap w:val="0"/>
            <w:vAlign w:val="top"/>
          </w:tcPr>
          <w:p>
            <w:pPr>
              <w:spacing w:line="440" w:lineRule="exact"/>
              <w:rPr>
                <w:color w:val="auto"/>
                <w:sz w:val="18"/>
                <w:szCs w:val="18"/>
                <w:highlight w:val="none"/>
              </w:rPr>
            </w:pPr>
          </w:p>
        </w:tc>
        <w:tc>
          <w:tcPr>
            <w:tcW w:w="4419" w:type="dxa"/>
            <w:noWrap w:val="0"/>
            <w:vAlign w:val="top"/>
          </w:tcPr>
          <w:p>
            <w:pPr>
              <w:spacing w:line="440" w:lineRule="exact"/>
              <w:rPr>
                <w:rFonts w:hint="eastAsia"/>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noWrap w:val="0"/>
            <w:vAlign w:val="top"/>
          </w:tcPr>
          <w:p>
            <w:pPr>
              <w:spacing w:line="440" w:lineRule="exact"/>
              <w:rPr>
                <w:color w:val="auto"/>
                <w:sz w:val="18"/>
                <w:szCs w:val="18"/>
                <w:highlight w:val="none"/>
              </w:rPr>
            </w:pPr>
          </w:p>
        </w:tc>
        <w:tc>
          <w:tcPr>
            <w:tcW w:w="2401" w:type="dxa"/>
            <w:noWrap w:val="0"/>
            <w:vAlign w:val="top"/>
          </w:tcPr>
          <w:p>
            <w:pPr>
              <w:spacing w:line="440" w:lineRule="exact"/>
              <w:rPr>
                <w:color w:val="auto"/>
                <w:sz w:val="18"/>
                <w:szCs w:val="18"/>
                <w:highlight w:val="none"/>
              </w:rPr>
            </w:pPr>
          </w:p>
        </w:tc>
        <w:tc>
          <w:tcPr>
            <w:tcW w:w="4419"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noWrap w:val="0"/>
            <w:vAlign w:val="top"/>
          </w:tcPr>
          <w:p>
            <w:pPr>
              <w:spacing w:line="440" w:lineRule="exact"/>
              <w:rPr>
                <w:color w:val="auto"/>
                <w:sz w:val="18"/>
                <w:szCs w:val="18"/>
                <w:highlight w:val="none"/>
              </w:rPr>
            </w:pPr>
          </w:p>
        </w:tc>
        <w:tc>
          <w:tcPr>
            <w:tcW w:w="2401" w:type="dxa"/>
            <w:noWrap w:val="0"/>
            <w:vAlign w:val="top"/>
          </w:tcPr>
          <w:p>
            <w:pPr>
              <w:spacing w:line="440" w:lineRule="exact"/>
              <w:rPr>
                <w:color w:val="auto"/>
                <w:sz w:val="18"/>
                <w:szCs w:val="18"/>
                <w:highlight w:val="none"/>
              </w:rPr>
            </w:pPr>
          </w:p>
        </w:tc>
        <w:tc>
          <w:tcPr>
            <w:tcW w:w="4419"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noWrap w:val="0"/>
            <w:vAlign w:val="top"/>
          </w:tcPr>
          <w:p>
            <w:pPr>
              <w:spacing w:line="440" w:lineRule="exact"/>
              <w:rPr>
                <w:color w:val="auto"/>
                <w:sz w:val="18"/>
                <w:szCs w:val="18"/>
                <w:highlight w:val="none"/>
              </w:rPr>
            </w:pPr>
          </w:p>
        </w:tc>
        <w:tc>
          <w:tcPr>
            <w:tcW w:w="2401" w:type="dxa"/>
            <w:noWrap w:val="0"/>
            <w:vAlign w:val="top"/>
          </w:tcPr>
          <w:p>
            <w:pPr>
              <w:spacing w:line="440" w:lineRule="exact"/>
              <w:rPr>
                <w:color w:val="auto"/>
                <w:sz w:val="18"/>
                <w:szCs w:val="18"/>
                <w:highlight w:val="none"/>
              </w:rPr>
            </w:pPr>
          </w:p>
        </w:tc>
        <w:tc>
          <w:tcPr>
            <w:tcW w:w="4419"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noWrap w:val="0"/>
            <w:vAlign w:val="top"/>
          </w:tcPr>
          <w:p>
            <w:pPr>
              <w:spacing w:line="440" w:lineRule="exact"/>
              <w:rPr>
                <w:color w:val="auto"/>
                <w:sz w:val="18"/>
                <w:szCs w:val="18"/>
                <w:highlight w:val="none"/>
              </w:rPr>
            </w:pPr>
          </w:p>
        </w:tc>
        <w:tc>
          <w:tcPr>
            <w:tcW w:w="2401" w:type="dxa"/>
            <w:noWrap w:val="0"/>
            <w:vAlign w:val="top"/>
          </w:tcPr>
          <w:p>
            <w:pPr>
              <w:spacing w:line="440" w:lineRule="exact"/>
              <w:rPr>
                <w:color w:val="auto"/>
                <w:sz w:val="18"/>
                <w:szCs w:val="18"/>
                <w:highlight w:val="none"/>
              </w:rPr>
            </w:pPr>
          </w:p>
        </w:tc>
        <w:tc>
          <w:tcPr>
            <w:tcW w:w="4419"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noWrap w:val="0"/>
            <w:vAlign w:val="top"/>
          </w:tcPr>
          <w:p>
            <w:pPr>
              <w:spacing w:line="440" w:lineRule="exact"/>
              <w:rPr>
                <w:color w:val="auto"/>
                <w:sz w:val="18"/>
                <w:szCs w:val="18"/>
                <w:highlight w:val="none"/>
              </w:rPr>
            </w:pPr>
          </w:p>
        </w:tc>
        <w:tc>
          <w:tcPr>
            <w:tcW w:w="2401" w:type="dxa"/>
            <w:noWrap w:val="0"/>
            <w:vAlign w:val="top"/>
          </w:tcPr>
          <w:p>
            <w:pPr>
              <w:spacing w:line="440" w:lineRule="exact"/>
              <w:rPr>
                <w:color w:val="auto"/>
                <w:sz w:val="18"/>
                <w:szCs w:val="18"/>
                <w:highlight w:val="none"/>
              </w:rPr>
            </w:pPr>
          </w:p>
        </w:tc>
        <w:tc>
          <w:tcPr>
            <w:tcW w:w="4419"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noWrap w:val="0"/>
            <w:vAlign w:val="top"/>
          </w:tcPr>
          <w:p>
            <w:pPr>
              <w:spacing w:line="440" w:lineRule="exact"/>
              <w:rPr>
                <w:color w:val="auto"/>
                <w:sz w:val="18"/>
                <w:szCs w:val="18"/>
                <w:highlight w:val="none"/>
              </w:rPr>
            </w:pPr>
          </w:p>
        </w:tc>
        <w:tc>
          <w:tcPr>
            <w:tcW w:w="2401" w:type="dxa"/>
            <w:noWrap w:val="0"/>
            <w:vAlign w:val="top"/>
          </w:tcPr>
          <w:p>
            <w:pPr>
              <w:spacing w:line="440" w:lineRule="exact"/>
              <w:rPr>
                <w:color w:val="auto"/>
                <w:sz w:val="18"/>
                <w:szCs w:val="18"/>
                <w:highlight w:val="none"/>
              </w:rPr>
            </w:pPr>
          </w:p>
        </w:tc>
        <w:tc>
          <w:tcPr>
            <w:tcW w:w="4419"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noWrap w:val="0"/>
            <w:vAlign w:val="top"/>
          </w:tcPr>
          <w:p>
            <w:pPr>
              <w:spacing w:line="440" w:lineRule="exact"/>
              <w:rPr>
                <w:color w:val="auto"/>
                <w:sz w:val="18"/>
                <w:szCs w:val="18"/>
                <w:highlight w:val="none"/>
              </w:rPr>
            </w:pPr>
          </w:p>
        </w:tc>
        <w:tc>
          <w:tcPr>
            <w:tcW w:w="2401" w:type="dxa"/>
            <w:noWrap w:val="0"/>
            <w:vAlign w:val="top"/>
          </w:tcPr>
          <w:p>
            <w:pPr>
              <w:spacing w:line="440" w:lineRule="exact"/>
              <w:rPr>
                <w:color w:val="auto"/>
                <w:sz w:val="18"/>
                <w:szCs w:val="18"/>
                <w:highlight w:val="none"/>
              </w:rPr>
            </w:pPr>
          </w:p>
        </w:tc>
        <w:tc>
          <w:tcPr>
            <w:tcW w:w="4419" w:type="dxa"/>
            <w:noWrap w:val="0"/>
            <w:vAlign w:val="top"/>
          </w:tcPr>
          <w:p>
            <w:pPr>
              <w:spacing w:line="440" w:lineRule="exact"/>
              <w:rPr>
                <w:color w:val="auto"/>
                <w:sz w:val="18"/>
                <w:szCs w:val="18"/>
                <w:highlight w:val="none"/>
              </w:rPr>
            </w:pPr>
          </w:p>
        </w:tc>
      </w:tr>
    </w:tbl>
    <w:p>
      <w:pPr>
        <w:spacing w:line="360" w:lineRule="auto"/>
        <w:ind w:firstLine="420"/>
        <w:rPr>
          <w:rFonts w:hint="eastAsia"/>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、其他主要人员指：港口专业专监、航道专业专监、</w:t>
      </w:r>
      <w:r>
        <w:rPr>
          <w:rFonts w:hint="eastAsia" w:ascii="宋体" w:hAnsi="宋体"/>
          <w:color w:val="auto"/>
          <w:highlight w:val="none"/>
          <w:lang w:val="en-GB"/>
        </w:rPr>
        <w:t>安全监理工程师、环境监理管理员</w:t>
      </w:r>
      <w:r>
        <w:rPr>
          <w:rFonts w:hint="eastAsia"/>
          <w:color w:val="auto"/>
          <w:szCs w:val="21"/>
          <w:highlight w:val="none"/>
        </w:rPr>
        <w:t>、监理员等。本表不作为资格审查条件，投标人无需提供上述人员名单和详细资料，也无需在投标文件中提交本表格；但投标人必须承诺中标后应按本表最低要求的数量和资格投入人员。</w:t>
      </w:r>
    </w:p>
    <w:p>
      <w:pPr>
        <w:spacing w:line="360" w:lineRule="auto"/>
        <w:ind w:firstLine="420" w:firstLineChars="200"/>
        <w:rPr>
          <w:color w:val="auto"/>
          <w:szCs w:val="21"/>
          <w:highlight w:val="none"/>
        </w:rPr>
      </w:pPr>
      <w:r>
        <w:rPr>
          <w:rFonts w:hint="eastAsia" w:ascii="宋体" w:hAnsi="宋体"/>
          <w:color w:val="auto"/>
          <w:szCs w:val="21"/>
          <w:highlight w:val="none"/>
        </w:rPr>
        <w:t>2、</w:t>
      </w:r>
      <w:r>
        <w:rPr>
          <w:rFonts w:hint="eastAsia"/>
          <w:color w:val="auto"/>
          <w:szCs w:val="21"/>
          <w:highlight w:val="none"/>
        </w:rPr>
        <w:t>招标人将在合同签订前要求中标人按照本表的最低要求填报派驻本标段的其他主要管理人员和技术人员，在经招标人审批后作为派驻本标段的项目管理机构主要人员。若确需更换，应重新报招标人审批。</w:t>
      </w:r>
    </w:p>
    <w:p>
      <w:pPr>
        <w:spacing w:line="360" w:lineRule="auto"/>
        <w:ind w:firstLine="420" w:firstLineChars="200"/>
        <w:rPr>
          <w:color w:val="auto"/>
          <w:szCs w:val="21"/>
          <w:highlight w:val="none"/>
        </w:rPr>
      </w:pPr>
    </w:p>
    <w:p>
      <w:pPr>
        <w:rPr>
          <w:rFonts w:hint="eastAsia"/>
          <w:color w:val="auto"/>
          <w:sz w:val="24"/>
          <w:highlight w:val="none"/>
        </w:rPr>
      </w:pPr>
    </w:p>
    <w:p>
      <w:pPr>
        <w:pStyle w:val="3"/>
        <w:pageBreakBefore/>
        <w:rPr>
          <w:color w:val="auto"/>
          <w:highlight w:val="none"/>
        </w:rPr>
      </w:pPr>
      <w:bookmarkStart w:id="42" w:name="_Toc330384396"/>
      <w:bookmarkStart w:id="43" w:name="_Toc341805098"/>
      <w:bookmarkStart w:id="44" w:name="_Toc341015473"/>
      <w:bookmarkStart w:id="45" w:name="_Toc487291460"/>
      <w:bookmarkStart w:id="46" w:name="_Toc488650779"/>
      <w:bookmarkStart w:id="47" w:name="_Toc336172079"/>
      <w:r>
        <w:rPr>
          <w:rFonts w:hint="eastAsia"/>
          <w:color w:val="auto"/>
          <w:highlight w:val="none"/>
        </w:rPr>
        <w:t>投标人须知</w:t>
      </w:r>
      <w:bookmarkEnd w:id="42"/>
      <w:bookmarkEnd w:id="43"/>
      <w:bookmarkEnd w:id="44"/>
      <w:bookmarkEnd w:id="45"/>
      <w:bookmarkEnd w:id="46"/>
      <w:bookmarkEnd w:id="47"/>
    </w:p>
    <w:p>
      <w:pPr>
        <w:pStyle w:val="4"/>
        <w:spacing w:before="0" w:after="0" w:line="324" w:lineRule="auto"/>
        <w:ind w:firstLine="562" w:firstLineChars="200"/>
        <w:rPr>
          <w:color w:val="auto"/>
          <w:highlight w:val="none"/>
        </w:rPr>
      </w:pPr>
      <w:bookmarkStart w:id="48" w:name="_Toc488650780"/>
      <w:bookmarkStart w:id="49" w:name="_Toc144974497"/>
      <w:bookmarkStart w:id="50" w:name="_Toc286759032"/>
      <w:bookmarkStart w:id="51" w:name="_Toc487291461"/>
      <w:bookmarkStart w:id="52" w:name="_Toc307991149"/>
      <w:bookmarkStart w:id="53" w:name="_Toc152042305"/>
      <w:bookmarkStart w:id="54" w:name="_Toc341805099"/>
      <w:bookmarkStart w:id="55" w:name="_Toc330384397"/>
      <w:bookmarkStart w:id="56" w:name="_Toc283558693"/>
      <w:bookmarkStart w:id="57" w:name="_Toc283559190"/>
      <w:bookmarkStart w:id="58" w:name="_Toc152045529"/>
      <w:r>
        <w:rPr>
          <w:rFonts w:hint="eastAsia"/>
          <w:color w:val="auto"/>
          <w:highlight w:val="none"/>
        </w:rPr>
        <w:t>1．总则</w:t>
      </w:r>
      <w:bookmarkEnd w:id="48"/>
      <w:bookmarkEnd w:id="49"/>
      <w:bookmarkEnd w:id="50"/>
      <w:bookmarkEnd w:id="51"/>
      <w:bookmarkEnd w:id="52"/>
      <w:bookmarkEnd w:id="53"/>
      <w:bookmarkEnd w:id="54"/>
      <w:bookmarkEnd w:id="55"/>
      <w:bookmarkEnd w:id="56"/>
      <w:bookmarkEnd w:id="57"/>
      <w:bookmarkEnd w:id="58"/>
    </w:p>
    <w:p>
      <w:pPr>
        <w:pStyle w:val="4"/>
        <w:spacing w:before="0" w:after="0" w:line="324" w:lineRule="auto"/>
        <w:ind w:firstLine="481" w:firstLineChars="200"/>
        <w:rPr>
          <w:rFonts w:ascii="黑体" w:hAnsi="宋体"/>
          <w:b w:val="0"/>
          <w:color w:val="auto"/>
          <w:sz w:val="24"/>
          <w:szCs w:val="24"/>
          <w:highlight w:val="none"/>
        </w:rPr>
      </w:pPr>
      <w:bookmarkStart w:id="59" w:name="_Toc144974498"/>
      <w:bookmarkStart w:id="60" w:name="_Toc356567781"/>
      <w:bookmarkStart w:id="61" w:name="_Toc488650781"/>
      <w:bookmarkStart w:id="62" w:name="_Toc487653351"/>
      <w:bookmarkStart w:id="63" w:name="_Toc341805100"/>
      <w:bookmarkStart w:id="64" w:name="_Toc487291462"/>
      <w:bookmarkStart w:id="65" w:name="_Toc152045530"/>
      <w:bookmarkStart w:id="66" w:name="_Toc152042306"/>
      <w:bookmarkStart w:id="67" w:name="_Toc487619433"/>
      <w:r>
        <w:rPr>
          <w:rFonts w:hint="eastAsia" w:ascii="黑体" w:hAnsi="宋体"/>
          <w:color w:val="auto"/>
          <w:sz w:val="24"/>
          <w:szCs w:val="24"/>
          <w:highlight w:val="none"/>
        </w:rPr>
        <w:t>1.1</w:t>
      </w:r>
      <w:r>
        <w:rPr>
          <w:rFonts w:hint="eastAsia" w:ascii="黑体" w:hAnsi="宋体"/>
          <w:b w:val="0"/>
          <w:color w:val="auto"/>
          <w:sz w:val="24"/>
          <w:szCs w:val="24"/>
          <w:highlight w:val="none"/>
        </w:rPr>
        <w:t xml:space="preserve">  项目概况</w:t>
      </w:r>
      <w:bookmarkEnd w:id="59"/>
      <w:bookmarkEnd w:id="60"/>
      <w:bookmarkEnd w:id="61"/>
      <w:bookmarkEnd w:id="62"/>
      <w:bookmarkEnd w:id="63"/>
      <w:bookmarkEnd w:id="64"/>
      <w:bookmarkEnd w:id="65"/>
      <w:bookmarkEnd w:id="66"/>
      <w:bookmarkEnd w:id="67"/>
    </w:p>
    <w:p>
      <w:pPr>
        <w:spacing w:line="360" w:lineRule="auto"/>
        <w:ind w:firstLine="480" w:firstLineChars="200"/>
        <w:rPr>
          <w:color w:val="auto"/>
          <w:sz w:val="24"/>
          <w:highlight w:val="none"/>
        </w:rPr>
      </w:pPr>
      <w:r>
        <w:rPr>
          <w:rFonts w:hint="eastAsia"/>
          <w:color w:val="auto"/>
          <w:sz w:val="24"/>
          <w:highlight w:val="none"/>
        </w:rPr>
        <w:t>1.1.1  本招标项目已具备招标条件，现对本项目施工监理进行招标，</w:t>
      </w:r>
    </w:p>
    <w:p>
      <w:pPr>
        <w:spacing w:line="360" w:lineRule="auto"/>
        <w:ind w:firstLine="480" w:firstLineChars="200"/>
        <w:rPr>
          <w:rFonts w:hint="eastAsia" w:ascii="宋体" w:hAnsi="宋体"/>
          <w:color w:val="auto"/>
          <w:sz w:val="24"/>
          <w:highlight w:val="none"/>
          <w:u w:val="single"/>
        </w:rPr>
      </w:pPr>
      <w:r>
        <w:rPr>
          <w:rFonts w:hint="eastAsia"/>
          <w:color w:val="auto"/>
          <w:sz w:val="24"/>
          <w:highlight w:val="none"/>
        </w:rPr>
        <w:t>1.1.2  本招标项目招标人：</w:t>
      </w:r>
      <w:r>
        <w:rPr>
          <w:rFonts w:hint="eastAsia" w:ascii="宋体" w:hAnsi="宋体"/>
          <w:color w:val="auto"/>
          <w:sz w:val="24"/>
          <w:highlight w:val="none"/>
          <w:u w:val="single"/>
        </w:rPr>
        <w:t>见投标人须知前附表。</w:t>
      </w:r>
    </w:p>
    <w:p>
      <w:pPr>
        <w:spacing w:line="360" w:lineRule="auto"/>
        <w:ind w:firstLine="480" w:firstLineChars="200"/>
        <w:rPr>
          <w:rFonts w:hint="eastAsia" w:ascii="宋体" w:hAnsi="宋体"/>
          <w:color w:val="auto"/>
          <w:sz w:val="24"/>
          <w:highlight w:val="none"/>
          <w:u w:val="single"/>
        </w:rPr>
      </w:pPr>
      <w:r>
        <w:rPr>
          <w:rFonts w:hint="eastAsia"/>
          <w:color w:val="auto"/>
          <w:sz w:val="24"/>
          <w:highlight w:val="none"/>
        </w:rPr>
        <w:t>1.1.3  本监理标段招标代理机构：</w:t>
      </w:r>
      <w:r>
        <w:rPr>
          <w:rFonts w:hint="eastAsia" w:ascii="宋体" w:hAnsi="宋体"/>
          <w:color w:val="auto"/>
          <w:sz w:val="24"/>
          <w:highlight w:val="none"/>
          <w:u w:val="single"/>
        </w:rPr>
        <w:t>见投标人须知前附表。</w:t>
      </w:r>
    </w:p>
    <w:p>
      <w:pPr>
        <w:spacing w:line="360" w:lineRule="auto"/>
        <w:ind w:firstLine="480" w:firstLineChars="200"/>
        <w:rPr>
          <w:rFonts w:hint="eastAsia" w:ascii="宋体" w:hAnsi="宋体"/>
          <w:color w:val="auto"/>
          <w:sz w:val="24"/>
          <w:highlight w:val="none"/>
          <w:u w:val="single"/>
        </w:rPr>
      </w:pPr>
      <w:r>
        <w:rPr>
          <w:rFonts w:hint="eastAsia"/>
          <w:color w:val="auto"/>
          <w:sz w:val="24"/>
          <w:highlight w:val="none"/>
        </w:rPr>
        <w:t>1.1.4  本招标项目名称：</w:t>
      </w:r>
      <w:r>
        <w:rPr>
          <w:rFonts w:hint="eastAsia" w:ascii="宋体" w:hAnsi="宋体"/>
          <w:color w:val="auto"/>
          <w:sz w:val="24"/>
          <w:highlight w:val="none"/>
          <w:u w:val="single"/>
        </w:rPr>
        <w:t>见投标人须知前附表。</w:t>
      </w:r>
    </w:p>
    <w:p>
      <w:pPr>
        <w:spacing w:line="360" w:lineRule="auto"/>
        <w:ind w:firstLine="480" w:firstLineChars="200"/>
        <w:rPr>
          <w:rFonts w:hint="eastAsia" w:ascii="宋体" w:hAnsi="宋体"/>
          <w:color w:val="auto"/>
          <w:sz w:val="24"/>
          <w:highlight w:val="none"/>
          <w:u w:val="single"/>
        </w:rPr>
      </w:pPr>
      <w:r>
        <w:rPr>
          <w:rFonts w:hint="eastAsia"/>
          <w:color w:val="auto"/>
          <w:sz w:val="24"/>
          <w:highlight w:val="none"/>
        </w:rPr>
        <w:t>1.1.5  本监理标段建设地点：</w:t>
      </w:r>
      <w:r>
        <w:rPr>
          <w:rFonts w:hint="eastAsia" w:ascii="宋体" w:hAnsi="宋体"/>
          <w:color w:val="auto"/>
          <w:sz w:val="24"/>
          <w:highlight w:val="none"/>
          <w:u w:val="single"/>
        </w:rPr>
        <w:t>见投标人须知前附表。</w:t>
      </w:r>
    </w:p>
    <w:p>
      <w:pPr>
        <w:spacing w:line="360" w:lineRule="auto"/>
        <w:ind w:firstLine="480" w:firstLineChars="200"/>
        <w:rPr>
          <w:rFonts w:hint="eastAsia" w:ascii="宋体" w:hAnsi="宋体"/>
          <w:color w:val="auto"/>
          <w:sz w:val="24"/>
          <w:highlight w:val="none"/>
          <w:u w:val="single"/>
        </w:rPr>
      </w:pPr>
      <w:r>
        <w:rPr>
          <w:rFonts w:hint="eastAsia"/>
          <w:color w:val="auto"/>
          <w:sz w:val="24"/>
          <w:highlight w:val="none"/>
        </w:rPr>
        <w:t>1.1.6  本监理标段规模：</w:t>
      </w:r>
      <w:r>
        <w:rPr>
          <w:rFonts w:hint="eastAsia" w:ascii="宋体" w:hAnsi="宋体"/>
          <w:color w:val="auto"/>
          <w:sz w:val="24"/>
          <w:highlight w:val="none"/>
          <w:u w:val="single"/>
        </w:rPr>
        <w:t>见投标人须知前附表。</w:t>
      </w:r>
      <w:bookmarkStart w:id="68" w:name="_Toc144974499"/>
      <w:bookmarkStart w:id="69" w:name="_Toc152042307"/>
      <w:bookmarkStart w:id="70" w:name="_Toc152045531"/>
      <w:bookmarkStart w:id="71" w:name="_Toc341805101"/>
      <w:bookmarkStart w:id="72" w:name="_Toc356567782"/>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1.2  资金来源</w:t>
      </w:r>
      <w:bookmarkEnd w:id="68"/>
      <w:bookmarkEnd w:id="69"/>
      <w:bookmarkEnd w:id="70"/>
      <w:r>
        <w:rPr>
          <w:rFonts w:hint="eastAsia" w:ascii="黑体" w:hAnsi="黑体" w:eastAsia="黑体" w:cs="黑体"/>
          <w:color w:val="auto"/>
          <w:sz w:val="24"/>
          <w:highlight w:val="none"/>
        </w:rPr>
        <w:t>和落实情况</w:t>
      </w:r>
      <w:bookmarkEnd w:id="71"/>
      <w:bookmarkEnd w:id="72"/>
    </w:p>
    <w:p>
      <w:pPr>
        <w:spacing w:line="324" w:lineRule="auto"/>
        <w:ind w:firstLine="480" w:firstLineChars="200"/>
        <w:rPr>
          <w:rFonts w:hint="eastAsia" w:ascii="宋体" w:hAnsi="宋体"/>
          <w:color w:val="auto"/>
          <w:sz w:val="24"/>
          <w:highlight w:val="none"/>
          <w:u w:val="single"/>
        </w:rPr>
      </w:pPr>
      <w:r>
        <w:rPr>
          <w:rFonts w:hint="eastAsia"/>
          <w:color w:val="auto"/>
          <w:sz w:val="24"/>
          <w:highlight w:val="none"/>
        </w:rPr>
        <w:t>1.2.1  本招标项目的资金来源：</w:t>
      </w:r>
      <w:r>
        <w:rPr>
          <w:rFonts w:hint="eastAsia" w:ascii="宋体" w:hAnsi="宋体"/>
          <w:color w:val="auto"/>
          <w:sz w:val="24"/>
          <w:highlight w:val="none"/>
          <w:u w:val="single"/>
        </w:rPr>
        <w:t>见投标人须知前附表。</w:t>
      </w:r>
    </w:p>
    <w:p>
      <w:pPr>
        <w:spacing w:line="324" w:lineRule="auto"/>
        <w:ind w:firstLine="480" w:firstLineChars="200"/>
        <w:rPr>
          <w:rFonts w:hint="eastAsia" w:ascii="宋体" w:hAnsi="宋体"/>
          <w:color w:val="auto"/>
          <w:sz w:val="24"/>
          <w:highlight w:val="none"/>
          <w:u w:val="single"/>
        </w:rPr>
      </w:pPr>
      <w:r>
        <w:rPr>
          <w:rFonts w:hint="eastAsia"/>
          <w:color w:val="auto"/>
          <w:sz w:val="24"/>
          <w:highlight w:val="none"/>
        </w:rPr>
        <w:t>1.2.2  本招标项目的资金落实情况：</w:t>
      </w:r>
      <w:r>
        <w:rPr>
          <w:rFonts w:hint="eastAsia" w:ascii="宋体" w:hAnsi="宋体"/>
          <w:color w:val="auto"/>
          <w:sz w:val="24"/>
          <w:highlight w:val="none"/>
          <w:u w:val="single"/>
        </w:rPr>
        <w:t>见投标人须知前附表。</w:t>
      </w:r>
      <w:bookmarkStart w:id="73" w:name="_Toc144974500"/>
      <w:bookmarkStart w:id="74" w:name="_Toc152042308"/>
      <w:bookmarkStart w:id="75" w:name="_Toc152045532"/>
      <w:bookmarkStart w:id="76" w:name="_Toc341805102"/>
      <w:bookmarkStart w:id="77" w:name="_Toc356567783"/>
    </w:p>
    <w:p>
      <w:pPr>
        <w:spacing w:line="324"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1.3 </w:t>
      </w:r>
      <w:bookmarkEnd w:id="73"/>
      <w:bookmarkEnd w:id="74"/>
      <w:bookmarkEnd w:id="75"/>
      <w:r>
        <w:rPr>
          <w:rFonts w:hint="eastAsia" w:ascii="黑体" w:hAnsi="黑体" w:eastAsia="黑体" w:cs="黑体"/>
          <w:color w:val="auto"/>
          <w:sz w:val="24"/>
          <w:highlight w:val="none"/>
        </w:rPr>
        <w:t xml:space="preserve"> 招标范围、监理服务阶段、监理工作范围、施工工期和监理服务期</w:t>
      </w:r>
      <w:bookmarkEnd w:id="76"/>
      <w:bookmarkEnd w:id="77"/>
    </w:p>
    <w:p>
      <w:pPr>
        <w:spacing w:line="324" w:lineRule="auto"/>
        <w:ind w:firstLine="480" w:firstLineChars="200"/>
        <w:rPr>
          <w:rFonts w:hint="eastAsia" w:ascii="宋体" w:hAnsi="宋体"/>
          <w:color w:val="auto"/>
          <w:sz w:val="24"/>
          <w:highlight w:val="none"/>
          <w:u w:val="single"/>
        </w:rPr>
      </w:pPr>
      <w:r>
        <w:rPr>
          <w:rFonts w:hint="eastAsia"/>
          <w:color w:val="auto"/>
          <w:sz w:val="24"/>
          <w:highlight w:val="none"/>
        </w:rPr>
        <w:t>1.3.1  本次招标范围：</w:t>
      </w:r>
      <w:r>
        <w:rPr>
          <w:rFonts w:hint="eastAsia" w:ascii="宋体" w:hAnsi="宋体"/>
          <w:color w:val="auto"/>
          <w:sz w:val="24"/>
          <w:highlight w:val="none"/>
          <w:u w:val="single"/>
        </w:rPr>
        <w:t>见投标人须知前附表。</w:t>
      </w:r>
    </w:p>
    <w:p>
      <w:pPr>
        <w:spacing w:line="324" w:lineRule="auto"/>
        <w:ind w:firstLine="480" w:firstLineChars="200"/>
        <w:rPr>
          <w:rFonts w:hint="eastAsia" w:ascii="宋体" w:hAnsi="宋体"/>
          <w:color w:val="auto"/>
          <w:sz w:val="24"/>
          <w:highlight w:val="none"/>
          <w:u w:val="single"/>
        </w:rPr>
      </w:pPr>
      <w:r>
        <w:rPr>
          <w:rFonts w:hint="eastAsia"/>
          <w:color w:val="auto"/>
          <w:sz w:val="24"/>
          <w:highlight w:val="none"/>
        </w:rPr>
        <w:t>1.3.2  监理服务阶段：</w:t>
      </w:r>
      <w:r>
        <w:rPr>
          <w:rFonts w:hint="eastAsia" w:ascii="宋体" w:hAnsi="宋体"/>
          <w:color w:val="auto"/>
          <w:sz w:val="24"/>
          <w:highlight w:val="none"/>
          <w:u w:val="single"/>
        </w:rPr>
        <w:t>见投标人须知前附表。</w:t>
      </w:r>
    </w:p>
    <w:p>
      <w:pPr>
        <w:spacing w:line="324" w:lineRule="auto"/>
        <w:ind w:firstLine="480" w:firstLineChars="200"/>
        <w:rPr>
          <w:rFonts w:hint="eastAsia" w:ascii="宋体" w:hAnsi="宋体"/>
          <w:color w:val="auto"/>
          <w:sz w:val="24"/>
          <w:highlight w:val="none"/>
          <w:u w:val="single"/>
        </w:rPr>
      </w:pPr>
      <w:r>
        <w:rPr>
          <w:rFonts w:hint="eastAsia"/>
          <w:color w:val="auto"/>
          <w:sz w:val="24"/>
          <w:highlight w:val="none"/>
        </w:rPr>
        <w:t>1.3.3  监理工作范围：</w:t>
      </w:r>
      <w:r>
        <w:rPr>
          <w:rFonts w:hint="eastAsia" w:ascii="宋体" w:hAnsi="宋体"/>
          <w:color w:val="auto"/>
          <w:sz w:val="24"/>
          <w:highlight w:val="none"/>
          <w:u w:val="single"/>
        </w:rPr>
        <w:t>见投标人须知前附表。</w:t>
      </w:r>
    </w:p>
    <w:p>
      <w:pPr>
        <w:spacing w:line="324" w:lineRule="auto"/>
        <w:ind w:firstLine="480" w:firstLineChars="200"/>
        <w:rPr>
          <w:rFonts w:hint="eastAsia" w:ascii="宋体" w:hAnsi="宋体"/>
          <w:color w:val="auto"/>
          <w:sz w:val="24"/>
          <w:highlight w:val="none"/>
          <w:u w:val="single"/>
        </w:rPr>
      </w:pPr>
      <w:r>
        <w:rPr>
          <w:rFonts w:hint="eastAsia"/>
          <w:color w:val="auto"/>
          <w:sz w:val="24"/>
          <w:highlight w:val="none"/>
        </w:rPr>
        <w:t>1.3.4  施工工期和监理服务期：</w:t>
      </w:r>
      <w:r>
        <w:rPr>
          <w:rFonts w:hint="eastAsia" w:ascii="宋体" w:hAnsi="宋体"/>
          <w:color w:val="auto"/>
          <w:sz w:val="24"/>
          <w:highlight w:val="none"/>
          <w:u w:val="single"/>
        </w:rPr>
        <w:t>见投标人须知前附表。</w:t>
      </w:r>
      <w:bookmarkStart w:id="78" w:name="_Toc144974502"/>
      <w:bookmarkStart w:id="79" w:name="_Toc488650782"/>
      <w:bookmarkStart w:id="80" w:name="_Toc152042310"/>
      <w:bookmarkStart w:id="81" w:name="_Toc487653352"/>
      <w:bookmarkStart w:id="82" w:name="_Toc356567784"/>
      <w:bookmarkStart w:id="83" w:name="_Toc341805104"/>
      <w:bookmarkStart w:id="84" w:name="_Toc152045534"/>
      <w:bookmarkStart w:id="85" w:name="_Toc487619434"/>
      <w:bookmarkStart w:id="86" w:name="_Toc487291463"/>
    </w:p>
    <w:p>
      <w:pPr>
        <w:spacing w:line="324"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1.4  投标人资格要求</w:t>
      </w:r>
      <w:bookmarkEnd w:id="78"/>
      <w:bookmarkEnd w:id="79"/>
      <w:bookmarkEnd w:id="80"/>
      <w:bookmarkEnd w:id="81"/>
      <w:bookmarkEnd w:id="82"/>
      <w:bookmarkEnd w:id="83"/>
      <w:bookmarkEnd w:id="84"/>
      <w:bookmarkEnd w:id="85"/>
      <w:bookmarkEnd w:id="86"/>
    </w:p>
    <w:p>
      <w:pPr>
        <w:spacing w:line="324" w:lineRule="auto"/>
        <w:ind w:firstLine="480" w:firstLineChars="200"/>
        <w:rPr>
          <w:color w:val="auto"/>
          <w:sz w:val="24"/>
          <w:highlight w:val="none"/>
        </w:rPr>
      </w:pPr>
      <w:r>
        <w:rPr>
          <w:rFonts w:hint="eastAsia"/>
          <w:color w:val="auto"/>
          <w:sz w:val="24"/>
          <w:highlight w:val="none"/>
        </w:rPr>
        <w:t>1.4.1  投标人应具备承担本标段施工监理的资质、能力和信誉。</w:t>
      </w:r>
    </w:p>
    <w:p>
      <w:pPr>
        <w:spacing w:line="324" w:lineRule="auto"/>
        <w:ind w:firstLine="480" w:firstLineChars="200"/>
        <w:rPr>
          <w:rFonts w:hint="eastAsia" w:ascii="宋体" w:hAnsi="宋体"/>
          <w:color w:val="auto"/>
          <w:sz w:val="24"/>
          <w:highlight w:val="none"/>
          <w:u w:val="single"/>
        </w:rPr>
      </w:pPr>
      <w:r>
        <w:rPr>
          <w:rFonts w:hint="eastAsia"/>
          <w:color w:val="auto"/>
          <w:sz w:val="24"/>
          <w:highlight w:val="none"/>
        </w:rPr>
        <w:t>（1）资质条件：</w:t>
      </w:r>
      <w:r>
        <w:rPr>
          <w:rFonts w:hint="eastAsia" w:ascii="宋体" w:hAnsi="宋体"/>
          <w:color w:val="auto"/>
          <w:sz w:val="24"/>
          <w:highlight w:val="none"/>
          <w:u w:val="single"/>
        </w:rPr>
        <w:t>见投标人须知前附表。</w:t>
      </w:r>
    </w:p>
    <w:p>
      <w:pPr>
        <w:spacing w:line="324" w:lineRule="auto"/>
        <w:ind w:firstLine="480" w:firstLineChars="200"/>
        <w:rPr>
          <w:color w:val="auto"/>
          <w:sz w:val="24"/>
          <w:highlight w:val="none"/>
          <w:u w:val="single"/>
        </w:rPr>
      </w:pPr>
      <w:r>
        <w:rPr>
          <w:rFonts w:hint="eastAsia"/>
          <w:color w:val="auto"/>
          <w:sz w:val="24"/>
          <w:highlight w:val="none"/>
        </w:rPr>
        <w:t>（2）业绩要求：</w:t>
      </w:r>
      <w:r>
        <w:rPr>
          <w:rFonts w:hint="eastAsia" w:ascii="宋体" w:hAnsi="宋体"/>
          <w:color w:val="auto"/>
          <w:sz w:val="24"/>
          <w:highlight w:val="none"/>
          <w:u w:val="single"/>
        </w:rPr>
        <w:t>见投标人须知前附表。</w:t>
      </w:r>
    </w:p>
    <w:p>
      <w:pPr>
        <w:spacing w:line="324" w:lineRule="auto"/>
        <w:ind w:firstLine="480" w:firstLineChars="200"/>
        <w:rPr>
          <w:color w:val="auto"/>
          <w:sz w:val="24"/>
          <w:highlight w:val="none"/>
          <w:u w:val="single"/>
        </w:rPr>
      </w:pPr>
      <w:r>
        <w:rPr>
          <w:rFonts w:hint="eastAsia"/>
          <w:color w:val="auto"/>
          <w:sz w:val="24"/>
          <w:highlight w:val="none"/>
        </w:rPr>
        <w:t>（3）信誉要求：</w:t>
      </w:r>
      <w:r>
        <w:rPr>
          <w:rFonts w:hint="eastAsia" w:ascii="宋体" w:hAnsi="宋体"/>
          <w:color w:val="auto"/>
          <w:sz w:val="24"/>
          <w:highlight w:val="none"/>
          <w:u w:val="single"/>
        </w:rPr>
        <w:t>见投标人须知前附表。</w:t>
      </w:r>
    </w:p>
    <w:p>
      <w:pPr>
        <w:spacing w:line="324" w:lineRule="auto"/>
        <w:ind w:firstLine="480" w:firstLineChars="200"/>
        <w:rPr>
          <w:color w:val="auto"/>
          <w:sz w:val="24"/>
          <w:highlight w:val="none"/>
          <w:u w:val="single"/>
        </w:rPr>
      </w:pPr>
      <w:r>
        <w:rPr>
          <w:rFonts w:hint="eastAsia"/>
          <w:color w:val="auto"/>
          <w:sz w:val="24"/>
          <w:highlight w:val="none"/>
        </w:rPr>
        <w:t>（4）主要人员资格要求：</w:t>
      </w:r>
      <w:r>
        <w:rPr>
          <w:rFonts w:hint="eastAsia" w:ascii="宋体" w:hAnsi="宋体"/>
          <w:color w:val="auto"/>
          <w:sz w:val="24"/>
          <w:highlight w:val="none"/>
          <w:u w:val="single"/>
        </w:rPr>
        <w:t>见投标人须知前附表。</w:t>
      </w:r>
    </w:p>
    <w:p>
      <w:pPr>
        <w:spacing w:line="324" w:lineRule="auto"/>
        <w:ind w:firstLine="480" w:firstLineChars="200"/>
        <w:rPr>
          <w:color w:val="auto"/>
          <w:sz w:val="24"/>
          <w:highlight w:val="none"/>
          <w:u w:val="single"/>
        </w:rPr>
      </w:pPr>
      <w:r>
        <w:rPr>
          <w:rFonts w:hint="eastAsia"/>
          <w:color w:val="auto"/>
          <w:sz w:val="24"/>
          <w:highlight w:val="none"/>
        </w:rPr>
        <w:t>（5）财务要求：</w:t>
      </w:r>
      <w:r>
        <w:rPr>
          <w:rFonts w:hint="eastAsia" w:ascii="宋体" w:hAnsi="宋体"/>
          <w:color w:val="auto"/>
          <w:sz w:val="24"/>
          <w:highlight w:val="none"/>
          <w:u w:val="single"/>
        </w:rPr>
        <w:t>见投标人须知前附表。</w:t>
      </w:r>
    </w:p>
    <w:p>
      <w:pPr>
        <w:spacing w:line="324" w:lineRule="auto"/>
        <w:ind w:firstLine="480" w:firstLineChars="200"/>
        <w:rPr>
          <w:color w:val="auto"/>
          <w:sz w:val="24"/>
          <w:highlight w:val="none"/>
          <w:u w:val="single"/>
        </w:rPr>
      </w:pPr>
      <w:r>
        <w:rPr>
          <w:rFonts w:hint="eastAsia"/>
          <w:color w:val="auto"/>
          <w:sz w:val="24"/>
          <w:highlight w:val="none"/>
        </w:rPr>
        <w:t>（6）其他要求：</w:t>
      </w:r>
      <w:r>
        <w:rPr>
          <w:rFonts w:hint="eastAsia" w:ascii="宋体" w:hAnsi="宋体"/>
          <w:color w:val="auto"/>
          <w:sz w:val="24"/>
          <w:highlight w:val="none"/>
          <w:u w:val="single"/>
        </w:rPr>
        <w:t>见投标人须知前附表。</w:t>
      </w:r>
    </w:p>
    <w:p>
      <w:pPr>
        <w:spacing w:line="324" w:lineRule="auto"/>
        <w:ind w:firstLine="480" w:firstLineChars="200"/>
        <w:rPr>
          <w:color w:val="auto"/>
          <w:sz w:val="24"/>
          <w:highlight w:val="none"/>
        </w:rPr>
      </w:pPr>
      <w:r>
        <w:rPr>
          <w:rFonts w:hint="eastAsia"/>
          <w:color w:val="auto"/>
          <w:sz w:val="24"/>
          <w:highlight w:val="none"/>
        </w:rPr>
        <w:t>1.4.2  投标人须知前附表规定接受联合体投标的，除应符合本章第1.4.1款和投标人须知前附表的规定外，还应遵守以下原则：</w:t>
      </w:r>
    </w:p>
    <w:p>
      <w:pPr>
        <w:spacing w:line="324" w:lineRule="auto"/>
        <w:ind w:firstLine="480" w:firstLineChars="200"/>
        <w:rPr>
          <w:color w:val="auto"/>
          <w:sz w:val="24"/>
          <w:highlight w:val="none"/>
        </w:rPr>
      </w:pPr>
      <w:bookmarkStart w:id="87" w:name="OLE_LINK3"/>
      <w:bookmarkStart w:id="88" w:name="OLE_LINK4"/>
      <w:r>
        <w:rPr>
          <w:rFonts w:hint="eastAsia"/>
          <w:color w:val="auto"/>
          <w:sz w:val="24"/>
          <w:highlight w:val="none"/>
        </w:rPr>
        <w:t>（1）</w:t>
      </w:r>
      <w:bookmarkEnd w:id="87"/>
      <w:bookmarkEnd w:id="88"/>
      <w:r>
        <w:rPr>
          <w:rFonts w:hint="eastAsia"/>
          <w:color w:val="auto"/>
          <w:sz w:val="24"/>
          <w:highlight w:val="none"/>
        </w:rPr>
        <w:t xml:space="preserve">联合体各方应按招标文件提供的格式签订联合体协议书，明确联合体牵头人和各方权利义务； </w:t>
      </w:r>
    </w:p>
    <w:p>
      <w:pPr>
        <w:spacing w:line="324" w:lineRule="auto"/>
        <w:ind w:firstLine="480" w:firstLineChars="200"/>
        <w:rPr>
          <w:color w:val="auto"/>
          <w:sz w:val="24"/>
          <w:highlight w:val="none"/>
        </w:rPr>
      </w:pPr>
      <w:r>
        <w:rPr>
          <w:rFonts w:hint="eastAsia"/>
          <w:color w:val="auto"/>
          <w:sz w:val="24"/>
          <w:highlight w:val="none"/>
        </w:rPr>
        <w:t>（2）</w:t>
      </w:r>
      <w:r>
        <w:rPr>
          <w:color w:val="auto"/>
          <w:sz w:val="24"/>
          <w:highlight w:val="none"/>
        </w:rPr>
        <w:t>拟</w:t>
      </w:r>
      <w:r>
        <w:rPr>
          <w:rFonts w:hint="eastAsia"/>
          <w:color w:val="auto"/>
          <w:sz w:val="24"/>
          <w:highlight w:val="none"/>
        </w:rPr>
        <w:t>派驻现场</w:t>
      </w:r>
      <w:r>
        <w:rPr>
          <w:color w:val="auto"/>
          <w:sz w:val="24"/>
          <w:highlight w:val="none"/>
        </w:rPr>
        <w:t>监理机构</w:t>
      </w:r>
      <w:r>
        <w:rPr>
          <w:rFonts w:hint="eastAsia"/>
          <w:color w:val="auto"/>
          <w:sz w:val="24"/>
          <w:highlight w:val="none"/>
        </w:rPr>
        <w:t>的总监理工程师</w:t>
      </w:r>
      <w:r>
        <w:rPr>
          <w:color w:val="auto"/>
          <w:sz w:val="24"/>
          <w:highlight w:val="none"/>
        </w:rPr>
        <w:t>应为</w:t>
      </w:r>
      <w:r>
        <w:rPr>
          <w:rFonts w:hint="eastAsia"/>
          <w:color w:val="auto"/>
          <w:sz w:val="24"/>
          <w:highlight w:val="none"/>
        </w:rPr>
        <w:t>联合体牵头人</w:t>
      </w:r>
      <w:r>
        <w:rPr>
          <w:color w:val="auto"/>
          <w:sz w:val="24"/>
          <w:highlight w:val="none"/>
        </w:rPr>
        <w:t>单位人员</w:t>
      </w:r>
      <w:r>
        <w:rPr>
          <w:rFonts w:hint="eastAsia"/>
          <w:color w:val="auto"/>
          <w:sz w:val="24"/>
          <w:highlight w:val="none"/>
        </w:rPr>
        <w:t>，且登记工作单位为本单位</w:t>
      </w:r>
      <w:r>
        <w:rPr>
          <w:color w:val="auto"/>
          <w:sz w:val="24"/>
          <w:highlight w:val="none"/>
        </w:rPr>
        <w:t>；</w:t>
      </w:r>
    </w:p>
    <w:p>
      <w:pPr>
        <w:spacing w:line="324" w:lineRule="auto"/>
        <w:ind w:firstLine="480" w:firstLineChars="200"/>
        <w:rPr>
          <w:color w:val="auto"/>
          <w:sz w:val="24"/>
          <w:highlight w:val="none"/>
        </w:rPr>
      </w:pPr>
      <w:r>
        <w:rPr>
          <w:rFonts w:hint="eastAsia"/>
          <w:color w:val="auto"/>
          <w:sz w:val="24"/>
          <w:highlight w:val="none"/>
        </w:rPr>
        <w:t xml:space="preserve">（3）联合体成员可以由投标人须知前附表规定数量的监理企业组成，联合体各方均应当具备承担招标项目的相应能力和本章第1.4.1款规定的相应要求，由同一专业的单位组成的联合体，按照资质等级较低的单位确定资质等级； </w:t>
      </w:r>
    </w:p>
    <w:p>
      <w:pPr>
        <w:spacing w:line="324" w:lineRule="auto"/>
        <w:ind w:firstLine="480" w:firstLineChars="200"/>
        <w:rPr>
          <w:color w:val="auto"/>
          <w:sz w:val="24"/>
          <w:highlight w:val="none"/>
        </w:rPr>
      </w:pPr>
      <w:r>
        <w:rPr>
          <w:rFonts w:hint="eastAsia"/>
          <w:color w:val="auto"/>
          <w:sz w:val="24"/>
          <w:highlight w:val="none"/>
        </w:rPr>
        <w:t>（4）</w:t>
      </w:r>
      <w:r>
        <w:rPr>
          <w:color w:val="auto"/>
          <w:sz w:val="24"/>
          <w:highlight w:val="none"/>
        </w:rPr>
        <w:t>联合体各方</w:t>
      </w:r>
      <w:r>
        <w:rPr>
          <w:rFonts w:hint="eastAsia"/>
          <w:color w:val="auto"/>
          <w:sz w:val="24"/>
          <w:highlight w:val="none"/>
        </w:rPr>
        <w:t>不得再以自己</w:t>
      </w:r>
      <w:r>
        <w:rPr>
          <w:color w:val="auto"/>
          <w:sz w:val="24"/>
          <w:highlight w:val="none"/>
        </w:rPr>
        <w:t>名义单独或参加其他联合体</w:t>
      </w:r>
      <w:r>
        <w:rPr>
          <w:rFonts w:hint="eastAsia"/>
          <w:color w:val="auto"/>
          <w:sz w:val="24"/>
          <w:highlight w:val="none"/>
        </w:rPr>
        <w:t>在同一标段中</w:t>
      </w:r>
      <w:r>
        <w:rPr>
          <w:color w:val="auto"/>
          <w:sz w:val="24"/>
          <w:highlight w:val="none"/>
        </w:rPr>
        <w:t>投标</w:t>
      </w:r>
      <w:r>
        <w:rPr>
          <w:rFonts w:hint="eastAsia"/>
          <w:color w:val="auto"/>
          <w:sz w:val="24"/>
          <w:highlight w:val="none"/>
        </w:rPr>
        <w:t>；</w:t>
      </w:r>
    </w:p>
    <w:p>
      <w:pPr>
        <w:spacing w:line="400" w:lineRule="exact"/>
        <w:ind w:firstLine="480" w:firstLineChars="200"/>
        <w:rPr>
          <w:color w:val="auto"/>
          <w:sz w:val="24"/>
          <w:highlight w:val="none"/>
        </w:rPr>
      </w:pPr>
      <w:r>
        <w:rPr>
          <w:color w:val="auto"/>
          <w:sz w:val="24"/>
          <w:highlight w:val="none"/>
        </w:rPr>
        <w:t>（5）联合体各方必须分别提供能证明其监理资质、法人资格等加盖</w:t>
      </w:r>
      <w:r>
        <w:rPr>
          <w:rFonts w:hint="eastAsia"/>
          <w:color w:val="auto"/>
          <w:sz w:val="24"/>
          <w:highlight w:val="none"/>
        </w:rPr>
        <w:t>投标人</w:t>
      </w:r>
      <w:r>
        <w:rPr>
          <w:color w:val="auto"/>
          <w:sz w:val="24"/>
          <w:highlight w:val="none"/>
        </w:rPr>
        <w:t>公章</w:t>
      </w:r>
      <w:r>
        <w:rPr>
          <w:rFonts w:hint="eastAsia"/>
          <w:color w:val="auto"/>
          <w:sz w:val="24"/>
          <w:highlight w:val="none"/>
        </w:rPr>
        <w:t>的</w:t>
      </w:r>
      <w:r>
        <w:rPr>
          <w:color w:val="auto"/>
          <w:sz w:val="24"/>
          <w:highlight w:val="none"/>
        </w:rPr>
        <w:t>文件</w:t>
      </w:r>
      <w:r>
        <w:rPr>
          <w:rFonts w:hint="eastAsia"/>
          <w:color w:val="auto"/>
          <w:sz w:val="24"/>
          <w:highlight w:val="none"/>
        </w:rPr>
        <w:t>或</w:t>
      </w:r>
      <w:r>
        <w:rPr>
          <w:color w:val="auto"/>
          <w:sz w:val="24"/>
          <w:highlight w:val="none"/>
        </w:rPr>
        <w:t>资料</w:t>
      </w:r>
      <w:r>
        <w:rPr>
          <w:rFonts w:hint="eastAsia"/>
          <w:color w:val="auto"/>
          <w:sz w:val="24"/>
          <w:highlight w:val="none"/>
        </w:rPr>
        <w:t>扫描件</w:t>
      </w:r>
      <w:r>
        <w:rPr>
          <w:color w:val="auto"/>
          <w:sz w:val="24"/>
          <w:highlight w:val="none"/>
        </w:rPr>
        <w:t>。</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1.4.3投标人不得存在下列情形之一：</w:t>
      </w:r>
    </w:p>
    <w:p>
      <w:pPr>
        <w:numPr>
          <w:ilvl w:val="0"/>
          <w:numId w:val="5"/>
        </w:num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与招标人存在利害关系可能影响招标公正性的法人、其他组织或者个人；</w:t>
      </w:r>
    </w:p>
    <w:p>
      <w:pPr>
        <w:numPr>
          <w:ilvl w:val="0"/>
          <w:numId w:val="5"/>
        </w:num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单位负责人为同一人或者存在控股、管理关系的不同单位，参加同一标段投标或者未划分标段的同一招标项目投标；</w:t>
      </w:r>
    </w:p>
    <w:p>
      <w:pPr>
        <w:numPr>
          <w:ilvl w:val="0"/>
          <w:numId w:val="5"/>
        </w:num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与本标段的施工承包人、代建人或招标代理机构有隶属关系；</w:t>
      </w:r>
    </w:p>
    <w:p>
      <w:pPr>
        <w:numPr>
          <w:ilvl w:val="0"/>
          <w:numId w:val="5"/>
        </w:num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与本标段的施工承包人、代建人或招标代理机构同为一个法定代表人；</w:t>
      </w:r>
    </w:p>
    <w:p>
      <w:pPr>
        <w:numPr>
          <w:ilvl w:val="0"/>
          <w:numId w:val="5"/>
        </w:num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与本标段的施工承包人、代建人或招标代理机构相互控股或参股；</w:t>
      </w:r>
    </w:p>
    <w:p>
      <w:pPr>
        <w:numPr>
          <w:ilvl w:val="0"/>
          <w:numId w:val="5"/>
        </w:num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与本标段的施工承包人、代建人或招标代理机构相互任职或工作；</w:t>
      </w:r>
    </w:p>
    <w:p>
      <w:pPr>
        <w:numPr>
          <w:ilvl w:val="0"/>
          <w:numId w:val="5"/>
        </w:num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在最近三年内有弄虚作假骗取中标、围标串标行为或严重违约等的。</w:t>
      </w:r>
    </w:p>
    <w:p>
      <w:pPr>
        <w:numPr>
          <w:ilvl w:val="0"/>
          <w:numId w:val="5"/>
        </w:num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法律法规或投标人须知前附表规定的其他情形。</w:t>
      </w:r>
    </w:p>
    <w:p>
      <w:pPr>
        <w:wordWrap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1.4.4  投标人（包括联合体各成员）不得存在下列不良状况或不良信用记录：</w:t>
      </w:r>
    </w:p>
    <w:p>
      <w:pPr>
        <w:wordWrap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（1）被交通运输部或福建省交通运输厅取消招标项目所在地的投标资格且处于有效期内；</w:t>
      </w:r>
    </w:p>
    <w:p>
      <w:pPr>
        <w:wordWrap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（2）被责令停业，暂扣或吊销执照，或吊销资质证书；</w:t>
      </w:r>
    </w:p>
    <w:p>
      <w:pPr>
        <w:wordWrap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（3）进入清算程序，或被宣告破产，或其他丧失履约能力的情形；</w:t>
      </w:r>
    </w:p>
    <w:p>
      <w:pPr>
        <w:wordWrap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（4）在国家企业信用信息公示系统（http://www.gsxt.gov.cn/）中被列入严重违法失信企业名单；</w:t>
      </w:r>
    </w:p>
    <w:p>
      <w:pPr>
        <w:wordWrap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（5）在“信用中国”网站（http://www.creditchina.gov.cn/）或“中国执行信息公开网”网站（http://zxgk.court.gov.cn/shixin/）中被列入失信被执行人名单；</w:t>
      </w:r>
    </w:p>
    <w:p>
      <w:pPr>
        <w:wordWrap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（6）投标人或其法定代表人、拟委任的总监理工程师或试验室主任在近三年内有行贿犯罪行为的；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（7）法律法规或投标人须知前附表规定的其他情形。</w:t>
      </w:r>
    </w:p>
    <w:p>
      <w:pPr>
        <w:pStyle w:val="4"/>
        <w:spacing w:before="0" w:after="0" w:line="324" w:lineRule="auto"/>
        <w:ind w:firstLine="481" w:firstLineChars="200"/>
        <w:rPr>
          <w:rFonts w:ascii="黑体" w:hAnsi="宋体"/>
          <w:b w:val="0"/>
          <w:color w:val="auto"/>
          <w:sz w:val="24"/>
          <w:szCs w:val="24"/>
          <w:highlight w:val="none"/>
        </w:rPr>
      </w:pPr>
      <w:bookmarkStart w:id="89" w:name="_Toc144974503"/>
      <w:bookmarkStart w:id="90" w:name="_Toc152042311"/>
      <w:bookmarkStart w:id="91" w:name="_Toc152045535"/>
      <w:bookmarkStart w:id="92" w:name="_Toc341805105"/>
      <w:bookmarkStart w:id="93" w:name="_Toc356567785"/>
      <w:bookmarkStart w:id="94" w:name="_Toc488650783"/>
      <w:bookmarkStart w:id="95" w:name="_Toc487653353"/>
      <w:bookmarkStart w:id="96" w:name="_Toc487619435"/>
      <w:bookmarkStart w:id="97" w:name="_Toc487291464"/>
      <w:r>
        <w:rPr>
          <w:rFonts w:hint="eastAsia" w:ascii="黑体" w:hAnsi="宋体"/>
          <w:color w:val="auto"/>
          <w:sz w:val="24"/>
          <w:szCs w:val="24"/>
          <w:highlight w:val="none"/>
        </w:rPr>
        <w:t>1.5</w:t>
      </w:r>
      <w:r>
        <w:rPr>
          <w:rFonts w:hint="eastAsia" w:ascii="黑体" w:hAnsi="宋体"/>
          <w:b w:val="0"/>
          <w:color w:val="auto"/>
          <w:sz w:val="24"/>
          <w:szCs w:val="24"/>
          <w:highlight w:val="none"/>
        </w:rPr>
        <w:t xml:space="preserve">  费用</w:t>
      </w:r>
      <w:bookmarkEnd w:id="89"/>
      <w:bookmarkEnd w:id="90"/>
      <w:bookmarkEnd w:id="91"/>
      <w:r>
        <w:rPr>
          <w:rFonts w:hint="eastAsia" w:ascii="黑体" w:hAnsi="宋体"/>
          <w:b w:val="0"/>
          <w:color w:val="auto"/>
          <w:sz w:val="24"/>
          <w:szCs w:val="24"/>
          <w:highlight w:val="none"/>
        </w:rPr>
        <w:t>承担</w:t>
      </w:r>
      <w:bookmarkEnd w:id="92"/>
      <w:bookmarkEnd w:id="93"/>
      <w:bookmarkEnd w:id="94"/>
      <w:bookmarkEnd w:id="95"/>
      <w:bookmarkEnd w:id="96"/>
      <w:bookmarkEnd w:id="97"/>
    </w:p>
    <w:p>
      <w:pPr>
        <w:spacing w:line="324" w:lineRule="auto"/>
        <w:ind w:firstLine="480" w:firstLineChars="200"/>
        <w:rPr>
          <w:color w:val="auto"/>
          <w:sz w:val="24"/>
          <w:highlight w:val="none"/>
        </w:rPr>
      </w:pPr>
      <w:r>
        <w:rPr>
          <w:color w:val="auto"/>
          <w:sz w:val="24"/>
          <w:highlight w:val="none"/>
        </w:rPr>
        <w:t>投标人</w:t>
      </w:r>
      <w:r>
        <w:rPr>
          <w:rFonts w:hint="eastAsia"/>
          <w:color w:val="auto"/>
          <w:sz w:val="24"/>
          <w:highlight w:val="none"/>
        </w:rPr>
        <w:t>准备和参加投标活动发生的</w:t>
      </w:r>
      <w:r>
        <w:rPr>
          <w:color w:val="auto"/>
          <w:sz w:val="24"/>
          <w:highlight w:val="none"/>
        </w:rPr>
        <w:t>费用</w:t>
      </w:r>
      <w:r>
        <w:rPr>
          <w:rFonts w:hint="eastAsia"/>
          <w:color w:val="auto"/>
          <w:sz w:val="24"/>
          <w:highlight w:val="none"/>
        </w:rPr>
        <w:t>自理。</w:t>
      </w:r>
    </w:p>
    <w:p>
      <w:pPr>
        <w:pStyle w:val="4"/>
        <w:spacing w:before="0" w:after="0" w:line="324" w:lineRule="auto"/>
        <w:ind w:firstLine="481" w:firstLineChars="200"/>
        <w:rPr>
          <w:rFonts w:ascii="黑体" w:hAnsi="宋体"/>
          <w:b w:val="0"/>
          <w:color w:val="auto"/>
          <w:sz w:val="24"/>
          <w:szCs w:val="24"/>
          <w:highlight w:val="none"/>
        </w:rPr>
      </w:pPr>
      <w:bookmarkStart w:id="98" w:name="_Toc356567786"/>
      <w:bookmarkStart w:id="99" w:name="_Toc152045536"/>
      <w:bookmarkStart w:id="100" w:name="_Toc488650784"/>
      <w:bookmarkStart w:id="101" w:name="_Toc487619436"/>
      <w:bookmarkStart w:id="102" w:name="_Toc487291465"/>
      <w:bookmarkStart w:id="103" w:name="_Toc341805106"/>
      <w:bookmarkStart w:id="104" w:name="_Toc487653354"/>
      <w:bookmarkStart w:id="105" w:name="_Toc144974504"/>
      <w:bookmarkStart w:id="106" w:name="_Toc152042312"/>
      <w:r>
        <w:rPr>
          <w:rFonts w:hint="eastAsia" w:ascii="黑体" w:hAnsi="宋体"/>
          <w:color w:val="auto"/>
          <w:sz w:val="24"/>
          <w:szCs w:val="24"/>
          <w:highlight w:val="none"/>
        </w:rPr>
        <w:t xml:space="preserve">1.6 </w:t>
      </w:r>
      <w:r>
        <w:rPr>
          <w:rFonts w:hint="eastAsia" w:ascii="黑体" w:hAnsi="宋体"/>
          <w:b w:val="0"/>
          <w:color w:val="auto"/>
          <w:sz w:val="24"/>
          <w:szCs w:val="24"/>
          <w:highlight w:val="none"/>
        </w:rPr>
        <w:t xml:space="preserve"> 保密</w:t>
      </w:r>
      <w:bookmarkEnd w:id="98"/>
      <w:bookmarkEnd w:id="99"/>
      <w:bookmarkEnd w:id="100"/>
      <w:bookmarkEnd w:id="101"/>
      <w:bookmarkEnd w:id="102"/>
      <w:bookmarkEnd w:id="103"/>
      <w:bookmarkEnd w:id="104"/>
      <w:bookmarkEnd w:id="105"/>
      <w:bookmarkEnd w:id="106"/>
    </w:p>
    <w:p>
      <w:pPr>
        <w:spacing w:line="324" w:lineRule="auto"/>
        <w:ind w:firstLine="480" w:firstLineChars="200"/>
        <w:rPr>
          <w:color w:val="auto"/>
          <w:sz w:val="24"/>
          <w:highlight w:val="none"/>
        </w:rPr>
      </w:pPr>
      <w:r>
        <w:rPr>
          <w:rFonts w:hint="eastAsia"/>
          <w:color w:val="auto"/>
          <w:sz w:val="24"/>
          <w:highlight w:val="none"/>
        </w:rPr>
        <w:t xml:space="preserve">参与招标投标活动的各方应对招标文件和投标文件中的商业和技术等内容保密，违者应对由此造成的后果承担法律责任。 </w:t>
      </w:r>
    </w:p>
    <w:p>
      <w:pPr>
        <w:pStyle w:val="4"/>
        <w:spacing w:before="0" w:after="0" w:line="324" w:lineRule="auto"/>
        <w:ind w:firstLine="481" w:firstLineChars="200"/>
        <w:rPr>
          <w:rFonts w:ascii="黑体" w:hAnsi="宋体"/>
          <w:b w:val="0"/>
          <w:color w:val="auto"/>
          <w:sz w:val="24"/>
          <w:szCs w:val="24"/>
          <w:highlight w:val="none"/>
        </w:rPr>
      </w:pPr>
      <w:bookmarkStart w:id="107" w:name="_Toc487291466"/>
      <w:bookmarkStart w:id="108" w:name="_Toc487653355"/>
      <w:bookmarkStart w:id="109" w:name="_Toc488650785"/>
      <w:bookmarkStart w:id="110" w:name="_Toc341805107"/>
      <w:bookmarkStart w:id="111" w:name="_Toc487619437"/>
      <w:bookmarkStart w:id="112" w:name="_Toc356567787"/>
      <w:r>
        <w:rPr>
          <w:rFonts w:hint="eastAsia" w:ascii="黑体" w:hAnsi="宋体"/>
          <w:color w:val="auto"/>
          <w:sz w:val="24"/>
          <w:szCs w:val="24"/>
          <w:highlight w:val="none"/>
        </w:rPr>
        <w:t xml:space="preserve">1.7 </w:t>
      </w:r>
      <w:r>
        <w:rPr>
          <w:rFonts w:hint="eastAsia" w:ascii="黑体" w:hAnsi="宋体"/>
          <w:b w:val="0"/>
          <w:color w:val="auto"/>
          <w:sz w:val="24"/>
          <w:szCs w:val="24"/>
          <w:highlight w:val="none"/>
        </w:rPr>
        <w:t xml:space="preserve"> 语言文字</w:t>
      </w:r>
      <w:bookmarkEnd w:id="107"/>
      <w:bookmarkEnd w:id="108"/>
      <w:bookmarkEnd w:id="109"/>
      <w:bookmarkEnd w:id="110"/>
      <w:bookmarkEnd w:id="111"/>
      <w:bookmarkEnd w:id="112"/>
    </w:p>
    <w:p>
      <w:pPr>
        <w:spacing w:line="324" w:lineRule="auto"/>
        <w:ind w:firstLine="480" w:firstLineChars="200"/>
        <w:rPr>
          <w:color w:val="auto"/>
          <w:sz w:val="24"/>
          <w:highlight w:val="none"/>
        </w:rPr>
      </w:pPr>
      <w:r>
        <w:rPr>
          <w:rFonts w:hint="eastAsia"/>
          <w:color w:val="auto"/>
          <w:sz w:val="24"/>
          <w:highlight w:val="none"/>
        </w:rPr>
        <w:t>除专用术语外，与招标投标有关的语言均使用中文。必要时专用术语应附有中文注释。</w:t>
      </w:r>
    </w:p>
    <w:p>
      <w:pPr>
        <w:pStyle w:val="4"/>
        <w:spacing w:before="0" w:after="0" w:line="324" w:lineRule="auto"/>
        <w:ind w:firstLine="481" w:firstLineChars="200"/>
        <w:rPr>
          <w:rFonts w:ascii="黑体" w:hAnsi="宋体"/>
          <w:b w:val="0"/>
          <w:color w:val="auto"/>
          <w:sz w:val="24"/>
          <w:szCs w:val="24"/>
          <w:highlight w:val="none"/>
        </w:rPr>
      </w:pPr>
      <w:bookmarkStart w:id="113" w:name="_Toc341805108"/>
      <w:bookmarkStart w:id="114" w:name="_Toc487619438"/>
      <w:bookmarkStart w:id="115" w:name="_Toc356567788"/>
      <w:bookmarkStart w:id="116" w:name="_Toc487653356"/>
      <w:bookmarkStart w:id="117" w:name="_Toc487291467"/>
      <w:bookmarkStart w:id="118" w:name="_Toc488650786"/>
      <w:r>
        <w:rPr>
          <w:rFonts w:hint="eastAsia" w:ascii="黑体" w:hAnsi="宋体"/>
          <w:color w:val="auto"/>
          <w:sz w:val="24"/>
          <w:szCs w:val="24"/>
          <w:highlight w:val="none"/>
        </w:rPr>
        <w:t>1.8</w:t>
      </w:r>
      <w:r>
        <w:rPr>
          <w:rFonts w:hint="eastAsia" w:ascii="黑体" w:hAnsi="宋体"/>
          <w:b w:val="0"/>
          <w:color w:val="auto"/>
          <w:sz w:val="24"/>
          <w:szCs w:val="24"/>
          <w:highlight w:val="none"/>
        </w:rPr>
        <w:t xml:space="preserve">  计量单位</w:t>
      </w:r>
      <w:bookmarkEnd w:id="113"/>
      <w:bookmarkEnd w:id="114"/>
      <w:bookmarkEnd w:id="115"/>
      <w:bookmarkEnd w:id="116"/>
      <w:bookmarkEnd w:id="117"/>
      <w:bookmarkEnd w:id="118"/>
    </w:p>
    <w:p>
      <w:pPr>
        <w:spacing w:line="324" w:lineRule="auto"/>
        <w:ind w:firstLine="480" w:firstLineChars="200"/>
        <w:rPr>
          <w:rFonts w:hint="eastAsia"/>
          <w:color w:val="auto"/>
          <w:sz w:val="24"/>
          <w:highlight w:val="none"/>
        </w:rPr>
      </w:pPr>
      <w:r>
        <w:rPr>
          <w:rFonts w:hint="eastAsia"/>
          <w:color w:val="auto"/>
          <w:sz w:val="24"/>
          <w:highlight w:val="none"/>
        </w:rPr>
        <w:t>所有计量均采用中华人民共和国法定计量单位。</w:t>
      </w:r>
    </w:p>
    <w:p>
      <w:pPr>
        <w:pStyle w:val="4"/>
        <w:spacing w:before="0" w:after="0" w:line="324" w:lineRule="auto"/>
        <w:ind w:firstLine="481" w:firstLineChars="200"/>
        <w:rPr>
          <w:rFonts w:ascii="宋体" w:hAnsi="宋体"/>
          <w:color w:val="auto"/>
          <w:szCs w:val="28"/>
          <w:highlight w:val="none"/>
        </w:rPr>
      </w:pPr>
      <w:bookmarkStart w:id="119" w:name="_Toc488483472"/>
      <w:bookmarkStart w:id="120" w:name="_Toc488650787"/>
      <w:bookmarkStart w:id="121" w:name="_Toc419729354"/>
      <w:bookmarkStart w:id="122" w:name="_Toc419825005"/>
      <w:bookmarkStart w:id="123" w:name="_Toc463799009"/>
      <w:bookmarkStart w:id="124" w:name="_Toc486685897"/>
      <w:bookmarkStart w:id="125" w:name="_Toc234382599"/>
      <w:bookmarkStart w:id="126" w:name="_Toc382997941"/>
      <w:bookmarkStart w:id="127" w:name="_Toc487653178"/>
      <w:bookmarkStart w:id="128" w:name="_Toc383012994"/>
      <w:bookmarkStart w:id="129" w:name="_Toc383512688"/>
      <w:bookmarkStart w:id="130" w:name="_Toc419724287"/>
      <w:bookmarkStart w:id="131" w:name="_Toc383006467"/>
      <w:bookmarkStart w:id="132" w:name="_Toc488483600"/>
      <w:bookmarkStart w:id="133" w:name="_Toc488492831"/>
      <w:bookmarkStart w:id="134" w:name="_Toc26045"/>
      <w:bookmarkStart w:id="135" w:name="_Toc30532"/>
      <w:bookmarkStart w:id="136" w:name="_Toc382997663"/>
      <w:bookmarkStart w:id="137" w:name="_Toc419825354"/>
      <w:r>
        <w:rPr>
          <w:rFonts w:ascii="宋体" w:hAnsi="宋体"/>
          <w:color w:val="auto"/>
          <w:sz w:val="24"/>
          <w:szCs w:val="24"/>
          <w:highlight w:val="none"/>
        </w:rPr>
        <w:t>1.9</w:t>
      </w:r>
      <w:r>
        <w:rPr>
          <w:rFonts w:ascii="宋体" w:hAnsi="宋体"/>
          <w:color w:val="auto"/>
          <w:szCs w:val="28"/>
          <w:highlight w:val="none"/>
        </w:rPr>
        <w:t xml:space="preserve"> </w:t>
      </w:r>
      <w:r>
        <w:rPr>
          <w:rFonts w:ascii="黑体" w:hAnsi="宋体"/>
          <w:b w:val="0"/>
          <w:color w:val="auto"/>
          <w:sz w:val="24"/>
          <w:szCs w:val="24"/>
          <w:highlight w:val="none"/>
        </w:rPr>
        <w:t>踏勘现场</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line="324" w:lineRule="auto"/>
        <w:ind w:firstLine="480" w:firstLineChars="200"/>
        <w:rPr>
          <w:rFonts w:hint="eastAsia"/>
          <w:color w:val="auto"/>
          <w:sz w:val="24"/>
          <w:highlight w:val="none"/>
        </w:rPr>
      </w:pPr>
      <w:r>
        <w:rPr>
          <w:rFonts w:hint="eastAsia"/>
          <w:color w:val="auto"/>
          <w:sz w:val="24"/>
          <w:highlight w:val="none"/>
        </w:rPr>
        <w:t>投标人自行踏勘现场，并自行负责在踏勘现场中所发生的人员伤亡和财产损失。</w:t>
      </w:r>
    </w:p>
    <w:p>
      <w:pPr>
        <w:pStyle w:val="4"/>
        <w:spacing w:before="0" w:after="0" w:line="324" w:lineRule="auto"/>
        <w:ind w:firstLine="481" w:firstLineChars="200"/>
        <w:rPr>
          <w:rFonts w:ascii="宋体" w:hAnsi="宋体"/>
          <w:color w:val="auto"/>
          <w:szCs w:val="28"/>
          <w:highlight w:val="none"/>
        </w:rPr>
      </w:pPr>
      <w:bookmarkStart w:id="138" w:name="_Toc28277"/>
      <w:bookmarkStart w:id="139" w:name="_Toc1684"/>
      <w:bookmarkStart w:id="140" w:name="_Toc382997942"/>
      <w:bookmarkStart w:id="141" w:name="_Toc488492832"/>
      <w:bookmarkStart w:id="142" w:name="_Toc487653179"/>
      <w:bookmarkStart w:id="143" w:name="_Toc463799010"/>
      <w:bookmarkStart w:id="144" w:name="_Toc383512689"/>
      <w:bookmarkStart w:id="145" w:name="_Toc383012995"/>
      <w:bookmarkStart w:id="146" w:name="_Toc382997664"/>
      <w:bookmarkStart w:id="147" w:name="_Toc488483473"/>
      <w:bookmarkStart w:id="148" w:name="_Toc419729355"/>
      <w:bookmarkStart w:id="149" w:name="_Toc488650788"/>
      <w:bookmarkStart w:id="150" w:name="_Toc419724288"/>
      <w:bookmarkStart w:id="151" w:name="_Toc234382600"/>
      <w:bookmarkStart w:id="152" w:name="_Toc486685898"/>
      <w:bookmarkStart w:id="153" w:name="_Toc419825006"/>
      <w:bookmarkStart w:id="154" w:name="_Toc419825355"/>
      <w:bookmarkStart w:id="155" w:name="_Toc383006468"/>
      <w:bookmarkStart w:id="156" w:name="_Toc488483601"/>
      <w:r>
        <w:rPr>
          <w:rFonts w:ascii="宋体" w:hAnsi="宋体"/>
          <w:color w:val="auto"/>
          <w:sz w:val="24"/>
          <w:szCs w:val="24"/>
          <w:highlight w:val="none"/>
        </w:rPr>
        <w:t xml:space="preserve">1.10 </w:t>
      </w:r>
      <w:r>
        <w:rPr>
          <w:rFonts w:ascii="黑体" w:hAnsi="宋体"/>
          <w:b w:val="0"/>
          <w:color w:val="auto"/>
          <w:sz w:val="24"/>
          <w:szCs w:val="24"/>
          <w:highlight w:val="none"/>
        </w:rPr>
        <w:t>投标预备会</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324" w:lineRule="auto"/>
        <w:ind w:firstLine="480" w:firstLineChars="200"/>
        <w:rPr>
          <w:color w:val="auto"/>
          <w:sz w:val="24"/>
          <w:highlight w:val="none"/>
        </w:rPr>
      </w:pPr>
      <w:r>
        <w:rPr>
          <w:rFonts w:hint="eastAsia"/>
          <w:color w:val="auto"/>
          <w:sz w:val="24"/>
          <w:highlight w:val="none"/>
        </w:rPr>
        <w:t>投标人不组织召开投标预备会。</w:t>
      </w:r>
    </w:p>
    <w:p>
      <w:pPr>
        <w:pStyle w:val="4"/>
        <w:spacing w:before="0" w:after="0" w:line="324" w:lineRule="auto"/>
        <w:ind w:firstLine="481" w:firstLineChars="200"/>
        <w:rPr>
          <w:rFonts w:ascii="黑体" w:hAnsi="宋体"/>
          <w:b w:val="0"/>
          <w:color w:val="auto"/>
          <w:sz w:val="24"/>
          <w:szCs w:val="24"/>
          <w:highlight w:val="none"/>
        </w:rPr>
      </w:pPr>
      <w:bookmarkStart w:id="157" w:name="_Toc487619439"/>
      <w:bookmarkStart w:id="158" w:name="_Toc487653357"/>
      <w:bookmarkStart w:id="159" w:name="_Toc341805111"/>
      <w:bookmarkStart w:id="160" w:name="_Toc488650789"/>
      <w:bookmarkStart w:id="161" w:name="_Toc356567791"/>
      <w:bookmarkStart w:id="162" w:name="_Toc487291468"/>
      <w:bookmarkStart w:id="163" w:name="_Toc152042318"/>
      <w:bookmarkStart w:id="164" w:name="_Toc152045542"/>
      <w:bookmarkStart w:id="165" w:name="_Toc283559191"/>
      <w:bookmarkStart w:id="166" w:name="_Toc283558694"/>
      <w:bookmarkStart w:id="167" w:name="_Toc144974510"/>
      <w:r>
        <w:rPr>
          <w:rFonts w:hint="eastAsia" w:ascii="黑体" w:hAnsi="宋体"/>
          <w:color w:val="auto"/>
          <w:sz w:val="24"/>
          <w:szCs w:val="24"/>
          <w:highlight w:val="none"/>
        </w:rPr>
        <w:t>1.11</w:t>
      </w:r>
      <w:r>
        <w:rPr>
          <w:rFonts w:hint="eastAsia" w:ascii="黑体" w:hAnsi="宋体"/>
          <w:b w:val="0"/>
          <w:color w:val="auto"/>
          <w:sz w:val="24"/>
          <w:szCs w:val="24"/>
          <w:highlight w:val="none"/>
        </w:rPr>
        <w:t xml:space="preserve">  分包</w:t>
      </w:r>
      <w:bookmarkEnd w:id="157"/>
      <w:bookmarkEnd w:id="158"/>
      <w:bookmarkEnd w:id="159"/>
      <w:bookmarkEnd w:id="160"/>
      <w:bookmarkEnd w:id="161"/>
      <w:bookmarkEnd w:id="162"/>
    </w:p>
    <w:p>
      <w:pPr>
        <w:spacing w:line="324" w:lineRule="auto"/>
        <w:ind w:firstLine="480" w:firstLineChars="200"/>
        <w:rPr>
          <w:color w:val="auto"/>
          <w:sz w:val="24"/>
          <w:highlight w:val="none"/>
        </w:rPr>
      </w:pPr>
      <w:r>
        <w:rPr>
          <w:rFonts w:hint="eastAsia"/>
          <w:color w:val="auto"/>
          <w:sz w:val="24"/>
          <w:highlight w:val="none"/>
        </w:rPr>
        <w:t>见投标人须知前附表</w:t>
      </w:r>
      <w:r>
        <w:rPr>
          <w:color w:val="auto"/>
          <w:sz w:val="24"/>
          <w:highlight w:val="none"/>
        </w:rPr>
        <w:t>。</w:t>
      </w:r>
      <w:r>
        <w:rPr>
          <w:rFonts w:hint="eastAsia"/>
          <w:color w:val="auto"/>
          <w:sz w:val="24"/>
          <w:highlight w:val="none"/>
        </w:rPr>
        <w:t>允许分包的项目，中标人不得向他人转让中标项目，接受分包的人不得再次分包。中标人应当就分包项目向招标人负责，接受分包的人就分包项目承担连带责任。</w:t>
      </w:r>
    </w:p>
    <w:p>
      <w:pPr>
        <w:pStyle w:val="4"/>
        <w:spacing w:before="0" w:after="0" w:line="324" w:lineRule="auto"/>
        <w:ind w:firstLine="481" w:firstLineChars="200"/>
        <w:rPr>
          <w:rFonts w:ascii="黑体" w:hAnsi="宋体"/>
          <w:b w:val="0"/>
          <w:color w:val="auto"/>
          <w:sz w:val="24"/>
          <w:szCs w:val="24"/>
          <w:highlight w:val="none"/>
        </w:rPr>
      </w:pPr>
      <w:bookmarkStart w:id="168" w:name="_Toc488650790"/>
      <w:bookmarkStart w:id="169" w:name="_Toc341805112"/>
      <w:bookmarkStart w:id="170" w:name="_Toc487619440"/>
      <w:bookmarkStart w:id="171" w:name="_Toc487653358"/>
      <w:bookmarkStart w:id="172" w:name="_Toc356567792"/>
      <w:bookmarkStart w:id="173" w:name="_Toc487291469"/>
      <w:r>
        <w:rPr>
          <w:rFonts w:hint="eastAsia" w:ascii="黑体" w:hAnsi="宋体"/>
          <w:color w:val="auto"/>
          <w:sz w:val="24"/>
          <w:szCs w:val="24"/>
          <w:highlight w:val="none"/>
        </w:rPr>
        <w:t xml:space="preserve">1.12 </w:t>
      </w:r>
      <w:r>
        <w:rPr>
          <w:rFonts w:hint="eastAsia" w:ascii="黑体" w:hAnsi="宋体"/>
          <w:b w:val="0"/>
          <w:color w:val="auto"/>
          <w:sz w:val="24"/>
          <w:szCs w:val="24"/>
          <w:highlight w:val="none"/>
        </w:rPr>
        <w:t xml:space="preserve"> 偏差</w:t>
      </w:r>
      <w:bookmarkEnd w:id="168"/>
      <w:bookmarkEnd w:id="169"/>
      <w:bookmarkEnd w:id="170"/>
      <w:bookmarkEnd w:id="171"/>
      <w:bookmarkEnd w:id="172"/>
      <w:bookmarkEnd w:id="173"/>
    </w:p>
    <w:p>
      <w:pPr>
        <w:spacing w:line="400" w:lineRule="exact"/>
        <w:ind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资格审查文件存在下列情形之一，按重大偏差处理，存在的其他问题和不明确之处，按细微偏差处理，应通过澄清的方式进行核实：</w:t>
      </w:r>
    </w:p>
    <w:p>
      <w:pPr>
        <w:numPr>
          <w:ilvl w:val="0"/>
          <w:numId w:val="6"/>
        </w:num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投标文件未按招标文件要求盖章并由法定代表人或其书面授权的代理人签字的；</w:t>
      </w:r>
    </w:p>
    <w:p>
      <w:pPr>
        <w:numPr>
          <w:ilvl w:val="0"/>
          <w:numId w:val="6"/>
        </w:num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投标联合体没有提交共同投标的联合体协议；</w:t>
      </w:r>
    </w:p>
    <w:p>
      <w:pPr>
        <w:numPr>
          <w:ilvl w:val="0"/>
          <w:numId w:val="6"/>
        </w:num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未按招标文件要求提交保证金的；</w:t>
      </w:r>
    </w:p>
    <w:p>
      <w:pPr>
        <w:numPr>
          <w:ilvl w:val="0"/>
          <w:numId w:val="6"/>
        </w:num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投标函未按照招标文件规定的格式填写，内容不全或者关键字迹模糊无法辨认的；</w:t>
      </w:r>
    </w:p>
    <w:p>
      <w:pPr>
        <w:numPr>
          <w:ilvl w:val="0"/>
          <w:numId w:val="6"/>
        </w:num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投标人不符合国家或者招标文件规定的资格条件的；</w:t>
      </w:r>
    </w:p>
    <w:p>
      <w:pPr>
        <w:numPr>
          <w:ilvl w:val="0"/>
          <w:numId w:val="6"/>
        </w:num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投标人名称或者组织结构与资格预审时不一致且未提供有效证明的；</w:t>
      </w:r>
    </w:p>
    <w:p>
      <w:p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（7）投标报价明显低于成本或者高于招标文件设定的最高投标限价的；</w:t>
      </w:r>
    </w:p>
    <w:p>
      <w:p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（8）同一投标人提交两个以上不同的投标文件或投标报价，且未申明哪一个为最终报价的，但招标文件要求提交备选投标的除外</w:t>
      </w:r>
    </w:p>
    <w:p>
      <w:p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（9）投标人有串通投标、以他人名义或者其他弄虚作假、行贿等违法行为的；</w:t>
      </w:r>
    </w:p>
    <w:p>
      <w:p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（10）无正当理由不按评标委员会的要求对投标文件进行澄清或者说明的；</w:t>
      </w:r>
    </w:p>
    <w:p>
      <w:p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（11）投标文件没有对招标文件的实质性要求和条件作出响应；</w:t>
      </w:r>
    </w:p>
    <w:p>
      <w:p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（12）投标人存在下列情形之一：</w:t>
      </w:r>
    </w:p>
    <w:p>
      <w:pPr>
        <w:spacing w:line="400" w:lineRule="exact"/>
        <w:ind w:left="113" w:leftChars="54" w:right="113"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a.为招标人不具有独立法人资格的附属机构（单位）； </w:t>
      </w:r>
    </w:p>
    <w:p>
      <w:pPr>
        <w:spacing w:line="400" w:lineRule="exact"/>
        <w:ind w:left="113" w:leftChars="54" w:firstLine="360" w:firstLineChars="150"/>
        <w:rPr>
          <w:rFonts w:hint="eastAsia" w:ascii="宋体" w:hAnsi="宋体" w:cs="宋体"/>
          <w:color w:val="auto"/>
          <w:sz w:val="24"/>
          <w:highlight w:val="none"/>
        </w:rPr>
      </w:pPr>
      <w:r>
        <w:rPr>
          <w:rFonts w:hint="eastAsia" w:ascii="宋体" w:hAnsi="宋体" w:cs="宋体"/>
          <w:color w:val="auto"/>
          <w:sz w:val="24"/>
          <w:highlight w:val="none"/>
        </w:rPr>
        <w:t>b为本标段的施工单位；</w:t>
      </w:r>
    </w:p>
    <w:p>
      <w:pPr>
        <w:spacing w:line="400" w:lineRule="exact"/>
        <w:ind w:left="113" w:leftChars="54" w:firstLine="360" w:firstLineChars="150"/>
        <w:rPr>
          <w:rFonts w:hint="eastAsia" w:ascii="宋体" w:hAnsi="宋体" w:cs="宋体"/>
          <w:color w:val="auto"/>
          <w:sz w:val="24"/>
          <w:highlight w:val="none"/>
        </w:rPr>
      </w:pPr>
      <w:r>
        <w:rPr>
          <w:rFonts w:hint="eastAsia" w:ascii="宋体" w:hAnsi="宋体" w:cs="宋体"/>
          <w:color w:val="auto"/>
          <w:sz w:val="24"/>
          <w:highlight w:val="none"/>
        </w:rPr>
        <w:t>d.为本标段提供招标代理服务的；</w:t>
      </w:r>
    </w:p>
    <w:p>
      <w:pPr>
        <w:spacing w:line="400" w:lineRule="exact"/>
        <w:ind w:left="113" w:leftChars="54" w:firstLine="360" w:firstLineChars="150"/>
        <w:rPr>
          <w:rFonts w:hint="eastAsia" w:ascii="宋体" w:hAnsi="宋体" w:cs="宋体"/>
          <w:color w:val="auto"/>
          <w:sz w:val="24"/>
          <w:highlight w:val="none"/>
        </w:rPr>
      </w:pPr>
      <w:r>
        <w:rPr>
          <w:rFonts w:hint="eastAsia" w:ascii="宋体" w:hAnsi="宋体" w:cs="宋体"/>
          <w:color w:val="auto"/>
          <w:sz w:val="24"/>
          <w:highlight w:val="none"/>
        </w:rPr>
        <w:t>c.与本标段的施工单位、代建人或招标代理机构同为一个法定代表人的；</w:t>
      </w:r>
    </w:p>
    <w:p>
      <w:pPr>
        <w:spacing w:line="400" w:lineRule="exact"/>
        <w:ind w:left="113" w:leftChars="54" w:firstLine="360" w:firstLineChars="150"/>
        <w:rPr>
          <w:rFonts w:hint="eastAsia" w:ascii="宋体" w:hAnsi="宋体" w:cs="宋体"/>
          <w:color w:val="auto"/>
          <w:sz w:val="24"/>
          <w:highlight w:val="none"/>
        </w:rPr>
      </w:pPr>
      <w:r>
        <w:rPr>
          <w:rFonts w:hint="eastAsia" w:ascii="宋体" w:hAnsi="宋体" w:cs="宋体"/>
          <w:color w:val="auto"/>
          <w:sz w:val="24"/>
          <w:highlight w:val="none"/>
        </w:rPr>
        <w:t>d.与本标段的施工单位、代建人或招标代理机构相互控股或参股的；</w:t>
      </w:r>
    </w:p>
    <w:p>
      <w:pPr>
        <w:spacing w:line="400" w:lineRule="exact"/>
        <w:ind w:left="113" w:leftChars="54" w:firstLine="360" w:firstLineChars="150"/>
        <w:rPr>
          <w:rFonts w:hint="eastAsia" w:ascii="宋体" w:hAnsi="宋体" w:cs="宋体"/>
          <w:color w:val="auto"/>
          <w:sz w:val="24"/>
          <w:highlight w:val="none"/>
        </w:rPr>
      </w:pPr>
      <w:r>
        <w:rPr>
          <w:rFonts w:hint="eastAsia" w:ascii="宋体" w:hAnsi="宋体" w:cs="宋体"/>
          <w:color w:val="auto"/>
          <w:sz w:val="24"/>
          <w:highlight w:val="none"/>
        </w:rPr>
        <w:t>e.与本标段的施工单位、代建人或招标代理机构相互任职或工作的；</w:t>
      </w:r>
    </w:p>
    <w:p>
      <w:pPr>
        <w:spacing w:line="400" w:lineRule="exact"/>
        <w:ind w:left="113" w:leftChars="54"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f被责令停业，暂扣或者吊销许可证、暂扣活吊销执照的； </w:t>
      </w:r>
    </w:p>
    <w:p>
      <w:pPr>
        <w:spacing w:line="400" w:lineRule="exact"/>
        <w:ind w:left="113" w:leftChars="54"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g.被暂停或取消投标资格的； </w:t>
      </w:r>
    </w:p>
    <w:p>
      <w:pPr>
        <w:spacing w:line="400" w:lineRule="exact"/>
        <w:ind w:left="113" w:leftChars="54" w:firstLine="360" w:firstLineChars="150"/>
        <w:rPr>
          <w:rFonts w:hint="eastAsia" w:ascii="宋体" w:hAnsi="宋体" w:cs="宋体"/>
          <w:color w:val="auto"/>
          <w:sz w:val="24"/>
          <w:highlight w:val="none"/>
        </w:rPr>
      </w:pPr>
      <w:r>
        <w:rPr>
          <w:rFonts w:hint="eastAsia" w:ascii="宋体" w:hAnsi="宋体" w:cs="宋体"/>
          <w:color w:val="auto"/>
          <w:sz w:val="24"/>
          <w:highlight w:val="none"/>
        </w:rPr>
        <w:t>h.财产被接管或冻结，进入清算程序，或宣告破产，或其他丧失履约能力的；</w:t>
      </w:r>
    </w:p>
    <w:p>
      <w:pPr>
        <w:spacing w:line="400" w:lineRule="exact"/>
        <w:ind w:left="113" w:leftChars="54" w:firstLine="360" w:firstLineChars="150"/>
        <w:rPr>
          <w:rFonts w:hint="eastAsia" w:ascii="宋体" w:hAnsi="宋体" w:cs="宋体"/>
          <w:color w:val="auto"/>
          <w:sz w:val="24"/>
          <w:highlight w:val="none"/>
        </w:rPr>
      </w:pPr>
      <w:r>
        <w:rPr>
          <w:rFonts w:hint="eastAsia" w:ascii="宋体" w:hAnsi="宋体" w:cs="宋体"/>
          <w:color w:val="auto"/>
          <w:sz w:val="24"/>
          <w:highlight w:val="none"/>
        </w:rPr>
        <w:t>i.涉及诉讼、仲裁的案件，经评标委员会认定会对承担本项目造成重大影响；</w:t>
      </w:r>
    </w:p>
    <w:p>
      <w:pPr>
        <w:spacing w:line="400" w:lineRule="exact"/>
        <w:ind w:left="113" w:leftChars="54" w:firstLine="360" w:firstLineChars="150"/>
        <w:rPr>
          <w:rFonts w:hint="eastAsia" w:ascii="宋体" w:hAnsi="宋体" w:cs="宋体"/>
          <w:color w:val="auto"/>
          <w:sz w:val="24"/>
          <w:highlight w:val="none"/>
        </w:rPr>
      </w:pPr>
      <w:r>
        <w:rPr>
          <w:rFonts w:hint="eastAsia" w:ascii="宋体" w:hAnsi="宋体" w:cs="宋体"/>
          <w:color w:val="auto"/>
          <w:sz w:val="24"/>
          <w:highlight w:val="none"/>
        </w:rPr>
        <w:t>j.被交通运输部或福建省交通运输厅取消项目所在地的投标资格或禁止进入该区域水运建设市场且处于有效期内；</w:t>
      </w:r>
    </w:p>
    <w:p>
      <w:pPr>
        <w:spacing w:line="324" w:lineRule="auto"/>
        <w:ind w:left="113" w:leftChars="54" w:right="113" w:firstLine="360" w:firstLineChars="150"/>
        <w:rPr>
          <w:rFonts w:ascii="宋体" w:hAnsi="宋体"/>
          <w:color w:val="auto"/>
          <w:sz w:val="24"/>
          <w:highlight w:val="none"/>
        </w:rPr>
      </w:pPr>
      <w:r>
        <w:rPr>
          <w:rFonts w:hint="eastAsia" w:ascii="宋体" w:hAnsi="宋体" w:cs="宋体"/>
          <w:color w:val="auto"/>
          <w:sz w:val="24"/>
          <w:highlight w:val="none"/>
        </w:rPr>
        <w:t>k．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pPr>
        <w:pStyle w:val="4"/>
        <w:spacing w:before="0" w:after="0" w:line="324" w:lineRule="auto"/>
        <w:ind w:firstLine="562" w:firstLineChars="200"/>
        <w:rPr>
          <w:color w:val="auto"/>
          <w:highlight w:val="none"/>
        </w:rPr>
      </w:pPr>
      <w:bookmarkStart w:id="174" w:name="_Toc487291470"/>
      <w:bookmarkStart w:id="175" w:name="_Toc307991150"/>
      <w:bookmarkStart w:id="176" w:name="_Toc286759033"/>
      <w:bookmarkStart w:id="177" w:name="_Toc330384398"/>
      <w:bookmarkStart w:id="178" w:name="_Toc341805113"/>
      <w:bookmarkStart w:id="179" w:name="_Toc488650791"/>
      <w:r>
        <w:rPr>
          <w:rFonts w:hint="eastAsia"/>
          <w:color w:val="auto"/>
          <w:highlight w:val="none"/>
        </w:rPr>
        <w:t>2</w:t>
      </w:r>
      <w:r>
        <w:rPr>
          <w:color w:val="auto"/>
          <w:highlight w:val="none"/>
        </w:rPr>
        <w:t>．</w:t>
      </w:r>
      <w:r>
        <w:rPr>
          <w:rFonts w:hint="eastAsia"/>
          <w:color w:val="auto"/>
          <w:highlight w:val="none"/>
        </w:rPr>
        <w:t>招标文件</w:t>
      </w:r>
      <w:bookmarkEnd w:id="163"/>
      <w:bookmarkEnd w:id="164"/>
      <w:bookmarkEnd w:id="165"/>
      <w:bookmarkEnd w:id="166"/>
      <w:bookmarkEnd w:id="167"/>
      <w:bookmarkEnd w:id="174"/>
      <w:bookmarkEnd w:id="175"/>
      <w:bookmarkEnd w:id="176"/>
      <w:bookmarkEnd w:id="177"/>
      <w:bookmarkEnd w:id="178"/>
      <w:bookmarkEnd w:id="179"/>
    </w:p>
    <w:p>
      <w:pPr>
        <w:pStyle w:val="4"/>
        <w:spacing w:before="0" w:after="0" w:line="324" w:lineRule="auto"/>
        <w:ind w:firstLine="481" w:firstLineChars="200"/>
        <w:rPr>
          <w:rFonts w:ascii="黑体" w:hAnsi="宋体"/>
          <w:b w:val="0"/>
          <w:color w:val="auto"/>
          <w:sz w:val="24"/>
          <w:szCs w:val="24"/>
          <w:highlight w:val="none"/>
        </w:rPr>
      </w:pPr>
      <w:bookmarkStart w:id="180" w:name="_Toc152042319"/>
      <w:bookmarkStart w:id="181" w:name="_Toc144974511"/>
      <w:bookmarkStart w:id="182" w:name="_Toc152045543"/>
      <w:bookmarkStart w:id="183" w:name="_Toc487653360"/>
      <w:bookmarkStart w:id="184" w:name="_Toc488650792"/>
      <w:bookmarkStart w:id="185" w:name="_Toc341805114"/>
      <w:bookmarkStart w:id="186" w:name="_Toc356567794"/>
      <w:bookmarkStart w:id="187" w:name="_Toc487619442"/>
      <w:bookmarkStart w:id="188" w:name="_Toc487291471"/>
      <w:r>
        <w:rPr>
          <w:rFonts w:hint="eastAsia" w:ascii="黑体" w:hAnsi="宋体"/>
          <w:color w:val="auto"/>
          <w:sz w:val="24"/>
          <w:szCs w:val="24"/>
          <w:highlight w:val="none"/>
        </w:rPr>
        <w:t>2.1</w:t>
      </w:r>
      <w:r>
        <w:rPr>
          <w:rFonts w:hint="eastAsia" w:ascii="黑体" w:hAnsi="宋体"/>
          <w:b w:val="0"/>
          <w:color w:val="auto"/>
          <w:sz w:val="24"/>
          <w:szCs w:val="24"/>
          <w:highlight w:val="none"/>
        </w:rPr>
        <w:t xml:space="preserve">  招标文件的</w:t>
      </w:r>
      <w:bookmarkEnd w:id="180"/>
      <w:bookmarkEnd w:id="181"/>
      <w:bookmarkEnd w:id="182"/>
      <w:r>
        <w:rPr>
          <w:rFonts w:hint="eastAsia" w:ascii="黑体" w:hAnsi="宋体"/>
          <w:b w:val="0"/>
          <w:color w:val="auto"/>
          <w:sz w:val="24"/>
          <w:szCs w:val="24"/>
          <w:highlight w:val="none"/>
        </w:rPr>
        <w:t>组成</w:t>
      </w:r>
      <w:bookmarkEnd w:id="183"/>
      <w:bookmarkEnd w:id="184"/>
      <w:bookmarkEnd w:id="185"/>
      <w:bookmarkEnd w:id="186"/>
      <w:bookmarkEnd w:id="187"/>
      <w:bookmarkEnd w:id="188"/>
    </w:p>
    <w:p>
      <w:pPr>
        <w:spacing w:line="324" w:lineRule="auto"/>
        <w:ind w:firstLine="480" w:firstLineChars="200"/>
        <w:rPr>
          <w:color w:val="auto"/>
          <w:sz w:val="24"/>
          <w:highlight w:val="none"/>
        </w:rPr>
      </w:pPr>
      <w:r>
        <w:rPr>
          <w:rFonts w:hint="eastAsia"/>
          <w:color w:val="auto"/>
          <w:sz w:val="24"/>
          <w:highlight w:val="none"/>
        </w:rPr>
        <w:t>（1）招标公告；</w:t>
      </w:r>
    </w:p>
    <w:p>
      <w:pPr>
        <w:spacing w:line="324" w:lineRule="auto"/>
        <w:ind w:firstLine="480" w:firstLineChars="200"/>
        <w:rPr>
          <w:color w:val="auto"/>
          <w:sz w:val="24"/>
          <w:highlight w:val="none"/>
        </w:rPr>
      </w:pPr>
      <w:r>
        <w:rPr>
          <w:rFonts w:hint="eastAsia"/>
          <w:color w:val="auto"/>
          <w:sz w:val="24"/>
          <w:highlight w:val="none"/>
        </w:rPr>
        <w:t>（2）投标人须知；</w:t>
      </w:r>
    </w:p>
    <w:p>
      <w:pPr>
        <w:spacing w:line="324" w:lineRule="auto"/>
        <w:ind w:firstLine="480" w:firstLineChars="200"/>
        <w:rPr>
          <w:rFonts w:hint="eastAsia"/>
          <w:color w:val="auto"/>
          <w:sz w:val="24"/>
          <w:highlight w:val="none"/>
        </w:rPr>
      </w:pPr>
      <w:r>
        <w:rPr>
          <w:rFonts w:hint="eastAsia"/>
          <w:color w:val="auto"/>
          <w:sz w:val="24"/>
          <w:highlight w:val="none"/>
        </w:rPr>
        <w:t>（3）评标办法；</w:t>
      </w:r>
    </w:p>
    <w:p>
      <w:pPr>
        <w:spacing w:line="324" w:lineRule="auto"/>
        <w:ind w:firstLine="480" w:firstLineChars="200"/>
        <w:rPr>
          <w:rFonts w:hint="eastAsia"/>
          <w:color w:val="auto"/>
          <w:sz w:val="24"/>
          <w:highlight w:val="none"/>
        </w:rPr>
      </w:pPr>
      <w:r>
        <w:rPr>
          <w:rFonts w:hint="eastAsia"/>
          <w:color w:val="auto"/>
          <w:sz w:val="24"/>
          <w:highlight w:val="none"/>
        </w:rPr>
        <w:t>（4）定标办法</w:t>
      </w:r>
    </w:p>
    <w:p>
      <w:pPr>
        <w:spacing w:line="324"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5</w:t>
      </w:r>
      <w:r>
        <w:rPr>
          <w:rFonts w:hint="eastAsia"/>
          <w:color w:val="auto"/>
          <w:sz w:val="24"/>
          <w:highlight w:val="none"/>
        </w:rPr>
        <w:t>）监理合同条款及格式；</w:t>
      </w:r>
    </w:p>
    <w:p>
      <w:pPr>
        <w:spacing w:line="324"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6</w:t>
      </w:r>
      <w:r>
        <w:rPr>
          <w:rFonts w:hint="eastAsia"/>
          <w:color w:val="auto"/>
          <w:sz w:val="24"/>
          <w:highlight w:val="none"/>
        </w:rPr>
        <w:t>）监理服务费报价；</w:t>
      </w:r>
    </w:p>
    <w:p>
      <w:pPr>
        <w:spacing w:line="324"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7</w:t>
      </w:r>
      <w:r>
        <w:rPr>
          <w:rFonts w:hint="eastAsia"/>
          <w:color w:val="auto"/>
          <w:sz w:val="24"/>
          <w:highlight w:val="none"/>
        </w:rPr>
        <w:t>）图纸和资料；</w:t>
      </w:r>
    </w:p>
    <w:p>
      <w:pPr>
        <w:spacing w:line="324"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8</w:t>
      </w:r>
      <w:r>
        <w:rPr>
          <w:rFonts w:hint="eastAsia"/>
          <w:color w:val="auto"/>
          <w:sz w:val="24"/>
          <w:highlight w:val="none"/>
        </w:rPr>
        <w:t>）技术标准；</w:t>
      </w:r>
    </w:p>
    <w:p>
      <w:pPr>
        <w:spacing w:line="324"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9</w:t>
      </w:r>
      <w:r>
        <w:rPr>
          <w:rFonts w:hint="eastAsia"/>
          <w:color w:val="auto"/>
          <w:sz w:val="24"/>
          <w:highlight w:val="none"/>
        </w:rPr>
        <w:t>）投标文件格式；</w:t>
      </w:r>
    </w:p>
    <w:p>
      <w:pPr>
        <w:spacing w:line="324"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10</w:t>
      </w:r>
      <w:r>
        <w:rPr>
          <w:rFonts w:hint="eastAsia"/>
          <w:color w:val="auto"/>
          <w:sz w:val="24"/>
          <w:highlight w:val="none"/>
        </w:rPr>
        <w:t>）根据本章第1.10条、第2.2条和第2.3条对招标文件所作的澄清、修改，构成招标文件的组成部分。</w:t>
      </w:r>
    </w:p>
    <w:p>
      <w:pPr>
        <w:pStyle w:val="4"/>
        <w:spacing w:before="0" w:after="0" w:line="324" w:lineRule="auto"/>
        <w:ind w:firstLine="481" w:firstLineChars="200"/>
        <w:rPr>
          <w:rFonts w:ascii="黑体" w:hAnsi="宋体"/>
          <w:b w:val="0"/>
          <w:color w:val="auto"/>
          <w:sz w:val="24"/>
          <w:szCs w:val="24"/>
          <w:highlight w:val="none"/>
        </w:rPr>
      </w:pPr>
      <w:bookmarkStart w:id="189" w:name="_Toc341805115"/>
      <w:bookmarkStart w:id="190" w:name="_Toc356567795"/>
      <w:bookmarkStart w:id="191" w:name="_Toc487291472"/>
      <w:bookmarkStart w:id="192" w:name="_Toc488650793"/>
      <w:bookmarkStart w:id="193" w:name="_Toc487653361"/>
      <w:bookmarkStart w:id="194" w:name="_Toc487619443"/>
      <w:r>
        <w:rPr>
          <w:rFonts w:hint="eastAsia" w:ascii="黑体" w:hAnsi="宋体"/>
          <w:color w:val="auto"/>
          <w:sz w:val="24"/>
          <w:szCs w:val="24"/>
          <w:highlight w:val="none"/>
        </w:rPr>
        <w:t>2.2</w:t>
      </w:r>
      <w:r>
        <w:rPr>
          <w:rFonts w:hint="eastAsia" w:ascii="黑体" w:hAnsi="宋体"/>
          <w:b w:val="0"/>
          <w:color w:val="auto"/>
          <w:sz w:val="24"/>
          <w:szCs w:val="24"/>
          <w:highlight w:val="none"/>
        </w:rPr>
        <w:t xml:space="preserve">  招标文件的澄清</w:t>
      </w:r>
      <w:bookmarkEnd w:id="189"/>
      <w:bookmarkEnd w:id="190"/>
      <w:bookmarkEnd w:id="191"/>
      <w:bookmarkEnd w:id="192"/>
      <w:bookmarkEnd w:id="193"/>
      <w:bookmarkEnd w:id="194"/>
    </w:p>
    <w:p>
      <w:pPr>
        <w:spacing w:line="360" w:lineRule="auto"/>
        <w:ind w:firstLine="480" w:firstLineChars="200"/>
        <w:rPr>
          <w:rFonts w:ascii="宋体" w:hAnsi="宋体"/>
          <w:color w:val="auto"/>
          <w:sz w:val="24"/>
          <w:highlight w:val="none"/>
        </w:rPr>
      </w:pPr>
      <w:bookmarkStart w:id="195" w:name="_Toc341805116"/>
      <w:bookmarkStart w:id="196" w:name="_Toc356567796"/>
      <w:r>
        <w:rPr>
          <w:rFonts w:ascii="宋体" w:hAnsi="宋体"/>
          <w:color w:val="auto"/>
          <w:sz w:val="24"/>
          <w:highlight w:val="none"/>
        </w:rPr>
        <w:t>2.2.1  投标人应仔细阅读和检查招标文件的全部内容。如发现缺页</w:t>
      </w:r>
      <w:r>
        <w:rPr>
          <w:rFonts w:hint="eastAsia" w:ascii="宋体" w:hAnsi="宋体"/>
          <w:color w:val="auto"/>
          <w:sz w:val="24"/>
          <w:highlight w:val="none"/>
        </w:rPr>
        <w:t>或</w:t>
      </w:r>
      <w:r>
        <w:rPr>
          <w:rFonts w:ascii="宋体" w:hAnsi="宋体"/>
          <w:color w:val="auto"/>
          <w:sz w:val="24"/>
          <w:highlight w:val="none"/>
        </w:rPr>
        <w:t>附件不全,应及时向招标人提出,以便补齐。</w:t>
      </w:r>
      <w:r>
        <w:rPr>
          <w:rFonts w:hint="eastAsia" w:ascii="宋体" w:hAnsi="宋体"/>
          <w:color w:val="auto"/>
          <w:sz w:val="24"/>
          <w:highlight w:val="none"/>
        </w:rPr>
        <w:t>如有疑问，应在</w:t>
      </w:r>
      <w:r>
        <w:rPr>
          <w:rFonts w:hint="eastAsia" w:ascii="宋体" w:hAnsi="宋体"/>
          <w:color w:val="auto"/>
          <w:sz w:val="24"/>
          <w:highlight w:val="none"/>
          <w:u w:val="single"/>
        </w:rPr>
        <w:t>投标人须知前附表规定的时间</w:t>
      </w:r>
      <w:r>
        <w:rPr>
          <w:rFonts w:hint="eastAsia" w:ascii="宋体" w:hAnsi="宋体"/>
          <w:color w:val="auto"/>
          <w:sz w:val="24"/>
          <w:highlight w:val="none"/>
        </w:rPr>
        <w:t>通过发布招标公告的媒介或电子交易平台提供的通道提出澄清申请，要求招标人对招标文件予以澄清。投标人未在招标文件规定的提出异议的时间内提出异议的，事后不能就招标文件的问题提出质疑或投诉。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2.2.2  招标文件的澄清将在投标人须知前附表规定的投标截止时间15天前在发布招标公告的媒介及电子交易平台上发布，但不指名澄清问题的来源。如果澄清发出的时间距投标截止时间不足15天，相应延长投标截止时间。</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2.2.3  投标人应经常关注发布招标公告的媒介及电子交易平台所公布的有关澄清资料，否则因投标人未及时关注导致的后果由投标人自行负责。</w:t>
      </w:r>
    </w:p>
    <w:p>
      <w:pPr>
        <w:pStyle w:val="4"/>
        <w:spacing w:before="0" w:after="0" w:line="324" w:lineRule="auto"/>
        <w:ind w:firstLine="480" w:firstLineChars="200"/>
        <w:rPr>
          <w:rFonts w:ascii="黑体" w:hAnsi="宋体"/>
          <w:b w:val="0"/>
          <w:bCs w:val="0"/>
          <w:color w:val="auto"/>
          <w:sz w:val="24"/>
          <w:szCs w:val="24"/>
          <w:highlight w:val="none"/>
        </w:rPr>
      </w:pPr>
      <w:bookmarkStart w:id="197" w:name="_Toc488650794"/>
      <w:bookmarkStart w:id="198" w:name="_Toc487653362"/>
      <w:bookmarkStart w:id="199" w:name="_Toc487619444"/>
      <w:bookmarkStart w:id="200" w:name="_Toc487291473"/>
      <w:r>
        <w:rPr>
          <w:rFonts w:hint="eastAsia" w:ascii="黑体" w:hAnsi="宋体"/>
          <w:b w:val="0"/>
          <w:bCs w:val="0"/>
          <w:color w:val="auto"/>
          <w:sz w:val="24"/>
          <w:szCs w:val="24"/>
          <w:highlight w:val="none"/>
        </w:rPr>
        <w:t>2.3  招标文件的修改</w:t>
      </w:r>
      <w:bookmarkEnd w:id="195"/>
      <w:bookmarkEnd w:id="196"/>
      <w:bookmarkEnd w:id="197"/>
      <w:bookmarkEnd w:id="198"/>
      <w:bookmarkEnd w:id="199"/>
      <w:bookmarkEnd w:id="200"/>
    </w:p>
    <w:p>
      <w:pPr>
        <w:spacing w:line="360" w:lineRule="auto"/>
        <w:ind w:firstLine="481" w:firstLineChars="200"/>
        <w:rPr>
          <w:rFonts w:ascii="宋体" w:hAnsi="宋体"/>
          <w:color w:val="auto"/>
          <w:sz w:val="24"/>
          <w:highlight w:val="none"/>
        </w:rPr>
      </w:pPr>
      <w:r>
        <w:rPr>
          <w:rFonts w:ascii="宋体" w:hAnsi="宋体"/>
          <w:b/>
          <w:bCs/>
          <w:color w:val="auto"/>
          <w:sz w:val="24"/>
          <w:highlight w:val="none"/>
        </w:rPr>
        <w:t>2.3.1</w:t>
      </w:r>
      <w:r>
        <w:rPr>
          <w:rFonts w:ascii="宋体" w:hAnsi="宋体"/>
          <w:color w:val="auto"/>
          <w:sz w:val="24"/>
          <w:highlight w:val="none"/>
        </w:rPr>
        <w:t xml:space="preserve">  在投标截止时间15日前，招标人</w:t>
      </w:r>
      <w:r>
        <w:rPr>
          <w:rFonts w:hint="eastAsia" w:ascii="宋体" w:hAnsi="宋体"/>
          <w:color w:val="auto"/>
          <w:sz w:val="24"/>
          <w:highlight w:val="none"/>
        </w:rPr>
        <w:t>在发布本项目招标公告</w:t>
      </w:r>
      <w:r>
        <w:rPr>
          <w:rFonts w:ascii="宋体" w:hAnsi="宋体"/>
          <w:color w:val="auto"/>
          <w:sz w:val="24"/>
          <w:highlight w:val="none"/>
        </w:rPr>
        <w:t>的媒介及电子交易平台上发布</w:t>
      </w:r>
      <w:r>
        <w:rPr>
          <w:rFonts w:hint="eastAsia" w:ascii="宋体" w:hAnsi="宋体"/>
          <w:color w:val="auto"/>
          <w:sz w:val="24"/>
          <w:highlight w:val="none"/>
        </w:rPr>
        <w:t>修改通知</w:t>
      </w:r>
      <w:r>
        <w:rPr>
          <w:rFonts w:ascii="宋体" w:hAnsi="宋体"/>
          <w:color w:val="auto"/>
          <w:sz w:val="24"/>
          <w:highlight w:val="none"/>
        </w:rPr>
        <w:t>。如果修改招标文件的时间距投标截止时间不足15日，修改的内容可能影响投标文件编制的，相应延长投标截止时间。</w:t>
      </w:r>
    </w:p>
    <w:p>
      <w:pPr>
        <w:spacing w:line="360" w:lineRule="auto"/>
        <w:ind w:firstLine="481" w:firstLineChars="200"/>
        <w:rPr>
          <w:rFonts w:ascii="宋体" w:hAnsi="宋体"/>
          <w:color w:val="auto"/>
          <w:sz w:val="24"/>
          <w:highlight w:val="none"/>
        </w:rPr>
      </w:pPr>
      <w:r>
        <w:rPr>
          <w:rFonts w:ascii="宋体" w:hAnsi="宋体"/>
          <w:b/>
          <w:bCs/>
          <w:color w:val="auto"/>
          <w:sz w:val="24"/>
          <w:highlight w:val="none"/>
        </w:rPr>
        <w:t>2.3.2</w:t>
      </w:r>
      <w:r>
        <w:rPr>
          <w:rFonts w:hint="eastAsia" w:ascii="宋体" w:hAnsi="宋体"/>
          <w:color w:val="auto"/>
          <w:sz w:val="24"/>
          <w:highlight w:val="none"/>
        </w:rPr>
        <w:t>投标人应经常关注发布招标公告的媒介及电子交易平台所公布的有关修改、补充资料，否则因投标人未及时关注导致的后果由投标人自行负责。</w:t>
      </w:r>
    </w:p>
    <w:p>
      <w:pPr>
        <w:pStyle w:val="4"/>
        <w:spacing w:before="0" w:after="0" w:line="324" w:lineRule="auto"/>
        <w:ind w:firstLine="562" w:firstLineChars="200"/>
        <w:rPr>
          <w:color w:val="auto"/>
          <w:highlight w:val="none"/>
        </w:rPr>
      </w:pPr>
      <w:bookmarkStart w:id="201" w:name="_Toc488650795"/>
      <w:bookmarkStart w:id="202" w:name="_Toc152042322"/>
      <w:bookmarkStart w:id="203" w:name="_Toc487291474"/>
      <w:bookmarkStart w:id="204" w:name="_Toc283559192"/>
      <w:bookmarkStart w:id="205" w:name="_Toc152045546"/>
      <w:bookmarkStart w:id="206" w:name="_Toc307991151"/>
      <w:bookmarkStart w:id="207" w:name="_Toc283558695"/>
      <w:bookmarkStart w:id="208" w:name="_Toc286759034"/>
      <w:bookmarkStart w:id="209" w:name="_Toc341805117"/>
      <w:bookmarkStart w:id="210" w:name="_Toc144974514"/>
      <w:bookmarkStart w:id="211" w:name="_Toc330384399"/>
      <w:r>
        <w:rPr>
          <w:rFonts w:hint="eastAsia"/>
          <w:color w:val="auto"/>
          <w:highlight w:val="none"/>
        </w:rPr>
        <w:t>3</w:t>
      </w:r>
      <w:r>
        <w:rPr>
          <w:color w:val="auto"/>
          <w:highlight w:val="none"/>
        </w:rPr>
        <w:t>．</w:t>
      </w:r>
      <w:r>
        <w:rPr>
          <w:rFonts w:hint="eastAsia"/>
          <w:color w:val="auto"/>
          <w:highlight w:val="none"/>
        </w:rPr>
        <w:t>投标文件</w:t>
      </w:r>
      <w:bookmarkEnd w:id="201"/>
      <w:bookmarkEnd w:id="202"/>
      <w:bookmarkEnd w:id="203"/>
      <w:bookmarkEnd w:id="204"/>
      <w:bookmarkEnd w:id="205"/>
      <w:bookmarkEnd w:id="206"/>
      <w:bookmarkEnd w:id="207"/>
      <w:bookmarkEnd w:id="208"/>
      <w:bookmarkEnd w:id="209"/>
      <w:bookmarkEnd w:id="210"/>
      <w:bookmarkEnd w:id="211"/>
    </w:p>
    <w:p>
      <w:pPr>
        <w:pStyle w:val="4"/>
        <w:spacing w:before="0" w:after="0" w:line="324" w:lineRule="auto"/>
        <w:ind w:firstLine="481" w:firstLineChars="200"/>
        <w:rPr>
          <w:rFonts w:ascii="黑体" w:hAnsi="宋体"/>
          <w:b w:val="0"/>
          <w:color w:val="auto"/>
          <w:sz w:val="24"/>
          <w:szCs w:val="24"/>
          <w:highlight w:val="none"/>
        </w:rPr>
      </w:pPr>
      <w:bookmarkStart w:id="212" w:name="_Toc144974515"/>
      <w:bookmarkStart w:id="213" w:name="_Toc152045547"/>
      <w:bookmarkStart w:id="214" w:name="_Toc487619446"/>
      <w:bookmarkStart w:id="215" w:name="_Toc152042323"/>
      <w:bookmarkStart w:id="216" w:name="_Toc487653364"/>
      <w:bookmarkStart w:id="217" w:name="_Toc488650796"/>
      <w:bookmarkStart w:id="218" w:name="_Toc341805118"/>
      <w:bookmarkStart w:id="219" w:name="_Toc356567798"/>
      <w:bookmarkStart w:id="220" w:name="_Toc487291475"/>
      <w:r>
        <w:rPr>
          <w:rFonts w:hint="eastAsia" w:ascii="黑体" w:hAnsi="宋体"/>
          <w:color w:val="auto"/>
          <w:sz w:val="24"/>
          <w:szCs w:val="24"/>
          <w:highlight w:val="none"/>
        </w:rPr>
        <w:t xml:space="preserve">3.1 </w:t>
      </w:r>
      <w:r>
        <w:rPr>
          <w:rFonts w:hint="eastAsia" w:ascii="黑体" w:hAnsi="宋体"/>
          <w:b w:val="0"/>
          <w:color w:val="auto"/>
          <w:sz w:val="24"/>
          <w:szCs w:val="24"/>
          <w:highlight w:val="none"/>
        </w:rPr>
        <w:t xml:space="preserve"> 投标文件的组成</w:t>
      </w:r>
      <w:bookmarkEnd w:id="212"/>
      <w:bookmarkEnd w:id="213"/>
      <w:bookmarkEnd w:id="214"/>
      <w:bookmarkEnd w:id="215"/>
      <w:bookmarkEnd w:id="216"/>
      <w:bookmarkEnd w:id="217"/>
      <w:bookmarkEnd w:id="218"/>
      <w:bookmarkEnd w:id="219"/>
      <w:bookmarkEnd w:id="220"/>
    </w:p>
    <w:p>
      <w:pPr>
        <w:spacing w:line="324" w:lineRule="auto"/>
        <w:ind w:firstLine="480" w:firstLineChars="200"/>
        <w:rPr>
          <w:color w:val="auto"/>
          <w:sz w:val="24"/>
          <w:highlight w:val="none"/>
        </w:rPr>
      </w:pPr>
      <w:r>
        <w:rPr>
          <w:rFonts w:hint="eastAsia"/>
          <w:color w:val="auto"/>
          <w:sz w:val="24"/>
          <w:highlight w:val="none"/>
        </w:rPr>
        <w:t>3.1.1 投标文件应包括下列内容：</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(1)投标函及投标函附录；</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(2)法定代表人身份证明；</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(3)授权委托书（若有授权）；</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(4)联合体协议书（若有）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(5)投标保证金；</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(6)监理服务费投标报价表；</w:t>
      </w:r>
    </w:p>
    <w:p>
      <w:pPr>
        <w:spacing w:line="360" w:lineRule="auto"/>
        <w:ind w:firstLine="480" w:firstLineChars="200"/>
        <w:rPr>
          <w:rFonts w:ascii="宋体" w:hAnsi="宋体"/>
          <w:color w:val="auto"/>
          <w:sz w:val="24"/>
          <w:highlight w:val="none"/>
        </w:rPr>
      </w:pPr>
      <w:r>
        <w:rPr>
          <w:rFonts w:ascii="宋体" w:hAnsi="宋体"/>
          <w:color w:val="auto"/>
          <w:sz w:val="24"/>
          <w:highlight w:val="none"/>
        </w:rPr>
        <w:t>(7)监理机构；</w:t>
      </w:r>
    </w:p>
    <w:p>
      <w:pPr>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)资格审查资料；</w:t>
      </w:r>
    </w:p>
    <w:p>
      <w:pPr>
        <w:spacing w:line="360" w:lineRule="auto"/>
        <w:ind w:firstLine="480" w:firstLineChars="200"/>
        <w:rPr>
          <w:rFonts w:hint="eastAsia"/>
          <w:color w:val="auto"/>
          <w:sz w:val="24"/>
          <w:highlight w:val="none"/>
        </w:rPr>
      </w:pPr>
      <w:r>
        <w:rPr>
          <w:rFonts w:ascii="宋体" w:hAnsi="宋体"/>
          <w:color w:val="auto"/>
          <w:sz w:val="24"/>
          <w:highlight w:val="none"/>
        </w:rPr>
        <w:t>(</w:t>
      </w:r>
      <w:r>
        <w:rPr>
          <w:rFonts w:hint="eastAsia" w:ascii="宋体" w:hAnsi="宋体"/>
          <w:color w:val="auto"/>
          <w:sz w:val="24"/>
          <w:highlight w:val="none"/>
        </w:rPr>
        <w:t>9</w:t>
      </w:r>
      <w:r>
        <w:rPr>
          <w:rFonts w:ascii="宋体" w:hAnsi="宋体"/>
          <w:color w:val="auto"/>
          <w:sz w:val="24"/>
          <w:highlight w:val="none"/>
        </w:rPr>
        <w:t>)</w:t>
      </w:r>
      <w:r>
        <w:rPr>
          <w:rFonts w:hint="eastAsia"/>
          <w:color w:val="auto"/>
          <w:sz w:val="24"/>
          <w:highlight w:val="none"/>
        </w:rPr>
        <w:t xml:space="preserve"> 定标要素情况表</w:t>
      </w:r>
    </w:p>
    <w:p>
      <w:pPr>
        <w:spacing w:line="360" w:lineRule="auto"/>
        <w:ind w:firstLine="480" w:firstLineChars="200"/>
        <w:rPr>
          <w:rFonts w:ascii="宋体" w:hAnsi="宋体"/>
          <w:color w:val="auto"/>
          <w:sz w:val="24"/>
          <w:highlight w:val="none"/>
        </w:rPr>
      </w:pPr>
      <w:r>
        <w:rPr>
          <w:rFonts w:hint="eastAsia"/>
          <w:color w:val="auto"/>
          <w:sz w:val="24"/>
          <w:highlight w:val="none"/>
        </w:rPr>
        <w:t>（10）</w:t>
      </w:r>
      <w:r>
        <w:rPr>
          <w:rFonts w:ascii="宋体" w:hAnsi="宋体"/>
          <w:color w:val="auto"/>
          <w:sz w:val="24"/>
          <w:highlight w:val="none"/>
        </w:rPr>
        <w:t>其他材料。</w:t>
      </w:r>
    </w:p>
    <w:p>
      <w:pPr>
        <w:spacing w:line="324" w:lineRule="auto"/>
        <w:ind w:firstLine="480" w:firstLineChars="200"/>
        <w:rPr>
          <w:color w:val="auto"/>
          <w:sz w:val="24"/>
          <w:highlight w:val="none"/>
        </w:rPr>
      </w:pPr>
      <w:r>
        <w:rPr>
          <w:rFonts w:hint="eastAsia"/>
          <w:color w:val="auto"/>
          <w:sz w:val="24"/>
          <w:highlight w:val="none"/>
        </w:rPr>
        <w:t>3.1.2</w:t>
      </w:r>
      <w:r>
        <w:rPr>
          <w:rFonts w:hint="eastAsia" w:ascii="宋体" w:hAnsi="宋体"/>
          <w:color w:val="auto"/>
          <w:sz w:val="24"/>
          <w:highlight w:val="none"/>
        </w:rPr>
        <w:t>投标人代表为法定代表人本人的，投标文件不包括本章第</w:t>
      </w:r>
      <w:r>
        <w:rPr>
          <w:rFonts w:ascii="宋体" w:hAnsi="宋体"/>
          <w:color w:val="auto"/>
          <w:sz w:val="24"/>
          <w:highlight w:val="none"/>
        </w:rPr>
        <w:t>3.1.1 (3）目所指的授权委托书；投标人须知前附表规定不接受联合体投标的，或投标人没有组成联合体的，投标文件不包括本章第3.1.1 (4）目所指的联合体协议书。</w:t>
      </w:r>
    </w:p>
    <w:p>
      <w:pPr>
        <w:pStyle w:val="4"/>
        <w:spacing w:before="0" w:after="0" w:line="324" w:lineRule="auto"/>
        <w:ind w:firstLine="481" w:firstLineChars="200"/>
        <w:rPr>
          <w:rFonts w:ascii="黑体" w:hAnsi="宋体"/>
          <w:b w:val="0"/>
          <w:color w:val="auto"/>
          <w:sz w:val="24"/>
          <w:szCs w:val="24"/>
          <w:highlight w:val="none"/>
        </w:rPr>
      </w:pPr>
      <w:bookmarkStart w:id="221" w:name="_Toc487291476"/>
      <w:bookmarkStart w:id="222" w:name="_Toc152045548"/>
      <w:bookmarkStart w:id="223" w:name="_Toc341805119"/>
      <w:bookmarkStart w:id="224" w:name="_Toc144974516"/>
      <w:bookmarkStart w:id="225" w:name="_Toc488650797"/>
      <w:bookmarkStart w:id="226" w:name="_Toc356567799"/>
      <w:bookmarkStart w:id="227" w:name="_Toc487653365"/>
      <w:bookmarkStart w:id="228" w:name="_Toc487619447"/>
      <w:bookmarkStart w:id="229" w:name="_Toc152042324"/>
      <w:r>
        <w:rPr>
          <w:rFonts w:hint="eastAsia" w:ascii="黑体" w:hAnsi="宋体"/>
          <w:color w:val="auto"/>
          <w:sz w:val="24"/>
          <w:szCs w:val="24"/>
          <w:highlight w:val="none"/>
        </w:rPr>
        <w:t xml:space="preserve">3.2 </w:t>
      </w:r>
      <w:r>
        <w:rPr>
          <w:rFonts w:hint="eastAsia" w:ascii="黑体" w:hAnsi="宋体"/>
          <w:b w:val="0"/>
          <w:color w:val="auto"/>
          <w:sz w:val="24"/>
          <w:szCs w:val="24"/>
          <w:highlight w:val="none"/>
        </w:rPr>
        <w:t xml:space="preserve"> 投标报价</w:t>
      </w:r>
      <w:bookmarkEnd w:id="221"/>
      <w:bookmarkEnd w:id="222"/>
      <w:bookmarkEnd w:id="223"/>
      <w:bookmarkEnd w:id="224"/>
      <w:bookmarkEnd w:id="225"/>
      <w:bookmarkEnd w:id="226"/>
      <w:bookmarkEnd w:id="227"/>
      <w:bookmarkEnd w:id="228"/>
      <w:bookmarkEnd w:id="229"/>
    </w:p>
    <w:p>
      <w:pPr>
        <w:spacing w:line="324" w:lineRule="auto"/>
        <w:ind w:firstLine="480" w:firstLineChars="200"/>
        <w:rPr>
          <w:color w:val="auto"/>
          <w:sz w:val="24"/>
          <w:highlight w:val="none"/>
        </w:rPr>
      </w:pPr>
      <w:r>
        <w:rPr>
          <w:rFonts w:hint="eastAsia"/>
          <w:color w:val="auto"/>
          <w:sz w:val="24"/>
          <w:highlight w:val="none"/>
        </w:rPr>
        <w:t>3.2</w:t>
      </w:r>
      <w:r>
        <w:rPr>
          <w:color w:val="auto"/>
          <w:sz w:val="24"/>
          <w:highlight w:val="none"/>
        </w:rPr>
        <w:t xml:space="preserve">.1 </w:t>
      </w:r>
      <w:r>
        <w:rPr>
          <w:rFonts w:hint="eastAsia"/>
          <w:color w:val="auto"/>
          <w:sz w:val="24"/>
          <w:highlight w:val="none"/>
        </w:rPr>
        <w:t xml:space="preserve"> </w:t>
      </w:r>
      <w:r>
        <w:rPr>
          <w:color w:val="auto"/>
          <w:sz w:val="24"/>
          <w:highlight w:val="none"/>
        </w:rPr>
        <w:t>投标报价是投标人按照招标文件的要求完成</w:t>
      </w:r>
      <w:r>
        <w:rPr>
          <w:rFonts w:hint="eastAsia"/>
          <w:color w:val="auto"/>
          <w:sz w:val="24"/>
          <w:highlight w:val="none"/>
        </w:rPr>
        <w:t>投标人须知前附表规定监理服务阶段</w:t>
      </w:r>
      <w:r>
        <w:rPr>
          <w:color w:val="auto"/>
          <w:sz w:val="24"/>
          <w:highlight w:val="none"/>
        </w:rPr>
        <w:t>监理工作所需的费用。</w:t>
      </w:r>
    </w:p>
    <w:p>
      <w:pPr>
        <w:spacing w:line="324" w:lineRule="auto"/>
        <w:ind w:firstLine="480" w:firstLineChars="200"/>
        <w:rPr>
          <w:color w:val="auto"/>
          <w:sz w:val="24"/>
          <w:highlight w:val="none"/>
        </w:rPr>
      </w:pPr>
      <w:r>
        <w:rPr>
          <w:rFonts w:hint="eastAsia"/>
          <w:color w:val="auto"/>
          <w:sz w:val="24"/>
          <w:highlight w:val="none"/>
        </w:rPr>
        <w:t>3.2.2   投标人应按投标人须知前附表规定的监理服务费报价方式进行报价，如采用投标控制价上限的报价方式，投标人在投标书中的报价应在投标控制价上限范围内。</w:t>
      </w:r>
    </w:p>
    <w:p>
      <w:pPr>
        <w:spacing w:line="324" w:lineRule="auto"/>
        <w:ind w:firstLine="480" w:firstLineChars="200"/>
        <w:rPr>
          <w:color w:val="auto"/>
          <w:sz w:val="24"/>
          <w:highlight w:val="none"/>
        </w:rPr>
      </w:pPr>
      <w:r>
        <w:rPr>
          <w:rFonts w:hint="eastAsia"/>
          <w:color w:val="auto"/>
          <w:sz w:val="24"/>
          <w:highlight w:val="none"/>
        </w:rPr>
        <w:t>3.2</w:t>
      </w:r>
      <w:r>
        <w:rPr>
          <w:color w:val="auto"/>
          <w:sz w:val="24"/>
          <w:highlight w:val="none"/>
        </w:rPr>
        <w:t>.</w:t>
      </w:r>
      <w:r>
        <w:rPr>
          <w:rFonts w:hint="eastAsia"/>
          <w:color w:val="auto"/>
          <w:sz w:val="24"/>
          <w:highlight w:val="none"/>
        </w:rPr>
        <w:t>３</w:t>
      </w:r>
      <w:r>
        <w:rPr>
          <w:color w:val="auto"/>
          <w:sz w:val="24"/>
          <w:highlight w:val="none"/>
        </w:rPr>
        <w:t xml:space="preserve"> </w:t>
      </w:r>
      <w:r>
        <w:rPr>
          <w:rFonts w:hint="eastAsia"/>
          <w:color w:val="auto"/>
          <w:sz w:val="24"/>
          <w:highlight w:val="none"/>
        </w:rPr>
        <w:t xml:space="preserve"> </w:t>
      </w:r>
      <w:r>
        <w:rPr>
          <w:color w:val="auto"/>
          <w:sz w:val="24"/>
          <w:highlight w:val="none"/>
        </w:rPr>
        <w:t>投标人</w:t>
      </w:r>
      <w:r>
        <w:rPr>
          <w:rFonts w:hint="eastAsia"/>
          <w:color w:val="auto"/>
          <w:sz w:val="24"/>
          <w:highlight w:val="none"/>
        </w:rPr>
        <w:t>应</w:t>
      </w:r>
      <w:r>
        <w:rPr>
          <w:color w:val="auto"/>
          <w:sz w:val="24"/>
          <w:highlight w:val="none"/>
        </w:rPr>
        <w:t>按照招标文件规定的格式和内容计算投标</w:t>
      </w:r>
      <w:r>
        <w:rPr>
          <w:rFonts w:hint="eastAsia"/>
          <w:color w:val="auto"/>
          <w:sz w:val="24"/>
          <w:highlight w:val="none"/>
        </w:rPr>
        <w:t>报</w:t>
      </w:r>
      <w:r>
        <w:rPr>
          <w:color w:val="auto"/>
          <w:sz w:val="24"/>
          <w:highlight w:val="none"/>
        </w:rPr>
        <w:t>价。</w:t>
      </w:r>
    </w:p>
    <w:p>
      <w:pPr>
        <w:pStyle w:val="4"/>
        <w:spacing w:before="0" w:after="0" w:line="324" w:lineRule="auto"/>
        <w:ind w:firstLine="481" w:firstLineChars="200"/>
        <w:rPr>
          <w:rFonts w:ascii="黑体" w:hAnsi="宋体"/>
          <w:b w:val="0"/>
          <w:color w:val="auto"/>
          <w:sz w:val="24"/>
          <w:szCs w:val="24"/>
          <w:highlight w:val="none"/>
        </w:rPr>
      </w:pPr>
      <w:bookmarkStart w:id="230" w:name="_Toc152045549"/>
      <w:bookmarkStart w:id="231" w:name="_Toc356567800"/>
      <w:bookmarkStart w:id="232" w:name="_Toc144974517"/>
      <w:bookmarkStart w:id="233" w:name="_Toc488650798"/>
      <w:bookmarkStart w:id="234" w:name="_Toc487619448"/>
      <w:bookmarkStart w:id="235" w:name="_Toc341805120"/>
      <w:bookmarkStart w:id="236" w:name="_Toc152042325"/>
      <w:bookmarkStart w:id="237" w:name="_Toc487291477"/>
      <w:bookmarkStart w:id="238" w:name="_Toc487653366"/>
      <w:r>
        <w:rPr>
          <w:rFonts w:hint="eastAsia" w:ascii="黑体" w:hAnsi="宋体"/>
          <w:color w:val="auto"/>
          <w:sz w:val="24"/>
          <w:szCs w:val="24"/>
          <w:highlight w:val="none"/>
        </w:rPr>
        <w:t>3.3</w:t>
      </w:r>
      <w:r>
        <w:rPr>
          <w:rFonts w:hint="eastAsia" w:ascii="黑体" w:hAnsi="宋体"/>
          <w:b w:val="0"/>
          <w:color w:val="auto"/>
          <w:sz w:val="24"/>
          <w:szCs w:val="24"/>
          <w:highlight w:val="none"/>
        </w:rPr>
        <w:t xml:space="preserve">  投标有效期</w:t>
      </w:r>
      <w:bookmarkEnd w:id="230"/>
      <w:bookmarkEnd w:id="231"/>
      <w:bookmarkEnd w:id="232"/>
      <w:bookmarkEnd w:id="233"/>
      <w:bookmarkEnd w:id="234"/>
      <w:bookmarkEnd w:id="235"/>
      <w:bookmarkEnd w:id="236"/>
      <w:bookmarkEnd w:id="237"/>
      <w:bookmarkEnd w:id="238"/>
    </w:p>
    <w:p>
      <w:pPr>
        <w:spacing w:line="324" w:lineRule="auto"/>
        <w:ind w:firstLine="480" w:firstLineChars="200"/>
        <w:rPr>
          <w:color w:val="auto"/>
          <w:sz w:val="24"/>
          <w:highlight w:val="none"/>
        </w:rPr>
      </w:pPr>
      <w:r>
        <w:rPr>
          <w:rFonts w:hint="eastAsia"/>
          <w:color w:val="auto"/>
          <w:sz w:val="24"/>
          <w:highlight w:val="none"/>
        </w:rPr>
        <w:t>3.3.1  在投标人须知前附表规定的投标有效期内，投标人不得要求撤销或修改其投标文件。</w:t>
      </w:r>
    </w:p>
    <w:p>
      <w:pPr>
        <w:spacing w:line="324" w:lineRule="auto"/>
        <w:ind w:firstLine="480" w:firstLineChars="200"/>
        <w:rPr>
          <w:color w:val="auto"/>
          <w:sz w:val="24"/>
          <w:highlight w:val="none"/>
        </w:rPr>
      </w:pPr>
      <w:r>
        <w:rPr>
          <w:rFonts w:hint="eastAsia"/>
          <w:color w:val="auto"/>
          <w:sz w:val="24"/>
          <w:highlight w:val="none"/>
        </w:rPr>
        <w:t>3.3.2  出现特殊情况需要延长投标有效期的，招标人以书面形式通知所有投标人延长投标有效期，</w:t>
      </w:r>
      <w:r>
        <w:rPr>
          <w:rFonts w:hint="eastAsia" w:ascii="宋体" w:hAnsi="宋体"/>
          <w:color w:val="auto"/>
          <w:sz w:val="24"/>
          <w:highlight w:val="none"/>
        </w:rPr>
        <w:t>但延长后投标有限期共计不超过</w:t>
      </w:r>
      <w:r>
        <w:rPr>
          <w:rFonts w:ascii="宋体" w:hAnsi="宋体"/>
          <w:color w:val="auto"/>
          <w:sz w:val="24"/>
          <w:highlight w:val="none"/>
        </w:rPr>
        <w:t>120</w:t>
      </w:r>
      <w:r>
        <w:rPr>
          <w:rFonts w:hint="eastAsia" w:ascii="宋体" w:hAnsi="宋体"/>
          <w:color w:val="auto"/>
          <w:sz w:val="24"/>
          <w:highlight w:val="none"/>
        </w:rPr>
        <w:t>天</w:t>
      </w:r>
      <w:r>
        <w:rPr>
          <w:rFonts w:hint="eastAsia"/>
          <w:color w:val="auto"/>
          <w:sz w:val="24"/>
          <w:highlight w:val="none"/>
        </w:rPr>
        <w:t>。投标人同意延长的，应相应延长其投标保证金的有效期，</w:t>
      </w:r>
      <w:r>
        <w:rPr>
          <w:snapToGrid w:val="0"/>
          <w:color w:val="auto"/>
          <w:kern w:val="0"/>
          <w:sz w:val="24"/>
          <w:highlight w:val="none"/>
        </w:rPr>
        <w:t>但不得要求或被允许修改其投标文件；投标人拒绝延长的，其投标失效，</w:t>
      </w:r>
      <w:r>
        <w:rPr>
          <w:rFonts w:hint="eastAsia"/>
          <w:snapToGrid w:val="0"/>
          <w:color w:val="auto"/>
          <w:kern w:val="0"/>
          <w:sz w:val="24"/>
          <w:highlight w:val="none"/>
        </w:rPr>
        <w:t>投标人有权撤销其投标文件，并</w:t>
      </w:r>
      <w:r>
        <w:rPr>
          <w:snapToGrid w:val="0"/>
          <w:color w:val="auto"/>
          <w:kern w:val="0"/>
          <w:sz w:val="24"/>
          <w:highlight w:val="none"/>
        </w:rPr>
        <w:t>收回投标保证金。</w:t>
      </w:r>
    </w:p>
    <w:p>
      <w:pPr>
        <w:pStyle w:val="4"/>
        <w:spacing w:before="0" w:after="0" w:line="324" w:lineRule="auto"/>
        <w:ind w:firstLine="481" w:firstLineChars="200"/>
        <w:rPr>
          <w:rFonts w:ascii="黑体" w:hAnsi="宋体"/>
          <w:b w:val="0"/>
          <w:color w:val="auto"/>
          <w:sz w:val="24"/>
          <w:szCs w:val="24"/>
          <w:highlight w:val="none"/>
        </w:rPr>
      </w:pPr>
      <w:bookmarkStart w:id="239" w:name="_Toc356567801"/>
      <w:bookmarkStart w:id="240" w:name="_Toc152045550"/>
      <w:bookmarkStart w:id="241" w:name="_Toc341805121"/>
      <w:bookmarkStart w:id="242" w:name="_Toc487653367"/>
      <w:bookmarkStart w:id="243" w:name="_Toc152042326"/>
      <w:bookmarkStart w:id="244" w:name="_Toc487619449"/>
      <w:bookmarkStart w:id="245" w:name="_Toc487291478"/>
      <w:bookmarkStart w:id="246" w:name="_Toc144974518"/>
      <w:bookmarkStart w:id="247" w:name="_Toc488650799"/>
      <w:r>
        <w:rPr>
          <w:rFonts w:hint="eastAsia" w:ascii="黑体" w:hAnsi="宋体"/>
          <w:color w:val="auto"/>
          <w:sz w:val="24"/>
          <w:szCs w:val="24"/>
          <w:highlight w:val="none"/>
        </w:rPr>
        <w:t>3.4</w:t>
      </w:r>
      <w:r>
        <w:rPr>
          <w:rFonts w:hint="eastAsia" w:ascii="黑体" w:hAnsi="宋体"/>
          <w:b w:val="0"/>
          <w:color w:val="auto"/>
          <w:sz w:val="24"/>
          <w:szCs w:val="24"/>
          <w:highlight w:val="none"/>
        </w:rPr>
        <w:t xml:space="preserve">  投标保证金</w:t>
      </w:r>
      <w:bookmarkEnd w:id="239"/>
      <w:bookmarkEnd w:id="240"/>
      <w:bookmarkEnd w:id="241"/>
      <w:bookmarkEnd w:id="242"/>
      <w:bookmarkEnd w:id="243"/>
      <w:bookmarkEnd w:id="244"/>
      <w:bookmarkEnd w:id="245"/>
      <w:bookmarkEnd w:id="246"/>
      <w:bookmarkEnd w:id="247"/>
    </w:p>
    <w:p>
      <w:pPr>
        <w:spacing w:line="324" w:lineRule="auto"/>
        <w:ind w:firstLine="480" w:firstLineChars="200"/>
        <w:rPr>
          <w:rFonts w:hint="eastAsia"/>
          <w:color w:val="auto"/>
          <w:sz w:val="24"/>
          <w:highlight w:val="none"/>
        </w:rPr>
      </w:pPr>
      <w:r>
        <w:rPr>
          <w:rFonts w:hint="eastAsia"/>
          <w:color w:val="auto"/>
          <w:sz w:val="24"/>
          <w:highlight w:val="none"/>
        </w:rPr>
        <w:t>3.4.1投标人在递交投标文件的同时，应按投标人须知前附表规定的金额、担保形式和第</w:t>
      </w:r>
      <w:r>
        <w:rPr>
          <w:rFonts w:hint="eastAsia"/>
          <w:color w:val="auto"/>
          <w:sz w:val="24"/>
          <w:highlight w:val="none"/>
          <w:lang w:eastAsia="zh-CN"/>
        </w:rPr>
        <w:t>九</w:t>
      </w:r>
      <w:r>
        <w:rPr>
          <w:rFonts w:hint="eastAsia"/>
          <w:color w:val="auto"/>
          <w:sz w:val="24"/>
          <w:highlight w:val="none"/>
        </w:rPr>
        <w:t>章“投标文件格式”规定的投标保证金格式递交投标保证金，并作为其投标文件的组成部分。联合体投标的，其投标保证金由牵头人递交，并应符合投标人须知前附表的规定。</w:t>
      </w:r>
    </w:p>
    <w:p>
      <w:pPr>
        <w:spacing w:line="324" w:lineRule="auto"/>
        <w:ind w:firstLine="480" w:firstLineChars="200"/>
        <w:rPr>
          <w:rFonts w:hint="eastAsia"/>
          <w:color w:val="auto"/>
          <w:sz w:val="24"/>
          <w:highlight w:val="none"/>
        </w:rPr>
      </w:pPr>
      <w:r>
        <w:rPr>
          <w:rFonts w:hint="eastAsia"/>
          <w:color w:val="auto"/>
          <w:sz w:val="24"/>
          <w:highlight w:val="none"/>
        </w:rPr>
        <w:t>3.4.2 投标人不按本章第 3.4.1 项要求提交投标保证金的，其投标文件作废标处理。</w:t>
      </w:r>
    </w:p>
    <w:p>
      <w:pPr>
        <w:spacing w:line="324" w:lineRule="auto"/>
        <w:ind w:firstLine="480" w:firstLineChars="200"/>
        <w:rPr>
          <w:rFonts w:hint="eastAsia"/>
          <w:color w:val="auto"/>
          <w:sz w:val="24"/>
          <w:highlight w:val="none"/>
        </w:rPr>
      </w:pPr>
      <w:r>
        <w:rPr>
          <w:color w:val="auto"/>
          <w:sz w:val="24"/>
          <w:highlight w:val="none"/>
        </w:rPr>
        <w:t>3.4.</w:t>
      </w:r>
      <w:r>
        <w:rPr>
          <w:rFonts w:hint="eastAsia"/>
          <w:color w:val="auto"/>
          <w:sz w:val="24"/>
          <w:highlight w:val="none"/>
        </w:rPr>
        <w:t>3</w:t>
      </w:r>
      <w:r>
        <w:rPr>
          <w:color w:val="auto"/>
          <w:sz w:val="24"/>
          <w:highlight w:val="none"/>
        </w:rPr>
        <w:t xml:space="preserve"> </w:t>
      </w:r>
      <w:r>
        <w:rPr>
          <w:rFonts w:hint="eastAsia"/>
          <w:color w:val="auto"/>
          <w:sz w:val="24"/>
          <w:highlight w:val="none"/>
        </w:rPr>
        <w:t>招标人与</w:t>
      </w:r>
      <w:r>
        <w:rPr>
          <w:color w:val="auto"/>
          <w:sz w:val="24"/>
          <w:highlight w:val="none"/>
        </w:rPr>
        <w:t>中标人签订合同后 5 日内</w:t>
      </w:r>
      <w:r>
        <w:rPr>
          <w:rFonts w:hint="eastAsia"/>
          <w:color w:val="auto"/>
          <w:sz w:val="24"/>
          <w:highlight w:val="none"/>
        </w:rPr>
        <w:t>,</w:t>
      </w:r>
      <w:r>
        <w:rPr>
          <w:color w:val="auto"/>
          <w:sz w:val="24"/>
          <w:highlight w:val="none"/>
        </w:rPr>
        <w:t>向未中标的投标人和中标人退还投标保证金</w:t>
      </w:r>
      <w:r>
        <w:rPr>
          <w:rFonts w:hint="eastAsia"/>
          <w:color w:val="auto"/>
          <w:sz w:val="24"/>
          <w:highlight w:val="none"/>
        </w:rPr>
        <w:t>。</w:t>
      </w:r>
    </w:p>
    <w:p>
      <w:pPr>
        <w:spacing w:line="324" w:lineRule="auto"/>
        <w:ind w:firstLine="480" w:firstLineChars="200"/>
        <w:rPr>
          <w:color w:val="auto"/>
          <w:sz w:val="24"/>
          <w:highlight w:val="none"/>
        </w:rPr>
      </w:pPr>
      <w:r>
        <w:rPr>
          <w:rFonts w:hint="eastAsia"/>
          <w:color w:val="auto"/>
          <w:sz w:val="24"/>
          <w:highlight w:val="none"/>
        </w:rPr>
        <w:t xml:space="preserve">3.4.4 </w:t>
      </w:r>
      <w:r>
        <w:rPr>
          <w:color w:val="auto"/>
          <w:sz w:val="24"/>
          <w:highlight w:val="none"/>
        </w:rPr>
        <w:t>有下列情形之一的</w:t>
      </w:r>
      <w:r>
        <w:rPr>
          <w:rFonts w:hint="eastAsia"/>
          <w:color w:val="auto"/>
          <w:sz w:val="24"/>
          <w:highlight w:val="none"/>
        </w:rPr>
        <w:t>,</w:t>
      </w:r>
      <w:r>
        <w:rPr>
          <w:color w:val="auto"/>
          <w:sz w:val="24"/>
          <w:highlight w:val="none"/>
        </w:rPr>
        <w:t>投标保证金将不予退还：</w:t>
      </w:r>
    </w:p>
    <w:p>
      <w:pPr>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 xml:space="preserve">) </w:t>
      </w:r>
      <w:r>
        <w:rPr>
          <w:color w:val="auto"/>
          <w:sz w:val="24"/>
          <w:highlight w:val="none"/>
        </w:rPr>
        <w:t>投标人在规定的投标有效期内撤销或修改其投标文件；</w:t>
      </w:r>
    </w:p>
    <w:p>
      <w:pPr>
        <w:spacing w:line="324" w:lineRule="auto"/>
        <w:ind w:firstLine="480" w:firstLineChars="200"/>
        <w:rPr>
          <w:rFonts w:hint="eastAsia"/>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xml:space="preserve">) </w:t>
      </w:r>
      <w:r>
        <w:rPr>
          <w:color w:val="auto"/>
          <w:sz w:val="24"/>
          <w:highlight w:val="none"/>
        </w:rPr>
        <w:t>中标人在收到中标通知书后</w:t>
      </w:r>
      <w:r>
        <w:rPr>
          <w:rFonts w:hint="eastAsia"/>
          <w:color w:val="auto"/>
          <w:sz w:val="24"/>
          <w:highlight w:val="none"/>
        </w:rPr>
        <w:t>,</w:t>
      </w:r>
      <w:r>
        <w:rPr>
          <w:color w:val="auto"/>
          <w:sz w:val="24"/>
          <w:highlight w:val="none"/>
        </w:rPr>
        <w:t>无正当理由拒签合同协议书或未按招标文件规定提交履约担保</w:t>
      </w:r>
      <w:r>
        <w:rPr>
          <w:rFonts w:hint="eastAsia"/>
          <w:color w:val="auto"/>
          <w:sz w:val="24"/>
          <w:highlight w:val="none"/>
        </w:rPr>
        <w:t>。</w:t>
      </w:r>
    </w:p>
    <w:p>
      <w:pPr>
        <w:spacing w:line="324" w:lineRule="auto"/>
        <w:ind w:firstLine="480" w:firstLineChars="200"/>
        <w:rPr>
          <w:color w:val="auto"/>
          <w:sz w:val="24"/>
          <w:highlight w:val="none"/>
        </w:rPr>
      </w:pPr>
      <w:r>
        <w:rPr>
          <w:rFonts w:hint="eastAsia"/>
          <w:color w:val="auto"/>
          <w:sz w:val="24"/>
          <w:highlight w:val="none"/>
        </w:rPr>
        <w:t>(3) 投标</w:t>
      </w:r>
      <w:r>
        <w:rPr>
          <w:color w:val="auto"/>
          <w:sz w:val="24"/>
          <w:highlight w:val="none"/>
        </w:rPr>
        <w:t>人</w:t>
      </w:r>
      <w:r>
        <w:rPr>
          <w:rFonts w:hint="eastAsia"/>
          <w:color w:val="auto"/>
          <w:sz w:val="24"/>
          <w:highlight w:val="none"/>
        </w:rPr>
        <w:t>提交了虚假资料。</w:t>
      </w:r>
      <w:bookmarkStart w:id="248" w:name="_Toc356567802"/>
      <w:bookmarkStart w:id="249" w:name="_Toc144974519"/>
      <w:bookmarkStart w:id="250" w:name="_Toc341805122"/>
      <w:bookmarkStart w:id="251" w:name="_Toc152042327"/>
      <w:bookmarkStart w:id="252" w:name="_Toc152045551"/>
    </w:p>
    <w:p>
      <w:pPr>
        <w:pStyle w:val="4"/>
        <w:spacing w:before="0" w:after="0" w:line="324" w:lineRule="auto"/>
        <w:ind w:firstLine="481" w:firstLineChars="200"/>
        <w:rPr>
          <w:rFonts w:ascii="黑体"/>
          <w:b w:val="0"/>
          <w:color w:val="auto"/>
          <w:kern w:val="0"/>
          <w:sz w:val="24"/>
          <w:szCs w:val="24"/>
          <w:highlight w:val="none"/>
        </w:rPr>
      </w:pPr>
      <w:bookmarkStart w:id="253" w:name="_Toc488650800"/>
      <w:bookmarkStart w:id="254" w:name="_Toc487291479"/>
      <w:bookmarkStart w:id="255" w:name="_Toc487653368"/>
      <w:bookmarkStart w:id="256" w:name="_Toc487619450"/>
      <w:r>
        <w:rPr>
          <w:rFonts w:hint="eastAsia" w:ascii="黑体" w:hAnsi="宋体"/>
          <w:color w:val="auto"/>
          <w:sz w:val="24"/>
          <w:highlight w:val="none"/>
        </w:rPr>
        <w:t>3.5</w:t>
      </w:r>
      <w:bookmarkEnd w:id="248"/>
      <w:r>
        <w:rPr>
          <w:rFonts w:hint="eastAsia" w:ascii="黑体" w:hAnsi="宋体"/>
          <w:color w:val="auto"/>
          <w:sz w:val="24"/>
          <w:highlight w:val="none"/>
        </w:rPr>
        <w:t xml:space="preserve"> </w:t>
      </w:r>
      <w:r>
        <w:rPr>
          <w:rFonts w:hint="eastAsia" w:ascii="黑体" w:hAnsi="宋体"/>
          <w:b w:val="0"/>
          <w:color w:val="auto"/>
          <w:sz w:val="24"/>
          <w:highlight w:val="none"/>
        </w:rPr>
        <w:t xml:space="preserve"> </w:t>
      </w:r>
      <w:bookmarkEnd w:id="249"/>
      <w:bookmarkEnd w:id="250"/>
      <w:bookmarkEnd w:id="251"/>
      <w:bookmarkEnd w:id="252"/>
      <w:bookmarkStart w:id="257" w:name="_Toc356567803"/>
      <w:bookmarkStart w:id="258" w:name="_Toc341805123"/>
      <w:r>
        <w:rPr>
          <w:rFonts w:hint="eastAsia" w:ascii="黑体" w:hAnsi="宋体"/>
          <w:b w:val="0"/>
          <w:color w:val="auto"/>
          <w:sz w:val="24"/>
          <w:szCs w:val="24"/>
          <w:highlight w:val="none"/>
        </w:rPr>
        <w:t>资格审查资料</w:t>
      </w:r>
      <w:bookmarkEnd w:id="253"/>
      <w:bookmarkEnd w:id="254"/>
      <w:bookmarkEnd w:id="255"/>
      <w:bookmarkEnd w:id="256"/>
      <w:bookmarkEnd w:id="257"/>
      <w:bookmarkEnd w:id="258"/>
    </w:p>
    <w:p>
      <w:pPr>
        <w:spacing w:line="400" w:lineRule="exact"/>
        <w:ind w:firstLine="480" w:firstLineChars="200"/>
        <w:rPr>
          <w:rFonts w:cs="Times New Roman"/>
          <w:color w:val="auto"/>
          <w:sz w:val="24"/>
          <w:highlight w:val="none"/>
        </w:rPr>
      </w:pPr>
      <w:r>
        <w:rPr>
          <w:rFonts w:hint="eastAsia" w:cs="Times New Roman"/>
          <w:color w:val="auto"/>
          <w:sz w:val="24"/>
          <w:highlight w:val="none"/>
        </w:rPr>
        <w:t>3.5.1  “投标人基本情况表”应附投标人公司简介、企业法人营业执照副本及其年检合格证的证明材料、监理资质证书副本、质量认证证书等相关资料的复印件并加盖公章。。</w:t>
      </w:r>
    </w:p>
    <w:p>
      <w:pPr>
        <w:spacing w:line="400" w:lineRule="exact"/>
        <w:ind w:firstLine="480" w:firstLineChars="200"/>
        <w:rPr>
          <w:rFonts w:cs="Times New Roman"/>
          <w:color w:val="auto"/>
          <w:sz w:val="24"/>
          <w:highlight w:val="none"/>
        </w:rPr>
      </w:pPr>
      <w:r>
        <w:rPr>
          <w:rFonts w:hint="eastAsia" w:cs="Times New Roman"/>
          <w:color w:val="auto"/>
          <w:sz w:val="24"/>
          <w:highlight w:val="none"/>
        </w:rPr>
        <w:t>3.5.2  “投标人近年财务状况表”无需提交。</w:t>
      </w:r>
    </w:p>
    <w:p>
      <w:pPr>
        <w:spacing w:line="400" w:lineRule="exact"/>
        <w:ind w:firstLine="480" w:firstLineChars="200"/>
        <w:rPr>
          <w:color w:val="auto"/>
          <w:sz w:val="24"/>
          <w:highlight w:val="none"/>
        </w:rPr>
      </w:pPr>
      <w:r>
        <w:rPr>
          <w:rFonts w:hint="eastAsia" w:cs="Times New Roman"/>
          <w:color w:val="auto"/>
          <w:sz w:val="24"/>
          <w:highlight w:val="none"/>
        </w:rPr>
        <w:t>3.5.3  “投标人近年已完工的工程一览表”应附在交通运输部“全国水运建设市场信用信息管理系统”（https://wtis.mot.gov.cn/credit/index.html）中查询到的企业“业绩信息”相关项目网页截图扫描件，或附在“福建省交通公路水运建设与运输市场信用信息管理系统（信用交通·福建）”（</w:t>
      </w:r>
      <w:r>
        <w:rPr>
          <w:rFonts w:hint="eastAsia" w:cs="Times New Roman"/>
          <w:color w:val="auto"/>
          <w:sz w:val="24"/>
          <w:highlight w:val="none"/>
          <w:lang w:eastAsia="zh-CN"/>
        </w:rPr>
        <w:t>http://220.160.53.3:30050/gzwz/</w:t>
      </w:r>
      <w:r>
        <w:rPr>
          <w:rFonts w:hint="eastAsia" w:cs="Times New Roman"/>
          <w:color w:val="auto"/>
          <w:sz w:val="24"/>
          <w:highlight w:val="none"/>
        </w:rPr>
        <w:t>）中查询到的网页截图（并注明查询路径）；并提供①合同文件扫描件，②交(竣)工验收证书或交工验收表或竣工验收现场核查报告（均同时附上质量鉴定意见）扫描件。航道工程还需提供单独立项的工可批复文件扫描件。具体年份要求见投标人须知前附表。每张表格只填写一个项目，并标明序号。</w:t>
      </w:r>
    </w:p>
    <w:p>
      <w:pPr>
        <w:spacing w:line="324" w:lineRule="auto"/>
        <w:ind w:firstLine="480" w:firstLineChars="200"/>
        <w:rPr>
          <w:color w:val="auto"/>
          <w:sz w:val="24"/>
          <w:highlight w:val="none"/>
        </w:rPr>
      </w:pPr>
      <w:r>
        <w:rPr>
          <w:rFonts w:hint="eastAsia"/>
          <w:color w:val="auto"/>
          <w:sz w:val="24"/>
          <w:highlight w:val="none"/>
        </w:rPr>
        <w:t>3.5.4  “投标人近年发生的诉讼及仲裁情况一览表”应说明相关情况，并附法院或仲裁机构作出的判决、裁决等有关法律文书扫描件，具体年份要求见投标人须知前附表。</w:t>
      </w:r>
    </w:p>
    <w:p>
      <w:pPr>
        <w:spacing w:line="324" w:lineRule="auto"/>
        <w:ind w:firstLine="480" w:firstLineChars="200"/>
        <w:rPr>
          <w:color w:val="auto"/>
          <w:sz w:val="24"/>
          <w:highlight w:val="none"/>
        </w:rPr>
      </w:pPr>
      <w:r>
        <w:rPr>
          <w:rFonts w:hint="eastAsia"/>
          <w:color w:val="auto"/>
          <w:sz w:val="24"/>
          <w:highlight w:val="none"/>
        </w:rPr>
        <w:t>3.5.5  投标人须知前附表规定接受联合体投标的，本章第3.5.1款至第3.5.4款规定的表格和资料应包括联合体各方相关情况。</w:t>
      </w:r>
    </w:p>
    <w:p>
      <w:pPr>
        <w:pStyle w:val="4"/>
        <w:spacing w:before="0" w:after="0" w:line="324" w:lineRule="auto"/>
        <w:ind w:firstLine="481" w:firstLineChars="200"/>
        <w:rPr>
          <w:rFonts w:ascii="黑体" w:hAnsi="宋体"/>
          <w:b w:val="0"/>
          <w:color w:val="auto"/>
          <w:sz w:val="24"/>
          <w:szCs w:val="24"/>
          <w:highlight w:val="none"/>
        </w:rPr>
      </w:pPr>
      <w:bookmarkStart w:id="259" w:name="_Toc488650801"/>
      <w:bookmarkStart w:id="260" w:name="_Toc487653369"/>
      <w:bookmarkStart w:id="261" w:name="_Toc152042330"/>
      <w:bookmarkStart w:id="262" w:name="_Toc487291480"/>
      <w:bookmarkStart w:id="263" w:name="_Toc152045554"/>
      <w:bookmarkStart w:id="264" w:name="_Toc144974522"/>
      <w:bookmarkStart w:id="265" w:name="_Toc341805124"/>
      <w:bookmarkStart w:id="266" w:name="_Toc356567804"/>
      <w:bookmarkStart w:id="267" w:name="_Toc487619451"/>
      <w:r>
        <w:rPr>
          <w:rFonts w:hint="eastAsia" w:ascii="黑体" w:hAnsi="宋体"/>
          <w:color w:val="auto"/>
          <w:sz w:val="24"/>
          <w:szCs w:val="24"/>
          <w:highlight w:val="none"/>
        </w:rPr>
        <w:t xml:space="preserve">3.6 </w:t>
      </w:r>
      <w:r>
        <w:rPr>
          <w:rFonts w:hint="eastAsia" w:ascii="黑体" w:hAnsi="宋体"/>
          <w:b w:val="0"/>
          <w:color w:val="auto"/>
          <w:sz w:val="24"/>
          <w:szCs w:val="24"/>
          <w:highlight w:val="none"/>
        </w:rPr>
        <w:t xml:space="preserve"> 投标文件的编制</w:t>
      </w:r>
      <w:bookmarkEnd w:id="259"/>
      <w:bookmarkEnd w:id="260"/>
      <w:bookmarkEnd w:id="261"/>
      <w:bookmarkEnd w:id="262"/>
      <w:bookmarkEnd w:id="263"/>
      <w:bookmarkEnd w:id="264"/>
      <w:bookmarkEnd w:id="265"/>
      <w:bookmarkEnd w:id="266"/>
      <w:bookmarkEnd w:id="267"/>
    </w:p>
    <w:p>
      <w:pPr>
        <w:spacing w:line="324" w:lineRule="auto"/>
        <w:ind w:firstLine="480" w:firstLineChars="200"/>
        <w:rPr>
          <w:color w:val="auto"/>
          <w:sz w:val="24"/>
          <w:highlight w:val="none"/>
        </w:rPr>
      </w:pPr>
      <w:r>
        <w:rPr>
          <w:rFonts w:hint="eastAsia"/>
          <w:color w:val="auto"/>
          <w:sz w:val="24"/>
          <w:highlight w:val="none"/>
        </w:rPr>
        <w:t xml:space="preserve">3.6.1  </w:t>
      </w:r>
      <w:r>
        <w:rPr>
          <w:rFonts w:hint="eastAsia" w:ascii="宋体" w:hAnsi="宋体"/>
          <w:color w:val="auto"/>
          <w:sz w:val="24"/>
          <w:highlight w:val="none"/>
        </w:rPr>
        <w:t>投标文件应使用电子交易平台提供的投标文件制作软件，</w:t>
      </w:r>
      <w:r>
        <w:rPr>
          <w:rFonts w:hint="eastAsia"/>
          <w:color w:val="auto"/>
          <w:sz w:val="24"/>
          <w:highlight w:val="none"/>
        </w:rPr>
        <w:t>应按第</w:t>
      </w:r>
      <w:r>
        <w:rPr>
          <w:rFonts w:hint="eastAsia"/>
          <w:color w:val="auto"/>
          <w:sz w:val="24"/>
          <w:highlight w:val="none"/>
          <w:lang w:eastAsia="zh-CN"/>
        </w:rPr>
        <w:t>九</w:t>
      </w:r>
      <w:r>
        <w:rPr>
          <w:rFonts w:hint="eastAsia"/>
          <w:color w:val="auto"/>
          <w:sz w:val="24"/>
          <w:highlight w:val="none"/>
        </w:rPr>
        <w:t>章“投标文件格式”进行编制，如有必要，可以增加附页，作为投标文件的组成部分。</w:t>
      </w:r>
    </w:p>
    <w:p>
      <w:pPr>
        <w:spacing w:line="324" w:lineRule="auto"/>
        <w:ind w:firstLine="480" w:firstLineChars="200"/>
        <w:rPr>
          <w:color w:val="auto"/>
          <w:sz w:val="24"/>
          <w:highlight w:val="none"/>
        </w:rPr>
      </w:pPr>
      <w:r>
        <w:rPr>
          <w:rFonts w:hint="eastAsia"/>
          <w:color w:val="auto"/>
          <w:sz w:val="24"/>
          <w:highlight w:val="none"/>
        </w:rPr>
        <w:t>3.6.2  投标文件应当对招标文件有关监理服务期、投标有效期、适用的技术标准、监理服务阶段、监理工作范围、招标范围等实质性内容作出响应。</w:t>
      </w:r>
    </w:p>
    <w:p>
      <w:pPr>
        <w:spacing w:line="360" w:lineRule="auto"/>
        <w:ind w:firstLine="480" w:firstLineChars="200"/>
        <w:rPr>
          <w:rFonts w:ascii="宋体" w:hAnsi="宋体"/>
          <w:color w:val="auto"/>
          <w:sz w:val="24"/>
          <w:highlight w:val="none"/>
        </w:rPr>
      </w:pPr>
      <w:bookmarkStart w:id="268" w:name="_Toc487291481"/>
      <w:bookmarkStart w:id="269" w:name="_Toc487653370"/>
      <w:bookmarkStart w:id="270" w:name="_Toc487619452"/>
      <w:r>
        <w:rPr>
          <w:rFonts w:hint="eastAsia" w:ascii="宋体" w:hAnsi="宋体"/>
          <w:color w:val="auto"/>
          <w:sz w:val="24"/>
          <w:highlight w:val="none"/>
        </w:rPr>
        <w:t>电子交易平台为投标人提供在线或离线编辑和制作投标文件的功能，主要包括文件的导入、文件内容编辑、工程量清单报价（如有要求）导入、版式文件转换、电子签章、文件生成、校验以及加密等功能。具体的电子投标文件制作软件的使用说明详见该电子交易平台上的相关说明或电话咨询电子交易平台。</w:t>
      </w:r>
    </w:p>
    <w:bookmarkEnd w:id="268"/>
    <w:bookmarkEnd w:id="269"/>
    <w:bookmarkEnd w:id="270"/>
    <w:p>
      <w:pPr>
        <w:pStyle w:val="4"/>
        <w:spacing w:before="0" w:after="0" w:line="324" w:lineRule="auto"/>
        <w:ind w:firstLine="481" w:firstLineChars="200"/>
        <w:rPr>
          <w:color w:val="auto"/>
          <w:sz w:val="24"/>
          <w:szCs w:val="24"/>
          <w:highlight w:val="none"/>
        </w:rPr>
      </w:pPr>
      <w:bookmarkStart w:id="271" w:name="_Toc307991152"/>
      <w:bookmarkStart w:id="272" w:name="_Toc488650802"/>
      <w:bookmarkStart w:id="273" w:name="_Toc286759035"/>
      <w:bookmarkStart w:id="274" w:name="_Toc283559193"/>
      <w:bookmarkStart w:id="275" w:name="_Toc152042331"/>
      <w:bookmarkStart w:id="276" w:name="_Toc152045555"/>
      <w:bookmarkStart w:id="277" w:name="_Toc330384400"/>
      <w:bookmarkStart w:id="278" w:name="_Toc283558696"/>
      <w:bookmarkStart w:id="279" w:name="_Toc487291482"/>
      <w:bookmarkStart w:id="280" w:name="_Toc144974523"/>
      <w:bookmarkStart w:id="281" w:name="_Toc341805125"/>
      <w:r>
        <w:rPr>
          <w:color w:val="auto"/>
          <w:sz w:val="24"/>
          <w:szCs w:val="24"/>
          <w:highlight w:val="none"/>
        </w:rPr>
        <w:t>4</w:t>
      </w:r>
      <w:r>
        <w:rPr>
          <w:rFonts w:hint="eastAsia"/>
          <w:color w:val="auto"/>
          <w:sz w:val="24"/>
          <w:szCs w:val="24"/>
          <w:highlight w:val="none"/>
        </w:rPr>
        <w:t>．投标</w:t>
      </w:r>
      <w:bookmarkEnd w:id="271"/>
      <w:bookmarkEnd w:id="272"/>
      <w:bookmarkEnd w:id="273"/>
      <w:bookmarkEnd w:id="274"/>
      <w:bookmarkEnd w:id="275"/>
      <w:bookmarkEnd w:id="276"/>
      <w:bookmarkEnd w:id="277"/>
      <w:bookmarkEnd w:id="278"/>
      <w:bookmarkEnd w:id="279"/>
      <w:bookmarkEnd w:id="280"/>
      <w:bookmarkEnd w:id="281"/>
    </w:p>
    <w:p>
      <w:pPr>
        <w:pStyle w:val="4"/>
        <w:spacing w:before="0" w:after="0" w:line="324" w:lineRule="auto"/>
        <w:ind w:firstLine="481" w:firstLineChars="200"/>
        <w:rPr>
          <w:rFonts w:ascii="黑体" w:hAnsi="宋体"/>
          <w:b w:val="0"/>
          <w:color w:val="auto"/>
          <w:sz w:val="24"/>
          <w:szCs w:val="24"/>
          <w:highlight w:val="none"/>
        </w:rPr>
      </w:pPr>
      <w:bookmarkStart w:id="282" w:name="_Toc144974525"/>
      <w:bookmarkStart w:id="283" w:name="_Toc487291483"/>
      <w:bookmarkStart w:id="284" w:name="_Toc487619454"/>
      <w:bookmarkStart w:id="285" w:name="_Toc488650803"/>
      <w:bookmarkStart w:id="286" w:name="_Toc487653372"/>
      <w:bookmarkStart w:id="287" w:name="_Toc152042333"/>
      <w:bookmarkStart w:id="288" w:name="_Toc356567807"/>
      <w:bookmarkStart w:id="289" w:name="_Toc341805127"/>
      <w:bookmarkStart w:id="290" w:name="_Toc152045557"/>
      <w:r>
        <w:rPr>
          <w:rFonts w:hint="eastAsia" w:ascii="黑体" w:hAnsi="宋体"/>
          <w:color w:val="auto"/>
          <w:sz w:val="24"/>
          <w:szCs w:val="24"/>
          <w:highlight w:val="none"/>
        </w:rPr>
        <w:t>4.1</w:t>
      </w:r>
      <w:r>
        <w:rPr>
          <w:rFonts w:hint="eastAsia" w:ascii="黑体" w:hAnsi="宋体"/>
          <w:b w:val="0"/>
          <w:color w:val="auto"/>
          <w:sz w:val="24"/>
          <w:szCs w:val="24"/>
          <w:highlight w:val="none"/>
        </w:rPr>
        <w:t xml:space="preserve">  投标文件的递交</w:t>
      </w:r>
      <w:bookmarkEnd w:id="282"/>
      <w:bookmarkEnd w:id="283"/>
      <w:bookmarkEnd w:id="284"/>
      <w:bookmarkEnd w:id="285"/>
      <w:bookmarkEnd w:id="286"/>
      <w:bookmarkEnd w:id="287"/>
      <w:bookmarkEnd w:id="288"/>
      <w:bookmarkEnd w:id="289"/>
      <w:bookmarkEnd w:id="290"/>
    </w:p>
    <w:p>
      <w:pPr>
        <w:keepNext/>
        <w:keepLines/>
        <w:widowControl w:val="0"/>
        <w:spacing w:before="0" w:after="0" w:line="400" w:lineRule="exact"/>
        <w:ind w:firstLine="481" w:firstLineChars="200"/>
        <w:jc w:val="left"/>
        <w:outlineLvl w:val="2"/>
        <w:rPr>
          <w:rFonts w:ascii="黑体" w:hAnsi="宋体" w:eastAsia="黑体" w:cs="Times New Roman"/>
          <w:b w:val="0"/>
          <w:bCs/>
          <w:color w:val="auto"/>
          <w:kern w:val="2"/>
          <w:sz w:val="24"/>
          <w:szCs w:val="24"/>
          <w:highlight w:val="none"/>
          <w:lang w:val="en-US" w:eastAsia="zh-CN" w:bidi="ar-SA"/>
        </w:rPr>
      </w:pPr>
      <w:bookmarkStart w:id="291" w:name="_Toc80046864"/>
      <w:bookmarkStart w:id="292" w:name="_Toc488650804"/>
      <w:r>
        <w:rPr>
          <w:rFonts w:hint="eastAsia" w:ascii="黑体" w:hAnsi="宋体" w:eastAsia="黑体" w:cs="Times New Roman"/>
          <w:b/>
          <w:bCs/>
          <w:color w:val="auto"/>
          <w:kern w:val="2"/>
          <w:sz w:val="24"/>
          <w:szCs w:val="24"/>
          <w:highlight w:val="none"/>
          <w:lang w:val="en-US" w:eastAsia="zh-CN" w:bidi="ar-SA"/>
        </w:rPr>
        <w:t>4.1</w:t>
      </w:r>
      <w:r>
        <w:rPr>
          <w:rFonts w:hint="eastAsia" w:ascii="黑体" w:hAnsi="宋体" w:eastAsia="黑体" w:cs="Times New Roman"/>
          <w:b w:val="0"/>
          <w:bCs/>
          <w:color w:val="auto"/>
          <w:kern w:val="2"/>
          <w:sz w:val="24"/>
          <w:szCs w:val="24"/>
          <w:highlight w:val="none"/>
          <w:lang w:val="en-US" w:eastAsia="zh-CN" w:bidi="ar-SA"/>
        </w:rPr>
        <w:t xml:space="preserve">  投标文件的的加密与递交</w:t>
      </w:r>
      <w:bookmarkEnd w:id="291"/>
    </w:p>
    <w:p>
      <w:pPr>
        <w:keepNext/>
        <w:keepLines/>
        <w:widowControl w:val="0"/>
        <w:spacing w:before="0" w:after="0" w:line="400" w:lineRule="exact"/>
        <w:ind w:firstLine="480" w:firstLineChars="200"/>
        <w:jc w:val="left"/>
        <w:outlineLvl w:val="2"/>
        <w:rPr>
          <w:rFonts w:hint="eastAsia" w:ascii="宋体" w:hAnsi="宋体" w:eastAsia="宋体" w:cs="Times New Roman"/>
          <w:b w:val="0"/>
          <w:bCs/>
          <w:color w:val="auto"/>
          <w:kern w:val="2"/>
          <w:sz w:val="24"/>
          <w:szCs w:val="32"/>
          <w:highlight w:val="none"/>
          <w:lang w:val="en-US" w:eastAsia="zh-CN" w:bidi="ar-SA"/>
        </w:rPr>
      </w:pPr>
      <w:bookmarkStart w:id="293" w:name="_Toc2068972084"/>
      <w:r>
        <w:rPr>
          <w:rFonts w:hint="eastAsia" w:ascii="宋体" w:hAnsi="宋体" w:eastAsia="宋体" w:cs="Times New Roman"/>
          <w:b w:val="0"/>
          <w:bCs/>
          <w:color w:val="auto"/>
          <w:kern w:val="2"/>
          <w:sz w:val="24"/>
          <w:szCs w:val="32"/>
          <w:highlight w:val="none"/>
          <w:lang w:val="en-US" w:eastAsia="zh-CN" w:bidi="ar-SA"/>
        </w:rPr>
        <w:t>4.1.1投标人应</w:t>
      </w:r>
      <w:bookmarkEnd w:id="293"/>
      <w:bookmarkStart w:id="294" w:name="_Toc477779885"/>
      <w:r>
        <w:rPr>
          <w:rFonts w:hint="eastAsia" w:ascii="宋体" w:hAnsi="宋体" w:eastAsia="宋体" w:cs="Times New Roman"/>
          <w:b w:val="0"/>
          <w:bCs/>
          <w:color w:val="auto"/>
          <w:kern w:val="2"/>
          <w:sz w:val="24"/>
          <w:szCs w:val="32"/>
          <w:highlight w:val="none"/>
          <w:lang w:val="en-US" w:eastAsia="zh-CN" w:bidi="ar-SA"/>
        </w:rPr>
        <w:t>根据招标文件及交易平台的要求对投标文件进行电子签章并加密。投标人未按规定加密的投标文件，电子交易平台拒收并提示。</w:t>
      </w:r>
    </w:p>
    <w:p>
      <w:pPr>
        <w:keepNext/>
        <w:keepLines/>
        <w:widowControl w:val="0"/>
        <w:spacing w:before="0" w:after="0" w:line="400" w:lineRule="exact"/>
        <w:ind w:firstLine="480" w:firstLineChars="200"/>
        <w:jc w:val="left"/>
        <w:outlineLvl w:val="2"/>
        <w:rPr>
          <w:rFonts w:hint="eastAsia" w:ascii="宋体" w:hAnsi="宋体" w:eastAsia="宋体" w:cs="Times New Roman"/>
          <w:b w:val="0"/>
          <w:bCs/>
          <w:color w:val="auto"/>
          <w:kern w:val="2"/>
          <w:sz w:val="24"/>
          <w:szCs w:val="32"/>
          <w:highlight w:val="none"/>
          <w:lang w:val="en-US" w:eastAsia="zh-CN" w:bidi="ar-SA"/>
        </w:rPr>
      </w:pPr>
      <w:r>
        <w:rPr>
          <w:rFonts w:hint="eastAsia" w:ascii="宋体" w:hAnsi="宋体" w:eastAsia="宋体" w:cs="Times New Roman"/>
          <w:b w:val="0"/>
          <w:bCs/>
          <w:color w:val="auto"/>
          <w:kern w:val="2"/>
          <w:sz w:val="24"/>
          <w:szCs w:val="32"/>
          <w:highlight w:val="none"/>
          <w:lang w:val="en-US" w:eastAsia="zh-CN" w:bidi="ar-SA"/>
        </w:rPr>
        <w:t>4.1.2投标人应在投标截止时间前通过电子交易平台在线递交投标文件。电子招标平台收到投标人送达的投标文件，应当即时向投标人发出确认投标成功。具体的电子投标文件递交操作流程及步骤详见该电子交易平台上的相关说明或电话咨询电子交易平台</w:t>
      </w:r>
      <w:bookmarkEnd w:id="294"/>
      <w:bookmarkStart w:id="295" w:name="_Toc820561375"/>
      <w:r>
        <w:rPr>
          <w:rFonts w:hint="eastAsia" w:ascii="宋体" w:hAnsi="宋体" w:eastAsia="宋体" w:cs="Times New Roman"/>
          <w:b w:val="0"/>
          <w:bCs/>
          <w:color w:val="auto"/>
          <w:kern w:val="2"/>
          <w:sz w:val="24"/>
          <w:szCs w:val="32"/>
          <w:highlight w:val="none"/>
          <w:lang w:val="en-US" w:eastAsia="zh-CN" w:bidi="ar-SA"/>
        </w:rPr>
        <w:t>。</w:t>
      </w:r>
    </w:p>
    <w:p>
      <w:pPr>
        <w:pStyle w:val="4"/>
        <w:spacing w:before="0" w:after="0" w:line="324" w:lineRule="auto"/>
        <w:ind w:firstLine="480" w:firstLineChars="200"/>
        <w:rPr>
          <w:rFonts w:hint="eastAsia" w:ascii="宋体" w:hAnsi="宋体" w:eastAsia="宋体"/>
          <w:b w:val="0"/>
          <w:color w:val="auto"/>
          <w:sz w:val="24"/>
          <w:highlight w:val="none"/>
        </w:rPr>
      </w:pPr>
      <w:r>
        <w:rPr>
          <w:rFonts w:hint="eastAsia" w:ascii="宋体" w:hAnsi="宋体" w:eastAsia="宋体" w:cs="Times New Roman"/>
          <w:b w:val="0"/>
          <w:bCs/>
          <w:color w:val="auto"/>
          <w:kern w:val="2"/>
          <w:sz w:val="24"/>
          <w:szCs w:val="32"/>
          <w:highlight w:val="none"/>
          <w:lang w:val="en-US" w:eastAsia="zh-CN" w:bidi="ar-SA"/>
        </w:rPr>
        <w:t>4.1.3除投标人须知前附表另有规定外，投标人所递交的投标文件不予退还。</w:t>
      </w:r>
      <w:bookmarkEnd w:id="292"/>
      <w:bookmarkEnd w:id="295"/>
      <w:bookmarkStart w:id="296" w:name="_Toc487619455"/>
      <w:bookmarkStart w:id="297" w:name="_Toc487291484"/>
      <w:bookmarkStart w:id="298" w:name="_Toc152042334"/>
      <w:bookmarkStart w:id="299" w:name="_Toc487653373"/>
      <w:bookmarkStart w:id="300" w:name="_Toc341805128"/>
      <w:bookmarkStart w:id="301" w:name="_Toc152045558"/>
      <w:bookmarkStart w:id="302" w:name="_Toc144974526"/>
      <w:bookmarkStart w:id="303" w:name="_Toc356567808"/>
    </w:p>
    <w:p>
      <w:pPr>
        <w:pStyle w:val="4"/>
        <w:spacing w:before="0" w:after="0" w:line="324" w:lineRule="auto"/>
        <w:ind w:firstLine="481" w:firstLineChars="200"/>
        <w:rPr>
          <w:rFonts w:ascii="黑体" w:hAnsi="宋体"/>
          <w:b w:val="0"/>
          <w:color w:val="auto"/>
          <w:sz w:val="24"/>
          <w:szCs w:val="24"/>
          <w:highlight w:val="none"/>
        </w:rPr>
      </w:pPr>
      <w:bookmarkStart w:id="304" w:name="_Toc488650805"/>
      <w:r>
        <w:rPr>
          <w:rFonts w:hint="eastAsia" w:ascii="黑体" w:hAnsi="宋体"/>
          <w:color w:val="auto"/>
          <w:sz w:val="24"/>
          <w:szCs w:val="24"/>
          <w:highlight w:val="none"/>
        </w:rPr>
        <w:t xml:space="preserve">4.2 </w:t>
      </w:r>
      <w:r>
        <w:rPr>
          <w:rFonts w:hint="eastAsia" w:ascii="黑体" w:hAnsi="宋体"/>
          <w:b w:val="0"/>
          <w:color w:val="auto"/>
          <w:sz w:val="24"/>
          <w:szCs w:val="24"/>
          <w:highlight w:val="none"/>
        </w:rPr>
        <w:t xml:space="preserve"> 投标文件的修改与撤回</w:t>
      </w:r>
      <w:bookmarkEnd w:id="296"/>
      <w:bookmarkEnd w:id="297"/>
      <w:bookmarkEnd w:id="298"/>
      <w:bookmarkEnd w:id="299"/>
      <w:bookmarkEnd w:id="300"/>
      <w:bookmarkEnd w:id="301"/>
      <w:bookmarkEnd w:id="302"/>
      <w:bookmarkEnd w:id="303"/>
      <w:bookmarkEnd w:id="30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在本章第</w:t>
      </w:r>
      <w:r>
        <w:rPr>
          <w:rFonts w:ascii="宋体" w:hAnsi="宋体"/>
          <w:color w:val="auto"/>
          <w:sz w:val="24"/>
          <w:highlight w:val="none"/>
        </w:rPr>
        <w:t xml:space="preserve">2.2.2 </w:t>
      </w:r>
      <w:r>
        <w:rPr>
          <w:rFonts w:hint="eastAsia" w:ascii="宋体" w:hAnsi="宋体"/>
          <w:color w:val="auto"/>
          <w:sz w:val="24"/>
          <w:highlight w:val="none"/>
        </w:rPr>
        <w:t>项规定的投标截止时间前，投标人可以</w:t>
      </w:r>
      <w:r>
        <w:rPr>
          <w:rFonts w:hint="eastAsia"/>
          <w:color w:val="auto"/>
          <w:sz w:val="24"/>
          <w:highlight w:val="none"/>
        </w:rPr>
        <w:t>使用本单位</w:t>
      </w:r>
      <w:r>
        <w:rPr>
          <w:color w:val="auto"/>
          <w:sz w:val="24"/>
          <w:highlight w:val="none"/>
        </w:rPr>
        <w:t>CA</w:t>
      </w:r>
      <w:r>
        <w:rPr>
          <w:rFonts w:hint="eastAsia"/>
          <w:color w:val="auto"/>
          <w:sz w:val="24"/>
          <w:highlight w:val="none"/>
        </w:rPr>
        <w:t>数字证书</w:t>
      </w:r>
      <w:r>
        <w:rPr>
          <w:rFonts w:hint="eastAsia" w:ascii="宋体" w:hAnsi="宋体"/>
          <w:color w:val="auto"/>
          <w:sz w:val="24"/>
          <w:highlight w:val="none"/>
        </w:rPr>
        <w:t>修改或撤回已递交的投标文件。</w:t>
      </w:r>
      <w:r>
        <w:rPr>
          <w:rFonts w:hint="eastAsia" w:ascii="方正大标宋简体" w:hAnsi="方正大标宋简体"/>
          <w:bCs/>
          <w:color w:val="auto"/>
          <w:sz w:val="24"/>
          <w:highlight w:val="none"/>
        </w:rPr>
        <w:t>除投标人补充、修改或者撤回投标文件外，任何单位和个人不得解密、提取投标文件。</w:t>
      </w:r>
    </w:p>
    <w:p>
      <w:pPr>
        <w:pStyle w:val="4"/>
        <w:spacing w:before="0" w:after="0" w:line="324" w:lineRule="auto"/>
        <w:ind w:firstLine="481" w:firstLineChars="200"/>
        <w:rPr>
          <w:rFonts w:ascii="黑体" w:hAnsi="宋体"/>
          <w:b w:val="0"/>
          <w:color w:val="auto"/>
          <w:sz w:val="24"/>
          <w:szCs w:val="24"/>
          <w:highlight w:val="none"/>
        </w:rPr>
      </w:pPr>
      <w:bookmarkStart w:id="305" w:name="_Toc488650806"/>
      <w:r>
        <w:rPr>
          <w:rFonts w:hint="eastAsia" w:ascii="黑体" w:hAnsi="宋体"/>
          <w:color w:val="auto"/>
          <w:sz w:val="24"/>
          <w:szCs w:val="24"/>
          <w:highlight w:val="none"/>
        </w:rPr>
        <w:t xml:space="preserve">4.3 </w:t>
      </w:r>
      <w:r>
        <w:rPr>
          <w:rFonts w:hint="eastAsia" w:ascii="黑体" w:hAnsi="宋体"/>
          <w:b w:val="0"/>
          <w:color w:val="auto"/>
          <w:sz w:val="24"/>
          <w:szCs w:val="24"/>
          <w:highlight w:val="none"/>
        </w:rPr>
        <w:t xml:space="preserve"> 投标文件的加密</w:t>
      </w:r>
      <w:bookmarkEnd w:id="305"/>
    </w:p>
    <w:p>
      <w:pPr>
        <w:spacing w:line="360" w:lineRule="auto"/>
        <w:ind w:firstLine="480" w:firstLineChars="200"/>
        <w:rPr>
          <w:rFonts w:ascii="宋体" w:hAnsi="宋体"/>
          <w:color w:val="auto"/>
          <w:sz w:val="24"/>
          <w:highlight w:val="none"/>
        </w:rPr>
      </w:pPr>
      <w:r>
        <w:rPr>
          <w:rFonts w:ascii="宋体" w:hAnsi="宋体"/>
          <w:color w:val="auto"/>
          <w:sz w:val="24"/>
          <w:highlight w:val="none"/>
        </w:rPr>
        <w:t>投标人应根据招标文件及交易平台的要求对投标文件进行电子签章并加密。投标人未按规定加密的投标文件，电子交易平台拒收并提示。</w:t>
      </w:r>
    </w:p>
    <w:p>
      <w:pPr>
        <w:pStyle w:val="4"/>
        <w:spacing w:before="0" w:after="0" w:line="324" w:lineRule="auto"/>
        <w:ind w:firstLine="481" w:firstLineChars="200"/>
        <w:rPr>
          <w:color w:val="auto"/>
          <w:sz w:val="24"/>
          <w:szCs w:val="24"/>
          <w:highlight w:val="none"/>
        </w:rPr>
      </w:pPr>
      <w:bookmarkStart w:id="306" w:name="_Toc286759036"/>
      <w:bookmarkStart w:id="307" w:name="_Toc488650807"/>
      <w:bookmarkStart w:id="308" w:name="_Toc283558697"/>
      <w:bookmarkStart w:id="309" w:name="_Toc152045559"/>
      <w:bookmarkStart w:id="310" w:name="_Toc330384401"/>
      <w:bookmarkStart w:id="311" w:name="_Toc283559194"/>
      <w:bookmarkStart w:id="312" w:name="_Toc487291485"/>
      <w:bookmarkStart w:id="313" w:name="_Toc144974527"/>
      <w:bookmarkStart w:id="314" w:name="_Toc307991153"/>
      <w:bookmarkStart w:id="315" w:name="_Toc341805129"/>
      <w:bookmarkStart w:id="316" w:name="_Toc152042335"/>
      <w:r>
        <w:rPr>
          <w:color w:val="auto"/>
          <w:sz w:val="24"/>
          <w:szCs w:val="24"/>
          <w:highlight w:val="none"/>
        </w:rPr>
        <w:t>5</w:t>
      </w:r>
      <w:r>
        <w:rPr>
          <w:rFonts w:hint="eastAsia"/>
          <w:color w:val="auto"/>
          <w:sz w:val="24"/>
          <w:szCs w:val="24"/>
          <w:highlight w:val="none"/>
        </w:rPr>
        <w:t>．开标</w:t>
      </w:r>
      <w:bookmarkEnd w:id="306"/>
      <w:bookmarkEnd w:id="307"/>
      <w:bookmarkEnd w:id="308"/>
      <w:bookmarkEnd w:id="309"/>
      <w:bookmarkEnd w:id="310"/>
      <w:bookmarkEnd w:id="311"/>
      <w:bookmarkEnd w:id="312"/>
      <w:bookmarkEnd w:id="313"/>
      <w:bookmarkEnd w:id="314"/>
      <w:bookmarkEnd w:id="315"/>
      <w:bookmarkEnd w:id="316"/>
    </w:p>
    <w:p>
      <w:pPr>
        <w:pStyle w:val="4"/>
        <w:spacing w:before="0" w:after="0" w:line="324" w:lineRule="auto"/>
        <w:ind w:firstLine="481" w:firstLineChars="200"/>
        <w:rPr>
          <w:rFonts w:ascii="黑体" w:hAnsi="宋体"/>
          <w:b w:val="0"/>
          <w:color w:val="auto"/>
          <w:sz w:val="24"/>
          <w:szCs w:val="24"/>
          <w:highlight w:val="none"/>
        </w:rPr>
      </w:pPr>
      <w:bookmarkStart w:id="317" w:name="_Toc152045560"/>
      <w:bookmarkStart w:id="318" w:name="_Toc152042336"/>
      <w:bookmarkStart w:id="319" w:name="_Toc144974528"/>
      <w:bookmarkStart w:id="320" w:name="_Toc487653375"/>
      <w:bookmarkStart w:id="321" w:name="_Toc487619457"/>
      <w:bookmarkStart w:id="322" w:name="_Toc341805130"/>
      <w:bookmarkStart w:id="323" w:name="_Toc487291486"/>
      <w:bookmarkStart w:id="324" w:name="_Toc356567810"/>
      <w:bookmarkStart w:id="325" w:name="_Toc488650808"/>
      <w:r>
        <w:rPr>
          <w:rFonts w:hint="eastAsia" w:ascii="黑体" w:hAnsi="宋体"/>
          <w:color w:val="auto"/>
          <w:sz w:val="24"/>
          <w:szCs w:val="24"/>
          <w:highlight w:val="none"/>
        </w:rPr>
        <w:t xml:space="preserve">5.1 </w:t>
      </w:r>
      <w:r>
        <w:rPr>
          <w:rFonts w:hint="eastAsia" w:ascii="黑体" w:hAnsi="宋体"/>
          <w:b w:val="0"/>
          <w:color w:val="auto"/>
          <w:sz w:val="24"/>
          <w:szCs w:val="24"/>
          <w:highlight w:val="none"/>
        </w:rPr>
        <w:t xml:space="preserve"> 开标</w:t>
      </w:r>
      <w:bookmarkEnd w:id="317"/>
      <w:bookmarkEnd w:id="318"/>
      <w:bookmarkEnd w:id="319"/>
      <w:r>
        <w:rPr>
          <w:rFonts w:hint="eastAsia" w:ascii="黑体" w:hAnsi="宋体"/>
          <w:b w:val="0"/>
          <w:color w:val="auto"/>
          <w:sz w:val="24"/>
          <w:szCs w:val="24"/>
          <w:highlight w:val="none"/>
        </w:rPr>
        <w:t>时间和地点</w:t>
      </w:r>
      <w:bookmarkEnd w:id="320"/>
      <w:bookmarkEnd w:id="321"/>
      <w:bookmarkEnd w:id="322"/>
      <w:bookmarkEnd w:id="323"/>
      <w:bookmarkEnd w:id="324"/>
      <w:bookmarkEnd w:id="325"/>
    </w:p>
    <w:p>
      <w:pPr>
        <w:pStyle w:val="4"/>
        <w:spacing w:before="0" w:after="0" w:line="324" w:lineRule="auto"/>
        <w:ind w:firstLine="481" w:firstLineChars="200"/>
        <w:rPr>
          <w:rFonts w:hint="eastAsia" w:ascii="黑体" w:hAnsi="宋体"/>
          <w:color w:val="auto"/>
          <w:sz w:val="24"/>
          <w:szCs w:val="24"/>
          <w:highlight w:val="none"/>
        </w:rPr>
      </w:pPr>
      <w:bookmarkStart w:id="326" w:name="_Toc144974529"/>
      <w:bookmarkStart w:id="327" w:name="_Toc152042337"/>
      <w:bookmarkStart w:id="328" w:name="_Toc152045561"/>
      <w:r>
        <w:rPr>
          <w:rFonts w:ascii="宋体" w:hAnsi="宋体" w:cs="宋体"/>
          <w:snapToGrid w:val="0"/>
          <w:color w:val="auto"/>
          <w:kern w:val="0"/>
          <w:sz w:val="24"/>
          <w:highlight w:val="none"/>
        </w:rPr>
        <w:t>招标人</w:t>
      </w:r>
      <w:r>
        <w:rPr>
          <w:rFonts w:hint="eastAsia" w:ascii="宋体" w:hAnsi="宋体" w:cs="宋体"/>
          <w:snapToGrid w:val="0"/>
          <w:color w:val="auto"/>
          <w:kern w:val="0"/>
          <w:sz w:val="24"/>
          <w:highlight w:val="none"/>
        </w:rPr>
        <w:t>按投标人须知前附表规定的时间（开标时间）在电子交易平台公开进行在线开标，所有投标人均应当准时在线参加开标。投标截止时间前，经建设单位按“三重一大”决策程序研究确定后的定标方案应当加密后上传电子交易平台，未按照前述规定上传定标方案的，不得开标，招标人应该向招投标监督机构备案后重新确定开标时间。</w:t>
      </w:r>
      <w:bookmarkStart w:id="329" w:name="_Toc487653376"/>
      <w:bookmarkStart w:id="330" w:name="_Toc487291487"/>
      <w:bookmarkStart w:id="331" w:name="_Toc341805131"/>
      <w:bookmarkStart w:id="332" w:name="_Toc488650809"/>
      <w:bookmarkStart w:id="333" w:name="_Toc356567811"/>
      <w:bookmarkStart w:id="334" w:name="_Toc487619458"/>
    </w:p>
    <w:p>
      <w:pPr>
        <w:pStyle w:val="4"/>
        <w:spacing w:before="0" w:after="0" w:line="324" w:lineRule="auto"/>
        <w:ind w:firstLine="481" w:firstLineChars="200"/>
        <w:rPr>
          <w:rFonts w:ascii="黑体" w:hAnsi="宋体"/>
          <w:b w:val="0"/>
          <w:color w:val="auto"/>
          <w:sz w:val="24"/>
          <w:szCs w:val="24"/>
          <w:highlight w:val="none"/>
        </w:rPr>
      </w:pPr>
      <w:r>
        <w:rPr>
          <w:rFonts w:hint="eastAsia" w:ascii="黑体" w:hAnsi="宋体"/>
          <w:color w:val="auto"/>
          <w:sz w:val="24"/>
          <w:szCs w:val="24"/>
          <w:highlight w:val="none"/>
        </w:rPr>
        <w:t xml:space="preserve">5.2 </w:t>
      </w:r>
      <w:r>
        <w:rPr>
          <w:rFonts w:hint="eastAsia" w:ascii="黑体" w:hAnsi="宋体"/>
          <w:b w:val="0"/>
          <w:color w:val="auto"/>
          <w:sz w:val="24"/>
          <w:szCs w:val="24"/>
          <w:highlight w:val="none"/>
        </w:rPr>
        <w:t xml:space="preserve"> 开标程序</w:t>
      </w:r>
      <w:bookmarkEnd w:id="326"/>
      <w:bookmarkEnd w:id="327"/>
      <w:bookmarkEnd w:id="328"/>
      <w:bookmarkEnd w:id="329"/>
      <w:bookmarkEnd w:id="330"/>
      <w:bookmarkEnd w:id="331"/>
      <w:bookmarkEnd w:id="332"/>
      <w:bookmarkEnd w:id="333"/>
      <w:bookmarkEnd w:id="33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主持人按下列程序进行开标：</w:t>
      </w:r>
    </w:p>
    <w:p>
      <w:pPr>
        <w:spacing w:line="360" w:lineRule="auto"/>
        <w:ind w:firstLine="480" w:firstLineChars="200"/>
        <w:rPr>
          <w:rFonts w:ascii="宋体" w:hAnsi="宋体"/>
          <w:color w:val="auto"/>
          <w:sz w:val="24"/>
          <w:highlight w:val="none"/>
        </w:rPr>
      </w:pPr>
      <w:r>
        <w:rPr>
          <w:rFonts w:ascii="宋体" w:hAnsi="宋体"/>
          <w:color w:val="auto"/>
          <w:sz w:val="24"/>
          <w:highlight w:val="none"/>
        </w:rPr>
        <w:t>(l）宣布开标纪律；</w:t>
      </w:r>
    </w:p>
    <w:p>
      <w:pPr>
        <w:spacing w:line="360" w:lineRule="auto"/>
        <w:ind w:firstLine="480" w:firstLineChars="200"/>
        <w:rPr>
          <w:rFonts w:ascii="方正大标宋简体" w:hAnsi="方正大标宋简体"/>
          <w:color w:val="auto"/>
          <w:sz w:val="24"/>
          <w:highlight w:val="none"/>
        </w:rPr>
      </w:pPr>
      <w:r>
        <w:rPr>
          <w:rFonts w:ascii="宋体" w:hAnsi="宋体"/>
          <w:color w:val="auto"/>
          <w:sz w:val="24"/>
          <w:highlight w:val="none"/>
        </w:rPr>
        <w:t>(2）</w:t>
      </w:r>
      <w:r>
        <w:rPr>
          <w:rFonts w:hint="eastAsia" w:ascii="方正大标宋简体" w:hAnsi="方正大标宋简体"/>
          <w:color w:val="auto"/>
          <w:sz w:val="24"/>
          <w:highlight w:val="none"/>
        </w:rPr>
        <w:t>加密检查。开标时间一到，电子交易平台自动公开显示递交投标文件顺序号及对应的电子投标文件加密状态。</w:t>
      </w:r>
    </w:p>
    <w:p>
      <w:pPr>
        <w:spacing w:line="360" w:lineRule="auto"/>
        <w:ind w:firstLine="480" w:firstLineChars="200"/>
        <w:rPr>
          <w:rFonts w:ascii="宋体" w:hAnsi="宋体"/>
          <w:b/>
          <w:color w:val="auto"/>
          <w:sz w:val="24"/>
          <w:highlight w:val="none"/>
          <w:u w:val="single"/>
        </w:rPr>
      </w:pPr>
      <w:r>
        <w:rPr>
          <w:rFonts w:ascii="宋体" w:hAnsi="宋体"/>
          <w:color w:val="auto"/>
          <w:sz w:val="24"/>
          <w:highlight w:val="none"/>
        </w:rPr>
        <w:t>(3）</w:t>
      </w:r>
      <w:r>
        <w:rPr>
          <w:rFonts w:hint="eastAsia" w:ascii="方正大标宋简体" w:hAnsi="方正大标宋简体"/>
          <w:color w:val="auto"/>
          <w:sz w:val="24"/>
          <w:highlight w:val="none"/>
        </w:rPr>
        <w:t>电子投标文件解密，</w:t>
      </w:r>
      <w:r>
        <w:rPr>
          <w:rFonts w:hint="eastAsia" w:ascii="宋体" w:hAnsi="宋体"/>
          <w:color w:val="auto"/>
          <w:sz w:val="24"/>
          <w:highlight w:val="none"/>
        </w:rPr>
        <w:t>投标人应在线参加开标</w:t>
      </w:r>
      <w:r>
        <w:rPr>
          <w:rFonts w:hint="eastAsia" w:ascii="方正大标宋简体" w:hAnsi="方正大标宋简体"/>
          <w:color w:val="auto"/>
          <w:sz w:val="24"/>
          <w:highlight w:val="none"/>
        </w:rPr>
        <w:t>。开标时，电子交易平台自动提取所有投标文件，提示投标人在线开始解密。投标人应在开始解密时间（开标时间）起</w:t>
      </w:r>
      <w:r>
        <w:rPr>
          <w:rFonts w:ascii="方正大标宋简体" w:hAnsi="方正大标宋简体"/>
          <w:color w:val="auto"/>
          <w:sz w:val="24"/>
          <w:highlight w:val="none"/>
        </w:rPr>
        <w:t>1</w:t>
      </w:r>
      <w:r>
        <w:rPr>
          <w:rFonts w:hint="eastAsia" w:ascii="方正大标宋简体" w:hAnsi="方正大标宋简体"/>
          <w:color w:val="auto"/>
          <w:sz w:val="24"/>
          <w:highlight w:val="none"/>
        </w:rPr>
        <w:t>个小时内在线进行电子投标文件的解密操作</w:t>
      </w:r>
      <w:r>
        <w:rPr>
          <w:rFonts w:hint="eastAsia" w:ascii="宋体" w:hAnsi="宋体"/>
          <w:color w:val="auto"/>
          <w:sz w:val="24"/>
          <w:highlight w:val="none"/>
        </w:rPr>
        <w:t>，未在规定时间内解密，其投标视为无效</w:t>
      </w:r>
      <w:r>
        <w:rPr>
          <w:rFonts w:hint="eastAsia" w:ascii="方正大标宋简体" w:hAnsi="方正大标宋简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方正大标宋简体" w:hAnsi="方正大标宋简体"/>
          <w:color w:val="auto"/>
          <w:sz w:val="24"/>
          <w:highlight w:val="none"/>
        </w:rPr>
        <w:t>解密全部完成后或解密时间截止时，电子交易平台</w:t>
      </w:r>
      <w:r>
        <w:rPr>
          <w:rFonts w:hint="eastAsia" w:ascii="宋体" w:hAnsi="宋体"/>
          <w:color w:val="auto"/>
          <w:sz w:val="24"/>
          <w:highlight w:val="none"/>
        </w:rPr>
        <w:t>按照投标人须知前附表的规定</w:t>
      </w:r>
      <w:r>
        <w:rPr>
          <w:rFonts w:hint="eastAsia" w:ascii="方正大标宋简体" w:hAnsi="方正大标宋简体"/>
          <w:color w:val="auto"/>
          <w:sz w:val="24"/>
          <w:highlight w:val="none"/>
        </w:rPr>
        <w:t>自动确定并显示</w:t>
      </w:r>
      <w:r>
        <w:rPr>
          <w:rFonts w:hint="eastAsia" w:ascii="宋体" w:hAnsi="宋体"/>
          <w:color w:val="auto"/>
          <w:sz w:val="24"/>
          <w:highlight w:val="none"/>
        </w:rPr>
        <w:t>投标人名称、标段名称、投标报价（元）、工期、总监姓名、总监证书编号、投标保证金额等招标文件所确定的唱标内容</w:t>
      </w:r>
      <w:r>
        <w:rPr>
          <w:rFonts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入围抽取。</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1.当投标人数量小于等于10家的，所有投标人均为入围投标人；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2.当投标人数量大于10家的，应当采用以下方式确定入围的投标人：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按投标人</w:t>
      </w:r>
      <w:r>
        <w:rPr>
          <w:rFonts w:hint="eastAsia" w:ascii="宋体" w:hAnsi="宋体"/>
          <w:color w:val="auto"/>
          <w:sz w:val="24"/>
          <w:highlight w:val="none"/>
          <w:lang w:val="en-US" w:eastAsia="zh-CN"/>
        </w:rPr>
        <w:t>《企业信用声明》中填报的“评标使用的等级”</w:t>
      </w:r>
      <w:r>
        <w:rPr>
          <w:rFonts w:hint="eastAsia" w:ascii="宋体" w:hAnsi="宋体"/>
          <w:color w:val="auto"/>
          <w:sz w:val="24"/>
          <w:highlight w:val="none"/>
        </w:rPr>
        <w:t>由高到低排序，从信用等级A及以上等级的投标人中随机抽取10家入围（信用等级A及以上等级的投标人不足10家全部入围）；</w:t>
      </w:r>
    </w:p>
    <w:p>
      <w:pPr>
        <w:spacing w:line="360" w:lineRule="auto"/>
        <w:ind w:firstLine="480" w:firstLineChars="200"/>
        <w:rPr>
          <w:rFonts w:ascii="宋体" w:hAnsi="宋体"/>
          <w:color w:val="auto"/>
          <w:sz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6</w:t>
      </w:r>
      <w:r>
        <w:rPr>
          <w:rFonts w:ascii="宋体" w:hAnsi="宋体"/>
          <w:color w:val="auto"/>
          <w:sz w:val="24"/>
          <w:szCs w:val="24"/>
          <w:highlight w:val="none"/>
        </w:rPr>
        <w:t>）开标结束</w:t>
      </w:r>
      <w:r>
        <w:rPr>
          <w:rFonts w:hint="eastAsia" w:ascii="宋体" w:hAnsi="宋体"/>
          <w:color w:val="auto"/>
          <w:sz w:val="24"/>
          <w:szCs w:val="24"/>
          <w:highlight w:val="none"/>
        </w:rPr>
        <w:t>，</w:t>
      </w:r>
      <w:r>
        <w:rPr>
          <w:rFonts w:hint="eastAsia" w:ascii="方正大标宋简体" w:hAnsi="方正大标宋简体"/>
          <w:color w:val="auto"/>
          <w:sz w:val="24"/>
          <w:szCs w:val="24"/>
          <w:highlight w:val="none"/>
        </w:rPr>
        <w:t>电子</w:t>
      </w:r>
      <w:r>
        <w:rPr>
          <w:rFonts w:hint="eastAsia" w:ascii="方正大标宋简体" w:hAnsi="方正大标宋简体"/>
          <w:color w:val="auto"/>
          <w:sz w:val="24"/>
          <w:highlight w:val="none"/>
        </w:rPr>
        <w:t>交易平台自动生成开标记录并向社会公众公布，但依法应当保密的除外</w:t>
      </w:r>
      <w:r>
        <w:rPr>
          <w:rFonts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w:t>
      </w:r>
      <w:r>
        <w:rPr>
          <w:rFonts w:hint="eastAsia" w:ascii="宋体" w:hAnsi="宋体" w:cs="宋体"/>
          <w:color w:val="auto"/>
          <w:kern w:val="0"/>
          <w:sz w:val="24"/>
          <w:highlight w:val="none"/>
          <w:lang w:bidi="ar"/>
        </w:rPr>
        <w:t>电子交易平台需对投标人提交的投标电子保函文件是否符合《福建省公共资源电子保函文件格式标准（试行）》要求以及保函内容是否符合招标文件要求进行解析，并生成解析报告供评标专家评审参考。</w:t>
      </w:r>
    </w:p>
    <w:p>
      <w:pPr>
        <w:widowControl/>
        <w:spacing w:line="360" w:lineRule="auto"/>
        <w:ind w:left="703"/>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5.3解密失败的补救方案</w:t>
      </w:r>
    </w:p>
    <w:p>
      <w:pPr>
        <w:widowControl/>
        <w:numPr>
          <w:ilvl w:val="1"/>
          <w:numId w:val="7"/>
        </w:numPr>
        <w:spacing w:line="360" w:lineRule="auto"/>
        <w:ind w:left="0" w:firstLine="480" w:firstLineChars="200"/>
        <w:jc w:val="left"/>
        <w:rPr>
          <w:rFonts w:ascii="宋体" w:hAnsi="宋体"/>
          <w:color w:val="auto"/>
          <w:sz w:val="24"/>
          <w:highlight w:val="none"/>
        </w:rPr>
      </w:pPr>
      <w:r>
        <w:rPr>
          <w:rFonts w:hint="eastAsia" w:ascii="宋体" w:hAnsi="宋体"/>
          <w:color w:val="auto"/>
          <w:sz w:val="24"/>
          <w:highlight w:val="none"/>
        </w:rPr>
        <w:t>若为投标人设备故障或网络故障，则投标人自行更换设备或解决网络问题，投标文件解密失败经补救，仍不成功的，视为放弃投标</w:t>
      </w:r>
      <w:r>
        <w:rPr>
          <w:rFonts w:ascii="宋体" w:hAnsi="宋体"/>
          <w:color w:val="auto"/>
          <w:sz w:val="24"/>
          <w:highlight w:val="none"/>
        </w:rPr>
        <w:t>,开标继续进行；</w:t>
      </w:r>
    </w:p>
    <w:p>
      <w:pPr>
        <w:widowControl/>
        <w:numPr>
          <w:ilvl w:val="1"/>
          <w:numId w:val="7"/>
        </w:numPr>
        <w:spacing w:line="360" w:lineRule="auto"/>
        <w:ind w:left="0" w:firstLine="480" w:firstLineChars="200"/>
        <w:jc w:val="left"/>
        <w:rPr>
          <w:rFonts w:ascii="宋体" w:hAnsi="宋体"/>
          <w:color w:val="auto"/>
          <w:sz w:val="24"/>
          <w:highlight w:val="none"/>
        </w:rPr>
      </w:pPr>
      <w:r>
        <w:rPr>
          <w:rFonts w:hint="eastAsia" w:ascii="宋体" w:hAnsi="宋体"/>
          <w:color w:val="auto"/>
          <w:sz w:val="24"/>
          <w:highlight w:val="none"/>
        </w:rPr>
        <w:t>若为招标人原因导致无法正常解密，则由招标人及时提出解决方案；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 若为交易平台原因导致无法正常解密</w:t>
      </w:r>
      <w:r>
        <w:rPr>
          <w:rFonts w:hint="eastAsia" w:ascii="宋体" w:hAnsi="宋体"/>
          <w:color w:val="auto"/>
          <w:sz w:val="24"/>
          <w:highlight w:val="none"/>
        </w:rPr>
        <w:t>，</w:t>
      </w:r>
      <w:r>
        <w:rPr>
          <w:rFonts w:ascii="宋体" w:hAnsi="宋体"/>
          <w:color w:val="auto"/>
          <w:sz w:val="24"/>
          <w:highlight w:val="none"/>
        </w:rPr>
        <w:t>则由交易平台及时提出解决方案</w:t>
      </w:r>
      <w:r>
        <w:rPr>
          <w:rFonts w:hint="eastAsia" w:ascii="宋体" w:hAnsi="宋体"/>
          <w:color w:val="auto"/>
          <w:sz w:val="24"/>
          <w:highlight w:val="none"/>
        </w:rPr>
        <w:t>。</w:t>
      </w:r>
    </w:p>
    <w:p>
      <w:pPr>
        <w:pStyle w:val="4"/>
        <w:spacing w:before="0" w:after="0" w:line="324" w:lineRule="auto"/>
        <w:ind w:firstLine="562" w:firstLineChars="200"/>
        <w:rPr>
          <w:color w:val="auto"/>
          <w:highlight w:val="none"/>
        </w:rPr>
      </w:pPr>
      <w:bookmarkStart w:id="335" w:name="_Toc487291488"/>
      <w:bookmarkStart w:id="336" w:name="_Toc307991154"/>
      <w:bookmarkStart w:id="337" w:name="_Toc152042338"/>
      <w:bookmarkStart w:id="338" w:name="_Toc283559195"/>
      <w:bookmarkStart w:id="339" w:name="_Toc341805132"/>
      <w:bookmarkStart w:id="340" w:name="_Toc488650810"/>
      <w:bookmarkStart w:id="341" w:name="_Toc330384402"/>
      <w:bookmarkStart w:id="342" w:name="_Toc144974530"/>
      <w:bookmarkStart w:id="343" w:name="_Toc283558698"/>
      <w:bookmarkStart w:id="344" w:name="_Toc152045562"/>
      <w:bookmarkStart w:id="345" w:name="_Toc286759037"/>
      <w:r>
        <w:rPr>
          <w:rFonts w:hint="eastAsia"/>
          <w:color w:val="auto"/>
          <w:highlight w:val="none"/>
        </w:rPr>
        <w:t>6</w:t>
      </w:r>
      <w:r>
        <w:rPr>
          <w:color w:val="auto"/>
          <w:highlight w:val="none"/>
        </w:rPr>
        <w:t>．</w:t>
      </w:r>
      <w:r>
        <w:rPr>
          <w:rFonts w:hint="eastAsia"/>
          <w:color w:val="auto"/>
          <w:highlight w:val="none"/>
        </w:rPr>
        <w:t>评标</w:t>
      </w:r>
      <w:bookmarkEnd w:id="335"/>
      <w:bookmarkEnd w:id="336"/>
      <w:bookmarkEnd w:id="337"/>
      <w:bookmarkEnd w:id="338"/>
      <w:bookmarkEnd w:id="339"/>
      <w:bookmarkEnd w:id="340"/>
      <w:bookmarkEnd w:id="341"/>
      <w:bookmarkEnd w:id="342"/>
      <w:bookmarkEnd w:id="343"/>
      <w:bookmarkEnd w:id="344"/>
      <w:bookmarkEnd w:id="345"/>
    </w:p>
    <w:p>
      <w:pPr>
        <w:pStyle w:val="4"/>
        <w:spacing w:before="0" w:after="0" w:line="324" w:lineRule="auto"/>
        <w:ind w:firstLine="481" w:firstLineChars="200"/>
        <w:rPr>
          <w:rFonts w:ascii="黑体" w:hAnsi="宋体"/>
          <w:b w:val="0"/>
          <w:color w:val="auto"/>
          <w:sz w:val="24"/>
          <w:szCs w:val="24"/>
          <w:highlight w:val="none"/>
        </w:rPr>
      </w:pPr>
      <w:bookmarkStart w:id="346" w:name="_Toc144974531"/>
      <w:bookmarkStart w:id="347" w:name="_Toc152042339"/>
      <w:bookmarkStart w:id="348" w:name="_Toc152045563"/>
      <w:bookmarkStart w:id="349" w:name="_Toc488650811"/>
      <w:bookmarkStart w:id="350" w:name="_Toc487619460"/>
      <w:bookmarkStart w:id="351" w:name="_Toc487653378"/>
      <w:bookmarkStart w:id="352" w:name="_Toc356567813"/>
      <w:bookmarkStart w:id="353" w:name="_Toc487291489"/>
      <w:bookmarkStart w:id="354" w:name="_Toc341805133"/>
      <w:r>
        <w:rPr>
          <w:rFonts w:hint="eastAsia" w:ascii="黑体" w:hAnsi="宋体"/>
          <w:color w:val="auto"/>
          <w:sz w:val="24"/>
          <w:szCs w:val="24"/>
          <w:highlight w:val="none"/>
        </w:rPr>
        <w:t xml:space="preserve">6.1 </w:t>
      </w:r>
      <w:bookmarkEnd w:id="346"/>
      <w:bookmarkEnd w:id="347"/>
      <w:bookmarkEnd w:id="348"/>
      <w:r>
        <w:rPr>
          <w:rFonts w:hint="eastAsia" w:ascii="黑体" w:hAnsi="宋体"/>
          <w:b w:val="0"/>
          <w:color w:val="auto"/>
          <w:sz w:val="24"/>
          <w:szCs w:val="24"/>
          <w:highlight w:val="none"/>
        </w:rPr>
        <w:t xml:space="preserve"> 评标委员会</w:t>
      </w:r>
      <w:bookmarkEnd w:id="349"/>
      <w:bookmarkEnd w:id="350"/>
      <w:bookmarkEnd w:id="351"/>
      <w:bookmarkEnd w:id="352"/>
      <w:bookmarkEnd w:id="353"/>
      <w:bookmarkEnd w:id="354"/>
    </w:p>
    <w:p>
      <w:pPr>
        <w:spacing w:line="324" w:lineRule="auto"/>
        <w:ind w:firstLine="480" w:firstLineChars="200"/>
        <w:rPr>
          <w:color w:val="auto"/>
          <w:sz w:val="24"/>
          <w:highlight w:val="none"/>
        </w:rPr>
      </w:pPr>
      <w:r>
        <w:rPr>
          <w:rFonts w:hint="eastAsia"/>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24" w:lineRule="auto"/>
        <w:ind w:firstLine="480" w:firstLineChars="200"/>
        <w:rPr>
          <w:color w:val="auto"/>
          <w:sz w:val="24"/>
          <w:highlight w:val="none"/>
        </w:rPr>
      </w:pPr>
      <w:r>
        <w:rPr>
          <w:rFonts w:hint="eastAsia"/>
          <w:color w:val="auto"/>
          <w:sz w:val="24"/>
          <w:highlight w:val="none"/>
        </w:rPr>
        <w:t>6.1.2  评标委员会成员有下列情形之一的，应当回避：</w:t>
      </w:r>
    </w:p>
    <w:p>
      <w:pPr>
        <w:spacing w:line="324" w:lineRule="auto"/>
        <w:ind w:firstLine="480" w:firstLineChars="200"/>
        <w:rPr>
          <w:color w:val="auto"/>
          <w:sz w:val="24"/>
          <w:highlight w:val="none"/>
        </w:rPr>
      </w:pPr>
      <w:r>
        <w:rPr>
          <w:rFonts w:hint="eastAsia"/>
          <w:color w:val="auto"/>
          <w:sz w:val="24"/>
          <w:highlight w:val="none"/>
        </w:rPr>
        <w:t>（1）招标人或投标人主要负责人的近亲属；</w:t>
      </w:r>
    </w:p>
    <w:p>
      <w:pPr>
        <w:spacing w:line="324" w:lineRule="auto"/>
        <w:ind w:firstLine="480" w:firstLineChars="200"/>
        <w:rPr>
          <w:color w:val="auto"/>
          <w:sz w:val="24"/>
          <w:highlight w:val="none"/>
        </w:rPr>
      </w:pPr>
      <w:r>
        <w:rPr>
          <w:rFonts w:hint="eastAsia"/>
          <w:color w:val="auto"/>
          <w:sz w:val="24"/>
          <w:highlight w:val="none"/>
        </w:rPr>
        <w:t>（2）项目主管部门或者行政监督部门的人员；</w:t>
      </w:r>
    </w:p>
    <w:p>
      <w:pPr>
        <w:spacing w:line="324" w:lineRule="auto"/>
        <w:ind w:firstLine="480" w:firstLineChars="200"/>
        <w:rPr>
          <w:color w:val="auto"/>
          <w:sz w:val="24"/>
          <w:highlight w:val="none"/>
        </w:rPr>
      </w:pPr>
      <w:r>
        <w:rPr>
          <w:rFonts w:hint="eastAsia"/>
          <w:color w:val="auto"/>
          <w:sz w:val="24"/>
          <w:highlight w:val="none"/>
        </w:rPr>
        <w:t>（3）与投标人有经济利益关系，可能影响投标公正评审的；</w:t>
      </w:r>
    </w:p>
    <w:p>
      <w:pPr>
        <w:spacing w:line="324" w:lineRule="auto"/>
        <w:ind w:firstLine="480" w:firstLineChars="200"/>
        <w:rPr>
          <w:color w:val="auto"/>
          <w:sz w:val="24"/>
          <w:highlight w:val="none"/>
        </w:rPr>
      </w:pPr>
      <w:r>
        <w:rPr>
          <w:rFonts w:hint="eastAsia"/>
          <w:color w:val="auto"/>
          <w:sz w:val="24"/>
          <w:highlight w:val="none"/>
        </w:rPr>
        <w:t>（4）曾因在招标、评标及其他与招标投标有关活动中从事违法行为而受过行政处罚或刑事处罚的；</w:t>
      </w:r>
    </w:p>
    <w:p>
      <w:pPr>
        <w:spacing w:line="324" w:lineRule="auto"/>
        <w:ind w:firstLine="480" w:firstLineChars="200"/>
        <w:rPr>
          <w:color w:val="auto"/>
          <w:sz w:val="24"/>
          <w:highlight w:val="none"/>
        </w:rPr>
      </w:pPr>
      <w:r>
        <w:rPr>
          <w:rFonts w:hint="eastAsia"/>
          <w:color w:val="auto"/>
          <w:sz w:val="24"/>
          <w:highlight w:val="none"/>
        </w:rPr>
        <w:t>（5）与投标人有其他利害关系的。</w:t>
      </w:r>
    </w:p>
    <w:p>
      <w:pPr>
        <w:pStyle w:val="4"/>
        <w:spacing w:before="0" w:after="0" w:line="324" w:lineRule="auto"/>
        <w:ind w:firstLine="481" w:firstLineChars="200"/>
        <w:rPr>
          <w:rFonts w:ascii="黑体" w:hAnsi="宋体"/>
          <w:b w:val="0"/>
          <w:color w:val="auto"/>
          <w:sz w:val="24"/>
          <w:szCs w:val="24"/>
          <w:highlight w:val="none"/>
        </w:rPr>
      </w:pPr>
      <w:bookmarkStart w:id="355" w:name="_Toc144974532"/>
      <w:bookmarkStart w:id="356" w:name="_Toc152042340"/>
      <w:bookmarkStart w:id="357" w:name="_Toc152045564"/>
      <w:bookmarkStart w:id="358" w:name="_Toc356567814"/>
      <w:bookmarkStart w:id="359" w:name="_Toc487619461"/>
      <w:bookmarkStart w:id="360" w:name="_Toc487291490"/>
      <w:bookmarkStart w:id="361" w:name="_Toc487653379"/>
      <w:bookmarkStart w:id="362" w:name="_Toc341805134"/>
      <w:bookmarkStart w:id="363" w:name="_Toc488650812"/>
      <w:r>
        <w:rPr>
          <w:rFonts w:hint="eastAsia" w:ascii="黑体" w:hAnsi="宋体"/>
          <w:color w:val="auto"/>
          <w:sz w:val="24"/>
          <w:szCs w:val="24"/>
          <w:highlight w:val="none"/>
        </w:rPr>
        <w:t xml:space="preserve">6.2 </w:t>
      </w:r>
      <w:r>
        <w:rPr>
          <w:rFonts w:hint="eastAsia" w:ascii="黑体" w:hAnsi="宋体"/>
          <w:b w:val="0"/>
          <w:color w:val="auto"/>
          <w:sz w:val="24"/>
          <w:szCs w:val="24"/>
          <w:highlight w:val="none"/>
        </w:rPr>
        <w:t xml:space="preserve"> </w:t>
      </w:r>
      <w:bookmarkEnd w:id="355"/>
      <w:bookmarkEnd w:id="356"/>
      <w:bookmarkEnd w:id="357"/>
      <w:r>
        <w:rPr>
          <w:rFonts w:hint="eastAsia" w:ascii="黑体" w:hAnsi="宋体"/>
          <w:b w:val="0"/>
          <w:color w:val="auto"/>
          <w:sz w:val="24"/>
          <w:szCs w:val="24"/>
          <w:highlight w:val="none"/>
        </w:rPr>
        <w:t>评标原则</w:t>
      </w:r>
      <w:bookmarkEnd w:id="358"/>
      <w:bookmarkEnd w:id="359"/>
      <w:bookmarkEnd w:id="360"/>
      <w:bookmarkEnd w:id="361"/>
      <w:bookmarkEnd w:id="362"/>
      <w:bookmarkEnd w:id="363"/>
      <w:r>
        <w:rPr>
          <w:rFonts w:ascii="黑体" w:hAnsi="宋体"/>
          <w:b w:val="0"/>
          <w:color w:val="auto"/>
          <w:sz w:val="24"/>
          <w:szCs w:val="24"/>
          <w:highlight w:val="none"/>
        </w:rPr>
        <w:tab/>
      </w:r>
    </w:p>
    <w:p>
      <w:pPr>
        <w:spacing w:line="324" w:lineRule="auto"/>
        <w:ind w:firstLine="480" w:firstLineChars="200"/>
        <w:rPr>
          <w:color w:val="auto"/>
          <w:sz w:val="24"/>
          <w:highlight w:val="none"/>
        </w:rPr>
      </w:pPr>
      <w:r>
        <w:rPr>
          <w:rFonts w:hint="eastAsia"/>
          <w:color w:val="auto"/>
          <w:sz w:val="24"/>
          <w:highlight w:val="none"/>
        </w:rPr>
        <w:t>评标活动遵循公平、公正、科学和择优的原则，按照招标文件规定的标准和方法，对投标文件进行评审和比较。</w:t>
      </w:r>
    </w:p>
    <w:p>
      <w:pPr>
        <w:pStyle w:val="4"/>
        <w:spacing w:before="0" w:after="0" w:line="324" w:lineRule="auto"/>
        <w:ind w:firstLine="481" w:firstLineChars="200"/>
        <w:rPr>
          <w:rFonts w:ascii="黑体" w:hAnsi="宋体"/>
          <w:b w:val="0"/>
          <w:color w:val="auto"/>
          <w:sz w:val="24"/>
          <w:szCs w:val="24"/>
          <w:highlight w:val="none"/>
        </w:rPr>
      </w:pPr>
      <w:bookmarkStart w:id="364" w:name="_Toc152042341"/>
      <w:bookmarkStart w:id="365" w:name="_Toc356567815"/>
      <w:bookmarkStart w:id="366" w:name="_Toc487619462"/>
      <w:bookmarkStart w:id="367" w:name="_Toc488650813"/>
      <w:bookmarkStart w:id="368" w:name="_Toc144974533"/>
      <w:bookmarkStart w:id="369" w:name="_Toc341805135"/>
      <w:bookmarkStart w:id="370" w:name="_Toc487291491"/>
      <w:bookmarkStart w:id="371" w:name="_Toc152045565"/>
      <w:bookmarkStart w:id="372" w:name="_Toc487653380"/>
      <w:r>
        <w:rPr>
          <w:rFonts w:hint="eastAsia" w:ascii="黑体" w:hAnsi="宋体"/>
          <w:color w:val="auto"/>
          <w:sz w:val="24"/>
          <w:szCs w:val="24"/>
          <w:highlight w:val="none"/>
        </w:rPr>
        <w:t xml:space="preserve">6.3 </w:t>
      </w:r>
      <w:r>
        <w:rPr>
          <w:rFonts w:hint="eastAsia" w:ascii="黑体" w:hAnsi="宋体"/>
          <w:b w:val="0"/>
          <w:color w:val="auto"/>
          <w:sz w:val="24"/>
          <w:szCs w:val="24"/>
          <w:highlight w:val="none"/>
        </w:rPr>
        <w:t xml:space="preserve"> 评标</w:t>
      </w:r>
      <w:bookmarkEnd w:id="364"/>
      <w:bookmarkEnd w:id="365"/>
      <w:bookmarkEnd w:id="366"/>
      <w:bookmarkEnd w:id="367"/>
      <w:bookmarkEnd w:id="368"/>
      <w:bookmarkEnd w:id="369"/>
      <w:bookmarkEnd w:id="370"/>
      <w:bookmarkEnd w:id="371"/>
      <w:bookmarkEnd w:id="372"/>
    </w:p>
    <w:p>
      <w:pPr>
        <w:spacing w:line="324" w:lineRule="auto"/>
        <w:ind w:firstLine="480" w:firstLineChars="200"/>
        <w:rPr>
          <w:color w:val="auto"/>
          <w:sz w:val="24"/>
          <w:highlight w:val="none"/>
        </w:rPr>
      </w:pPr>
      <w:r>
        <w:rPr>
          <w:rFonts w:hint="eastAsia"/>
          <w:color w:val="auto"/>
          <w:sz w:val="24"/>
          <w:highlight w:val="none"/>
        </w:rPr>
        <w:t>评标委员会按照第三章“评标办法”规定的方法、评审因素、标准和程序对投标文件进行评审。第三章“评标办法”没有规定的方法、评审因素、标准，不作为评标依据。</w:t>
      </w:r>
    </w:p>
    <w:p>
      <w:pPr>
        <w:pStyle w:val="4"/>
        <w:spacing w:before="0" w:after="0" w:line="324" w:lineRule="auto"/>
        <w:ind w:firstLine="421" w:firstLineChars="175"/>
        <w:rPr>
          <w:rFonts w:hint="eastAsia" w:ascii="黑体" w:hAnsi="宋体"/>
          <w:color w:val="auto"/>
          <w:sz w:val="24"/>
          <w:szCs w:val="24"/>
          <w:highlight w:val="none"/>
        </w:rPr>
      </w:pPr>
      <w:bookmarkStart w:id="373" w:name="_Toc341805136"/>
      <w:bookmarkStart w:id="374" w:name="_Toc152042342"/>
      <w:bookmarkStart w:id="375" w:name="_Toc152045566"/>
      <w:bookmarkStart w:id="376" w:name="_Toc286759038"/>
      <w:bookmarkStart w:id="377" w:name="_Toc283558699"/>
      <w:bookmarkStart w:id="378" w:name="_Toc488650814"/>
      <w:bookmarkStart w:id="379" w:name="_Toc144974534"/>
      <w:bookmarkStart w:id="380" w:name="_Toc307991155"/>
      <w:bookmarkStart w:id="381" w:name="_Toc487291492"/>
      <w:bookmarkStart w:id="382" w:name="_Toc330384403"/>
      <w:bookmarkStart w:id="383" w:name="_Toc283559196"/>
      <w:r>
        <w:rPr>
          <w:rFonts w:hint="eastAsia" w:ascii="黑体" w:hAnsi="宋体"/>
          <w:color w:val="auto"/>
          <w:sz w:val="24"/>
          <w:szCs w:val="24"/>
          <w:highlight w:val="none"/>
        </w:rPr>
        <w:t>6.4 定标候选人公示</w:t>
      </w:r>
    </w:p>
    <w:p>
      <w:pPr>
        <w:spacing w:line="360" w:lineRule="auto"/>
        <w:ind w:firstLine="420"/>
        <w:rPr>
          <w:rFonts w:hint="eastAsia" w:ascii="宋体" w:hAnsi="宋体" w:cs="宋体"/>
          <w:color w:val="auto"/>
          <w:kern w:val="1"/>
          <w:sz w:val="24"/>
          <w:highlight w:val="none"/>
        </w:rPr>
      </w:pPr>
      <w:r>
        <w:rPr>
          <w:rFonts w:hint="eastAsia" w:ascii="宋体" w:hAnsi="宋体" w:cs="宋体"/>
          <w:color w:val="auto"/>
          <w:kern w:val="1"/>
          <w:sz w:val="24"/>
          <w:highlight w:val="none"/>
        </w:rPr>
        <w:t>6.4.1招标人在投标人须知前附表规定的媒介公示定标候选人。定标候选人公示的格式见附件。</w:t>
      </w:r>
    </w:p>
    <w:p>
      <w:pPr>
        <w:spacing w:line="360" w:lineRule="auto"/>
        <w:ind w:firstLine="420"/>
        <w:rPr>
          <w:rFonts w:ascii="宋体" w:hAnsi="宋体" w:cs="宋体"/>
          <w:color w:val="auto"/>
          <w:kern w:val="1"/>
          <w:sz w:val="24"/>
          <w:highlight w:val="none"/>
        </w:rPr>
      </w:pPr>
      <w:r>
        <w:rPr>
          <w:rFonts w:hint="eastAsia" w:ascii="宋体" w:hAnsi="宋体" w:cs="宋体"/>
          <w:color w:val="auto"/>
          <w:kern w:val="1"/>
          <w:sz w:val="24"/>
          <w:highlight w:val="none"/>
        </w:rPr>
        <w:t>6.4.2</w:t>
      </w:r>
      <w:r>
        <w:rPr>
          <w:rFonts w:hint="eastAsia"/>
          <w:color w:val="auto"/>
          <w:sz w:val="24"/>
          <w:highlight w:val="none"/>
        </w:rPr>
        <w:t>依法必须进行招标的项目，</w:t>
      </w:r>
      <w:r>
        <w:rPr>
          <w:rFonts w:hint="eastAsia"/>
          <w:snapToGrid w:val="0"/>
          <w:color w:val="auto"/>
          <w:kern w:val="0"/>
          <w:sz w:val="24"/>
          <w:highlight w:val="none"/>
        </w:rPr>
        <w:t>招标人自收到评标报告之日起3日内公示定标候选人，公示期不得少于3日，投标人或其他利害关系人对评标结果有异议的，应在定标候选人公示期间提出。招标人在自收到异议之日起3日内作出答复；作出答复前，应暂停招标投标活动。</w:t>
      </w:r>
      <w:r>
        <w:rPr>
          <w:rFonts w:hint="eastAsia"/>
          <w:color w:val="auto"/>
          <w:sz w:val="24"/>
          <w:highlight w:val="none"/>
        </w:rPr>
        <w:t>定标候选人经公示无异议、招标人可进行请标、定标工作。</w:t>
      </w:r>
    </w:p>
    <w:p>
      <w:pPr>
        <w:pStyle w:val="4"/>
        <w:spacing w:before="0" w:after="0" w:line="324" w:lineRule="auto"/>
        <w:ind w:firstLine="562" w:firstLineChars="200"/>
        <w:rPr>
          <w:color w:val="auto"/>
          <w:highlight w:val="none"/>
        </w:rPr>
      </w:pPr>
      <w:r>
        <w:rPr>
          <w:rFonts w:hint="eastAsia"/>
          <w:color w:val="auto"/>
          <w:highlight w:val="none"/>
        </w:rPr>
        <w:t>7．定标与合同授予</w:t>
      </w:r>
      <w:bookmarkEnd w:id="373"/>
      <w:bookmarkEnd w:id="374"/>
      <w:bookmarkEnd w:id="375"/>
      <w:bookmarkEnd w:id="376"/>
      <w:bookmarkEnd w:id="377"/>
      <w:bookmarkEnd w:id="378"/>
      <w:bookmarkEnd w:id="379"/>
      <w:bookmarkEnd w:id="380"/>
      <w:bookmarkEnd w:id="381"/>
      <w:bookmarkEnd w:id="382"/>
      <w:bookmarkEnd w:id="383"/>
    </w:p>
    <w:p>
      <w:pPr>
        <w:pStyle w:val="4"/>
        <w:spacing w:before="0" w:after="0" w:line="324" w:lineRule="auto"/>
        <w:ind w:firstLine="481" w:firstLineChars="200"/>
        <w:rPr>
          <w:rFonts w:ascii="黑体" w:hAnsi="宋体"/>
          <w:b w:val="0"/>
          <w:color w:val="auto"/>
          <w:sz w:val="24"/>
          <w:szCs w:val="24"/>
          <w:highlight w:val="none"/>
        </w:rPr>
      </w:pPr>
      <w:bookmarkStart w:id="384" w:name="_Toc487653382"/>
      <w:bookmarkStart w:id="385" w:name="_Toc341805137"/>
      <w:bookmarkStart w:id="386" w:name="_Toc152045567"/>
      <w:bookmarkStart w:id="387" w:name="_Toc152042343"/>
      <w:bookmarkStart w:id="388" w:name="_Toc488650815"/>
      <w:bookmarkStart w:id="389" w:name="_Toc487291493"/>
      <w:bookmarkStart w:id="390" w:name="_Toc487619464"/>
      <w:bookmarkStart w:id="391" w:name="_Toc144974535"/>
      <w:bookmarkStart w:id="392" w:name="_Toc356567817"/>
      <w:r>
        <w:rPr>
          <w:rFonts w:hint="eastAsia" w:ascii="黑体" w:hAnsi="宋体"/>
          <w:color w:val="auto"/>
          <w:sz w:val="24"/>
          <w:szCs w:val="24"/>
          <w:highlight w:val="none"/>
        </w:rPr>
        <w:t>7.1</w:t>
      </w:r>
      <w:r>
        <w:rPr>
          <w:rFonts w:hint="eastAsia" w:ascii="黑体" w:hAnsi="宋体"/>
          <w:b w:val="0"/>
          <w:color w:val="auto"/>
          <w:sz w:val="24"/>
          <w:szCs w:val="24"/>
          <w:highlight w:val="none"/>
        </w:rPr>
        <w:t xml:space="preserve">  定标方式</w:t>
      </w:r>
      <w:bookmarkEnd w:id="384"/>
      <w:bookmarkEnd w:id="385"/>
      <w:bookmarkEnd w:id="386"/>
      <w:bookmarkEnd w:id="387"/>
      <w:bookmarkEnd w:id="388"/>
      <w:bookmarkEnd w:id="389"/>
      <w:bookmarkEnd w:id="390"/>
      <w:bookmarkEnd w:id="391"/>
      <w:bookmarkEnd w:id="392"/>
    </w:p>
    <w:p>
      <w:pPr>
        <w:spacing w:line="324" w:lineRule="auto"/>
        <w:ind w:firstLine="480" w:firstLineChars="200"/>
        <w:rPr>
          <w:rFonts w:hint="eastAsia"/>
          <w:color w:val="auto"/>
          <w:sz w:val="24"/>
          <w:highlight w:val="none"/>
        </w:rPr>
      </w:pPr>
      <w:r>
        <w:rPr>
          <w:rFonts w:hint="eastAsia"/>
          <w:color w:val="auto"/>
          <w:sz w:val="24"/>
          <w:highlight w:val="none"/>
        </w:rPr>
        <w:t>7.1.1定标委员会</w:t>
      </w:r>
    </w:p>
    <w:p>
      <w:pPr>
        <w:spacing w:line="324" w:lineRule="auto"/>
        <w:ind w:firstLine="480" w:firstLineChars="200"/>
        <w:rPr>
          <w:rFonts w:hint="eastAsia"/>
          <w:color w:val="auto"/>
          <w:sz w:val="24"/>
          <w:highlight w:val="none"/>
        </w:rPr>
      </w:pPr>
      <w:r>
        <w:rPr>
          <w:rFonts w:hint="eastAsia"/>
          <w:color w:val="auto"/>
          <w:sz w:val="24"/>
          <w:highlight w:val="none"/>
        </w:rPr>
        <w:t>定标由定标委员会负责，定标委员会按照第四章“定标办法”规定的规则组建。定标委员会根据定标规则和定标方案在评标委员会推荐的定标候选人中进行定标，确定中标人。</w:t>
      </w:r>
    </w:p>
    <w:p>
      <w:pPr>
        <w:spacing w:line="324" w:lineRule="auto"/>
        <w:ind w:firstLine="480" w:firstLineChars="200"/>
        <w:rPr>
          <w:rFonts w:hint="eastAsia"/>
          <w:color w:val="auto"/>
          <w:sz w:val="24"/>
          <w:highlight w:val="none"/>
        </w:rPr>
      </w:pPr>
      <w:r>
        <w:rPr>
          <w:rFonts w:hint="eastAsia"/>
          <w:color w:val="auto"/>
          <w:sz w:val="24"/>
          <w:highlight w:val="none"/>
        </w:rPr>
        <w:t>7.1.2 定标办法</w:t>
      </w:r>
    </w:p>
    <w:p>
      <w:pPr>
        <w:spacing w:line="324" w:lineRule="auto"/>
        <w:ind w:firstLine="480" w:firstLineChars="200"/>
        <w:rPr>
          <w:color w:val="auto"/>
          <w:sz w:val="24"/>
          <w:highlight w:val="none"/>
        </w:rPr>
      </w:pPr>
      <w:r>
        <w:rPr>
          <w:rFonts w:hint="eastAsia"/>
          <w:color w:val="auto"/>
          <w:sz w:val="24"/>
          <w:highlight w:val="none"/>
        </w:rPr>
        <w:t>定标委员会按照第四章“定标办法”规定的方法、规则、标准和程序在定标候选人中定标，确定中标定人，定标办法中使用的定标票决办法见投标人须知前附表。第四章“定标办法”没有规定的方法、规则、标准，不作为定标依据。</w:t>
      </w:r>
    </w:p>
    <w:p>
      <w:pPr>
        <w:pStyle w:val="4"/>
        <w:spacing w:before="0" w:after="0" w:line="324" w:lineRule="auto"/>
        <w:ind w:firstLine="481" w:firstLineChars="200"/>
        <w:rPr>
          <w:rFonts w:ascii="黑体" w:hAnsi="宋体"/>
          <w:b w:val="0"/>
          <w:color w:val="auto"/>
          <w:sz w:val="24"/>
          <w:szCs w:val="24"/>
          <w:highlight w:val="none"/>
        </w:rPr>
      </w:pPr>
      <w:bookmarkStart w:id="393" w:name="_Toc152042344"/>
      <w:bookmarkStart w:id="394" w:name="_Toc356567818"/>
      <w:bookmarkStart w:id="395" w:name="_Toc487291494"/>
      <w:bookmarkStart w:id="396" w:name="_Toc487653383"/>
      <w:bookmarkStart w:id="397" w:name="_Toc341805138"/>
      <w:bookmarkStart w:id="398" w:name="_Toc487619465"/>
      <w:bookmarkStart w:id="399" w:name="_Toc488650816"/>
      <w:bookmarkStart w:id="400" w:name="_Toc152045568"/>
      <w:bookmarkStart w:id="401" w:name="_Toc144974536"/>
      <w:r>
        <w:rPr>
          <w:rFonts w:hint="eastAsia" w:ascii="黑体" w:hAnsi="宋体"/>
          <w:color w:val="auto"/>
          <w:sz w:val="24"/>
          <w:szCs w:val="24"/>
          <w:highlight w:val="none"/>
        </w:rPr>
        <w:t xml:space="preserve">7.2 </w:t>
      </w:r>
      <w:r>
        <w:rPr>
          <w:rFonts w:hint="eastAsia" w:ascii="黑体" w:hAnsi="宋体"/>
          <w:b w:val="0"/>
          <w:color w:val="auto"/>
          <w:sz w:val="24"/>
          <w:szCs w:val="24"/>
          <w:highlight w:val="none"/>
        </w:rPr>
        <w:t xml:space="preserve"> 中标通知</w:t>
      </w:r>
      <w:bookmarkEnd w:id="393"/>
      <w:bookmarkEnd w:id="394"/>
      <w:bookmarkEnd w:id="395"/>
      <w:bookmarkEnd w:id="396"/>
      <w:bookmarkEnd w:id="397"/>
      <w:bookmarkEnd w:id="398"/>
      <w:bookmarkEnd w:id="399"/>
      <w:bookmarkEnd w:id="400"/>
      <w:bookmarkEnd w:id="401"/>
    </w:p>
    <w:p>
      <w:pPr>
        <w:spacing w:line="324" w:lineRule="auto"/>
        <w:ind w:firstLine="480" w:firstLineChars="200"/>
        <w:rPr>
          <w:color w:val="auto"/>
          <w:sz w:val="24"/>
          <w:highlight w:val="none"/>
        </w:rPr>
      </w:pPr>
      <w:r>
        <w:rPr>
          <w:rFonts w:hint="eastAsia"/>
          <w:color w:val="auto"/>
          <w:sz w:val="24"/>
          <w:highlight w:val="none"/>
        </w:rPr>
        <w:t>7.2</w:t>
      </w:r>
      <w:r>
        <w:rPr>
          <w:color w:val="auto"/>
          <w:sz w:val="24"/>
          <w:highlight w:val="none"/>
        </w:rPr>
        <w:t>.1</w:t>
      </w:r>
      <w:r>
        <w:rPr>
          <w:rFonts w:hint="eastAsia"/>
          <w:color w:val="auto"/>
          <w:sz w:val="24"/>
          <w:highlight w:val="none"/>
        </w:rPr>
        <w:t xml:space="preserve">  在本章第3.3条规定的</w:t>
      </w:r>
      <w:r>
        <w:rPr>
          <w:color w:val="auto"/>
          <w:sz w:val="24"/>
          <w:highlight w:val="none"/>
        </w:rPr>
        <w:t>投标有效期内，</w:t>
      </w:r>
      <w:r>
        <w:rPr>
          <w:rFonts w:hint="eastAsia"/>
          <w:color w:val="auto"/>
          <w:sz w:val="24"/>
          <w:highlight w:val="none"/>
        </w:rPr>
        <w:t>招标人以书面形式</w:t>
      </w:r>
      <w:r>
        <w:rPr>
          <w:color w:val="auto"/>
          <w:sz w:val="24"/>
          <w:highlight w:val="none"/>
        </w:rPr>
        <w:t>向中标人发出中标通知书，</w:t>
      </w:r>
      <w:r>
        <w:rPr>
          <w:rFonts w:hint="eastAsia"/>
          <w:color w:val="auto"/>
          <w:sz w:val="24"/>
          <w:highlight w:val="none"/>
        </w:rPr>
        <w:t>同时将中标结果通知未中标的投标人</w:t>
      </w:r>
      <w:r>
        <w:rPr>
          <w:color w:val="auto"/>
          <w:sz w:val="24"/>
          <w:highlight w:val="none"/>
        </w:rPr>
        <w:t>。投标人在收到中标通知书后</w:t>
      </w:r>
      <w:r>
        <w:rPr>
          <w:rFonts w:hint="eastAsia"/>
          <w:color w:val="auto"/>
          <w:sz w:val="24"/>
          <w:highlight w:val="none"/>
        </w:rPr>
        <w:t>，应在投标人须知前附表规定的时间内以书面形式进行确认。</w:t>
      </w:r>
    </w:p>
    <w:p>
      <w:pPr>
        <w:spacing w:line="324" w:lineRule="auto"/>
        <w:ind w:firstLine="480" w:firstLineChars="200"/>
        <w:rPr>
          <w:color w:val="auto"/>
          <w:sz w:val="24"/>
          <w:highlight w:val="none"/>
        </w:rPr>
      </w:pPr>
      <w:r>
        <w:rPr>
          <w:rFonts w:hint="eastAsia"/>
          <w:color w:val="auto"/>
          <w:sz w:val="24"/>
          <w:highlight w:val="none"/>
        </w:rPr>
        <w:t>7.2.2</w:t>
      </w:r>
      <w:r>
        <w:rPr>
          <w:color w:val="auto"/>
          <w:sz w:val="24"/>
          <w:highlight w:val="none"/>
        </w:rPr>
        <w:t xml:space="preserve"> </w:t>
      </w:r>
      <w:r>
        <w:rPr>
          <w:rFonts w:hint="eastAsia"/>
          <w:color w:val="auto"/>
          <w:sz w:val="24"/>
          <w:highlight w:val="none"/>
        </w:rPr>
        <w:t xml:space="preserve"> 定标候选人的经营、财务状况发生较大变化或者存在违法行为，招标人认为可能影响其履约能力的，应当在发出中标通知书前由原评标委员会按照招标文件规定的标准和方法审查确认。</w:t>
      </w:r>
    </w:p>
    <w:p>
      <w:pPr>
        <w:spacing w:line="324" w:lineRule="auto"/>
        <w:ind w:firstLine="480" w:firstLineChars="200"/>
        <w:rPr>
          <w:rFonts w:hint="eastAsia" w:ascii="黑体" w:hAnsi="宋体"/>
          <w:color w:val="auto"/>
          <w:sz w:val="24"/>
          <w:highlight w:val="none"/>
        </w:rPr>
      </w:pPr>
      <w:r>
        <w:rPr>
          <w:rFonts w:hint="eastAsia"/>
          <w:color w:val="auto"/>
          <w:sz w:val="24"/>
          <w:highlight w:val="none"/>
        </w:rPr>
        <w:t>7.2.3  投标人相互串通投标或者与招标人串通投标的，投标人向招标人或者评标委员会成员行贿谋取中标的，中标无效。</w:t>
      </w:r>
      <w:bookmarkStart w:id="402" w:name="_Toc152045569"/>
      <w:bookmarkStart w:id="403" w:name="_Toc152042345"/>
      <w:bookmarkStart w:id="404" w:name="_Toc144974537"/>
      <w:bookmarkStart w:id="405" w:name="_Toc487291495"/>
      <w:bookmarkStart w:id="406" w:name="_Toc487653384"/>
      <w:bookmarkStart w:id="407" w:name="_Toc356567819"/>
      <w:bookmarkStart w:id="408" w:name="_Toc341805139"/>
      <w:bookmarkStart w:id="409" w:name="_Toc488650817"/>
      <w:bookmarkStart w:id="410" w:name="_Toc487619466"/>
    </w:p>
    <w:p>
      <w:pPr>
        <w:pStyle w:val="116"/>
        <w:tabs>
          <w:tab w:val="left" w:pos="1450"/>
        </w:tabs>
        <w:spacing w:line="300" w:lineRule="auto"/>
        <w:ind w:firstLine="480"/>
        <w:rPr>
          <w:rFonts w:hint="eastAsia"/>
          <w:color w:val="auto"/>
          <w:sz w:val="24"/>
          <w:szCs w:val="24"/>
          <w:highlight w:val="none"/>
        </w:rPr>
      </w:pPr>
      <w:r>
        <w:rPr>
          <w:rFonts w:hint="eastAsia"/>
          <w:color w:val="auto"/>
          <w:sz w:val="24"/>
          <w:szCs w:val="24"/>
          <w:highlight w:val="none"/>
        </w:rPr>
        <w:t>7.2.4中标结果公示</w:t>
      </w:r>
    </w:p>
    <w:p>
      <w:pPr>
        <w:pStyle w:val="17"/>
        <w:spacing w:after="0" w:line="300" w:lineRule="auto"/>
        <w:ind w:firstLine="479"/>
        <w:rPr>
          <w:rFonts w:hint="eastAsia" w:ascii="宋体" w:hAnsi="宋体" w:cs="宋体"/>
          <w:color w:val="auto"/>
          <w:sz w:val="24"/>
          <w:highlight w:val="none"/>
        </w:rPr>
      </w:pPr>
      <w:r>
        <w:rPr>
          <w:rFonts w:hint="eastAsia" w:ascii="宋体" w:hAnsi="宋体" w:cs="宋体"/>
          <w:color w:val="auto"/>
          <w:sz w:val="24"/>
          <w:highlight w:val="none"/>
        </w:rPr>
        <w:t>招标人在确定中标人之日起3日内，按照投标人须知前附表规定的公告媒介和期限公告中标结果，公告期不得少于10日。公告内容包括中标人名称、中标价、中标人本项目信用分使用情况。</w:t>
      </w:r>
    </w:p>
    <w:p>
      <w:pPr>
        <w:spacing w:line="324" w:lineRule="auto"/>
        <w:ind w:firstLine="480" w:firstLineChars="200"/>
        <w:rPr>
          <w:rFonts w:ascii="黑体" w:hAnsi="宋体"/>
          <w:b/>
          <w:color w:val="auto"/>
          <w:sz w:val="24"/>
          <w:highlight w:val="none"/>
        </w:rPr>
      </w:pPr>
      <w:r>
        <w:rPr>
          <w:rFonts w:hint="eastAsia" w:ascii="黑体" w:hAnsi="宋体"/>
          <w:color w:val="auto"/>
          <w:sz w:val="24"/>
          <w:highlight w:val="none"/>
        </w:rPr>
        <w:t xml:space="preserve">7.3 </w:t>
      </w:r>
      <w:r>
        <w:rPr>
          <w:rFonts w:hint="eastAsia" w:ascii="黑体" w:hAnsi="宋体"/>
          <w:b/>
          <w:color w:val="auto"/>
          <w:sz w:val="24"/>
          <w:highlight w:val="none"/>
        </w:rPr>
        <w:t xml:space="preserve"> </w:t>
      </w:r>
      <w:bookmarkEnd w:id="402"/>
      <w:bookmarkEnd w:id="403"/>
      <w:bookmarkEnd w:id="404"/>
      <w:r>
        <w:rPr>
          <w:rFonts w:hint="eastAsia" w:ascii="黑体" w:hAnsi="宋体"/>
          <w:b/>
          <w:color w:val="auto"/>
          <w:sz w:val="24"/>
          <w:highlight w:val="none"/>
        </w:rPr>
        <w:t>履约保证金</w:t>
      </w:r>
      <w:bookmarkEnd w:id="405"/>
      <w:bookmarkEnd w:id="406"/>
      <w:bookmarkEnd w:id="407"/>
      <w:bookmarkEnd w:id="408"/>
      <w:bookmarkEnd w:id="409"/>
      <w:bookmarkEnd w:id="410"/>
    </w:p>
    <w:p>
      <w:pPr>
        <w:spacing w:line="324" w:lineRule="auto"/>
        <w:ind w:firstLine="480" w:firstLineChars="200"/>
        <w:rPr>
          <w:color w:val="auto"/>
          <w:sz w:val="24"/>
          <w:highlight w:val="none"/>
        </w:rPr>
      </w:pPr>
      <w:r>
        <w:rPr>
          <w:rFonts w:hint="eastAsia"/>
          <w:color w:val="auto"/>
          <w:sz w:val="24"/>
          <w:highlight w:val="none"/>
        </w:rPr>
        <w:t>7.3.1  在签订合同前，中标人应按投标人须知前附表规定的金额、担保形式和招标文件第</w:t>
      </w:r>
      <w:r>
        <w:rPr>
          <w:rFonts w:hint="eastAsia"/>
          <w:color w:val="auto"/>
          <w:sz w:val="24"/>
          <w:highlight w:val="none"/>
          <w:lang w:eastAsia="zh-CN"/>
        </w:rPr>
        <w:t>五</w:t>
      </w:r>
      <w:r>
        <w:rPr>
          <w:rFonts w:hint="eastAsia"/>
          <w:color w:val="auto"/>
          <w:sz w:val="24"/>
          <w:highlight w:val="none"/>
        </w:rPr>
        <w:t>章规定的格式向招标人提交履约保证金。联合体中标的，其履约保证金由牵头人提交，并应符合投标人须知前附表规定的金额、担保形式和招标文件规定的履约保证金格式要求。</w:t>
      </w:r>
    </w:p>
    <w:p>
      <w:pPr>
        <w:spacing w:line="324" w:lineRule="auto"/>
        <w:ind w:firstLine="480" w:firstLineChars="200"/>
        <w:rPr>
          <w:color w:val="auto"/>
          <w:sz w:val="24"/>
          <w:highlight w:val="none"/>
        </w:rPr>
      </w:pPr>
      <w:r>
        <w:rPr>
          <w:rFonts w:hint="eastAsia"/>
          <w:color w:val="auto"/>
          <w:sz w:val="24"/>
          <w:highlight w:val="none"/>
        </w:rPr>
        <w:t>7.3.2  中标人不能按本章第7.3.1款要求提交履约保证金的，视为放弃中标，其投标保证金不予退还，</w:t>
      </w:r>
      <w:bookmarkStart w:id="411" w:name="OLE_LINK7"/>
      <w:r>
        <w:rPr>
          <w:rFonts w:hint="eastAsia"/>
          <w:color w:val="auto"/>
          <w:sz w:val="24"/>
          <w:highlight w:val="none"/>
        </w:rPr>
        <w:t>给招标人造成的损失超过投标保证金数额的，中标人还应当对超过部分予以赔偿</w:t>
      </w:r>
      <w:bookmarkEnd w:id="411"/>
      <w:r>
        <w:rPr>
          <w:rFonts w:hint="eastAsia"/>
          <w:color w:val="auto"/>
          <w:sz w:val="24"/>
          <w:highlight w:val="none"/>
        </w:rPr>
        <w:t>。</w:t>
      </w:r>
    </w:p>
    <w:p>
      <w:pPr>
        <w:pStyle w:val="4"/>
        <w:spacing w:before="0" w:after="0" w:line="324" w:lineRule="auto"/>
        <w:ind w:firstLine="481" w:firstLineChars="200"/>
        <w:rPr>
          <w:rFonts w:ascii="黑体" w:hAnsi="宋体"/>
          <w:b w:val="0"/>
          <w:color w:val="auto"/>
          <w:sz w:val="24"/>
          <w:szCs w:val="24"/>
          <w:highlight w:val="none"/>
        </w:rPr>
      </w:pPr>
      <w:bookmarkStart w:id="412" w:name="_Toc341805140"/>
      <w:bookmarkStart w:id="413" w:name="_Toc152042346"/>
      <w:bookmarkStart w:id="414" w:name="_Toc488650818"/>
      <w:bookmarkStart w:id="415" w:name="_Toc356567820"/>
      <w:bookmarkStart w:id="416" w:name="_Toc487653385"/>
      <w:bookmarkStart w:id="417" w:name="_Toc152045570"/>
      <w:bookmarkStart w:id="418" w:name="_Toc144974538"/>
      <w:bookmarkStart w:id="419" w:name="_Toc487619467"/>
      <w:bookmarkStart w:id="420" w:name="_Toc487291496"/>
      <w:r>
        <w:rPr>
          <w:rFonts w:hint="eastAsia" w:ascii="黑体" w:hAnsi="宋体"/>
          <w:color w:val="auto"/>
          <w:sz w:val="24"/>
          <w:szCs w:val="24"/>
          <w:highlight w:val="none"/>
        </w:rPr>
        <w:t xml:space="preserve">7.4 </w:t>
      </w:r>
      <w:r>
        <w:rPr>
          <w:rFonts w:hint="eastAsia" w:ascii="黑体" w:hAnsi="宋体" w:eastAsia="宋体" w:cs="Times New Roman"/>
          <w:b/>
          <w:bCs w:val="0"/>
          <w:color w:val="auto"/>
          <w:sz w:val="24"/>
          <w:szCs w:val="24"/>
          <w:highlight w:val="none"/>
        </w:rPr>
        <w:t xml:space="preserve"> </w:t>
      </w:r>
      <w:r>
        <w:rPr>
          <w:rFonts w:hint="eastAsia" w:ascii="黑体" w:hAnsi="宋体" w:cs="Times New Roman"/>
          <w:b/>
          <w:bCs/>
          <w:color w:val="auto"/>
          <w:sz w:val="24"/>
          <w:szCs w:val="24"/>
          <w:highlight w:val="none"/>
        </w:rPr>
        <w:t>签订合同</w:t>
      </w:r>
      <w:bookmarkEnd w:id="412"/>
      <w:bookmarkEnd w:id="413"/>
      <w:bookmarkEnd w:id="414"/>
      <w:bookmarkEnd w:id="415"/>
      <w:bookmarkEnd w:id="416"/>
      <w:bookmarkEnd w:id="417"/>
      <w:bookmarkEnd w:id="418"/>
      <w:bookmarkEnd w:id="419"/>
      <w:bookmarkEnd w:id="420"/>
    </w:p>
    <w:p>
      <w:pPr>
        <w:spacing w:line="324" w:lineRule="auto"/>
        <w:ind w:firstLine="480" w:firstLineChars="200"/>
        <w:rPr>
          <w:color w:val="auto"/>
          <w:sz w:val="24"/>
          <w:highlight w:val="none"/>
        </w:rPr>
      </w:pPr>
      <w:r>
        <w:rPr>
          <w:rFonts w:hint="eastAsia"/>
          <w:color w:val="auto"/>
          <w:sz w:val="24"/>
          <w:highlight w:val="none"/>
        </w:rPr>
        <w:t>7.4.1  招标人和中标人应当自中标通知书发出之日起30日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24" w:lineRule="auto"/>
        <w:ind w:firstLine="480" w:firstLineChars="200"/>
        <w:rPr>
          <w:color w:val="auto"/>
          <w:sz w:val="24"/>
          <w:highlight w:val="none"/>
        </w:rPr>
      </w:pPr>
      <w:r>
        <w:rPr>
          <w:rFonts w:hint="eastAsia"/>
          <w:color w:val="auto"/>
          <w:sz w:val="24"/>
          <w:highlight w:val="none"/>
        </w:rPr>
        <w:t xml:space="preserve">7.4.2  发出中标通知书后，招标人无正当理由拒签合同的，招标人应向中标人退还投标保证金及银行同期存款利息；给中标人造成损失的，还应当赔偿损失。 </w:t>
      </w:r>
    </w:p>
    <w:p>
      <w:pPr>
        <w:pStyle w:val="4"/>
        <w:spacing w:before="0" w:after="0" w:line="324" w:lineRule="auto"/>
        <w:ind w:firstLine="562" w:firstLineChars="200"/>
        <w:rPr>
          <w:color w:val="auto"/>
          <w:highlight w:val="none"/>
        </w:rPr>
      </w:pPr>
      <w:bookmarkStart w:id="421" w:name="_Toc307991156"/>
      <w:bookmarkStart w:id="422" w:name="_Toc283558700"/>
      <w:bookmarkStart w:id="423" w:name="_Toc144974539"/>
      <w:bookmarkStart w:id="424" w:name="_Toc283559197"/>
      <w:bookmarkStart w:id="425" w:name="_Toc330384404"/>
      <w:bookmarkStart w:id="426" w:name="_Toc341805141"/>
      <w:bookmarkStart w:id="427" w:name="_Toc286759039"/>
      <w:bookmarkStart w:id="428" w:name="_Toc487291497"/>
      <w:bookmarkStart w:id="429" w:name="_Toc152045571"/>
      <w:bookmarkStart w:id="430" w:name="_Toc152042347"/>
      <w:bookmarkStart w:id="431" w:name="_Toc488650819"/>
      <w:r>
        <w:rPr>
          <w:rFonts w:hint="eastAsia"/>
          <w:color w:val="auto"/>
          <w:highlight w:val="none"/>
        </w:rPr>
        <w:t>8</w:t>
      </w:r>
      <w:r>
        <w:rPr>
          <w:color w:val="auto"/>
          <w:highlight w:val="none"/>
        </w:rPr>
        <w:t>．</w:t>
      </w:r>
      <w:r>
        <w:rPr>
          <w:rFonts w:hint="eastAsia"/>
          <w:color w:val="auto"/>
          <w:highlight w:val="none"/>
        </w:rPr>
        <w:t>重新招标和不再招标</w:t>
      </w:r>
      <w:bookmarkEnd w:id="421"/>
      <w:bookmarkEnd w:id="422"/>
      <w:bookmarkEnd w:id="423"/>
      <w:bookmarkEnd w:id="424"/>
      <w:bookmarkEnd w:id="425"/>
      <w:bookmarkEnd w:id="426"/>
      <w:bookmarkEnd w:id="427"/>
      <w:bookmarkEnd w:id="428"/>
      <w:bookmarkEnd w:id="429"/>
      <w:bookmarkEnd w:id="430"/>
      <w:bookmarkEnd w:id="431"/>
    </w:p>
    <w:p>
      <w:pPr>
        <w:pStyle w:val="4"/>
        <w:spacing w:before="0" w:after="0" w:line="324" w:lineRule="auto"/>
        <w:ind w:firstLine="481" w:firstLineChars="200"/>
        <w:rPr>
          <w:rFonts w:ascii="黑体" w:hAnsi="宋体"/>
          <w:b w:val="0"/>
          <w:color w:val="auto"/>
          <w:sz w:val="24"/>
          <w:szCs w:val="24"/>
          <w:highlight w:val="none"/>
        </w:rPr>
      </w:pPr>
      <w:bookmarkStart w:id="432" w:name="_Toc152045572"/>
      <w:bookmarkStart w:id="433" w:name="_Toc152042348"/>
      <w:bookmarkStart w:id="434" w:name="_Toc487653387"/>
      <w:bookmarkStart w:id="435" w:name="_Toc487291498"/>
      <w:bookmarkStart w:id="436" w:name="_Toc488650820"/>
      <w:bookmarkStart w:id="437" w:name="_Toc487619469"/>
      <w:bookmarkStart w:id="438" w:name="_Toc341805142"/>
      <w:bookmarkStart w:id="439" w:name="_Toc356567822"/>
      <w:bookmarkStart w:id="440" w:name="_Toc144974540"/>
      <w:r>
        <w:rPr>
          <w:rFonts w:hint="eastAsia" w:ascii="黑体" w:hAnsi="宋体"/>
          <w:color w:val="auto"/>
          <w:sz w:val="24"/>
          <w:szCs w:val="24"/>
          <w:highlight w:val="none"/>
        </w:rPr>
        <w:t>8.1</w:t>
      </w:r>
      <w:r>
        <w:rPr>
          <w:rFonts w:hint="eastAsia" w:ascii="黑体" w:hAnsi="宋体"/>
          <w:b w:val="0"/>
          <w:color w:val="auto"/>
          <w:sz w:val="24"/>
          <w:szCs w:val="24"/>
          <w:highlight w:val="none"/>
        </w:rPr>
        <w:t xml:space="preserve">  重新招标</w:t>
      </w:r>
      <w:bookmarkEnd w:id="432"/>
      <w:bookmarkEnd w:id="433"/>
      <w:bookmarkEnd w:id="434"/>
      <w:bookmarkEnd w:id="435"/>
      <w:bookmarkEnd w:id="436"/>
      <w:bookmarkEnd w:id="437"/>
      <w:bookmarkEnd w:id="438"/>
      <w:bookmarkEnd w:id="439"/>
      <w:bookmarkEnd w:id="440"/>
    </w:p>
    <w:p>
      <w:pPr>
        <w:spacing w:line="324" w:lineRule="auto"/>
        <w:ind w:firstLine="480" w:firstLineChars="200"/>
        <w:rPr>
          <w:color w:val="auto"/>
          <w:sz w:val="24"/>
          <w:highlight w:val="none"/>
        </w:rPr>
      </w:pPr>
      <w:r>
        <w:rPr>
          <w:rFonts w:hint="eastAsia"/>
          <w:color w:val="auto"/>
          <w:sz w:val="24"/>
          <w:highlight w:val="none"/>
        </w:rPr>
        <w:t>有下列情形之一的，招标人应当重新招标：</w:t>
      </w:r>
    </w:p>
    <w:p>
      <w:pPr>
        <w:spacing w:line="324" w:lineRule="auto"/>
        <w:ind w:firstLine="480" w:firstLineChars="200"/>
        <w:rPr>
          <w:color w:val="auto"/>
          <w:sz w:val="24"/>
          <w:highlight w:val="none"/>
        </w:rPr>
      </w:pPr>
      <w:r>
        <w:rPr>
          <w:rFonts w:hint="eastAsia"/>
          <w:color w:val="auto"/>
          <w:sz w:val="24"/>
          <w:highlight w:val="none"/>
        </w:rPr>
        <w:t>（1）投标截止时间止，投标人少于3个的；</w:t>
      </w:r>
    </w:p>
    <w:p>
      <w:pPr>
        <w:spacing w:line="324" w:lineRule="auto"/>
        <w:ind w:firstLine="480" w:firstLineChars="200"/>
        <w:rPr>
          <w:rFonts w:hint="eastAsia"/>
          <w:color w:val="auto"/>
          <w:sz w:val="24"/>
          <w:highlight w:val="none"/>
        </w:rPr>
      </w:pPr>
      <w:r>
        <w:rPr>
          <w:rFonts w:hint="eastAsia"/>
          <w:color w:val="auto"/>
          <w:sz w:val="24"/>
          <w:highlight w:val="none"/>
        </w:rPr>
        <w:t>（2）经评标委员会评审后否决所有投标的；</w:t>
      </w:r>
    </w:p>
    <w:p>
      <w:pPr>
        <w:spacing w:line="324"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3</w:t>
      </w:r>
      <w:r>
        <w:rPr>
          <w:rFonts w:hint="eastAsia" w:ascii="Calibri" w:hAnsi="Calibri" w:eastAsia="宋体" w:cs="Times New Roman"/>
          <w:color w:val="auto"/>
          <w:sz w:val="24"/>
          <w:highlight w:val="none"/>
        </w:rPr>
        <w:t>）</w:t>
      </w:r>
      <w:r>
        <w:rPr>
          <w:rFonts w:hint="eastAsia" w:ascii="Calibri" w:hAnsi="Calibri" w:eastAsia="宋体" w:cs="Times New Roman"/>
          <w:color w:val="auto"/>
          <w:sz w:val="24"/>
          <w:szCs w:val="24"/>
          <w:highlight w:val="none"/>
        </w:rPr>
        <w:t>法律规定的其他情形</w:t>
      </w:r>
      <w:r>
        <w:rPr>
          <w:rFonts w:hint="eastAsia" w:ascii="Calibri" w:hAnsi="Calibri" w:eastAsia="宋体" w:cs="Times New Roman"/>
          <w:color w:val="auto"/>
          <w:sz w:val="24"/>
          <w:highlight w:val="none"/>
        </w:rPr>
        <w:t>。</w:t>
      </w:r>
    </w:p>
    <w:p>
      <w:pPr>
        <w:pStyle w:val="4"/>
        <w:spacing w:before="0" w:after="0" w:line="324" w:lineRule="auto"/>
        <w:ind w:firstLine="481" w:firstLineChars="200"/>
        <w:rPr>
          <w:rFonts w:ascii="黑体" w:hAnsi="宋体"/>
          <w:b w:val="0"/>
          <w:color w:val="auto"/>
          <w:sz w:val="24"/>
          <w:szCs w:val="24"/>
          <w:highlight w:val="none"/>
        </w:rPr>
      </w:pPr>
      <w:bookmarkStart w:id="441" w:name="_Toc488650821"/>
      <w:bookmarkStart w:id="442" w:name="_Toc144974541"/>
      <w:bookmarkStart w:id="443" w:name="_Toc487653388"/>
      <w:bookmarkStart w:id="444" w:name="_Toc487619470"/>
      <w:bookmarkStart w:id="445" w:name="_Toc487291499"/>
      <w:bookmarkStart w:id="446" w:name="_Toc341805143"/>
      <w:bookmarkStart w:id="447" w:name="_Toc356567823"/>
      <w:bookmarkStart w:id="448" w:name="_Toc152042349"/>
      <w:bookmarkStart w:id="449" w:name="_Toc152045573"/>
      <w:r>
        <w:rPr>
          <w:rFonts w:hint="eastAsia" w:ascii="黑体" w:hAnsi="宋体"/>
          <w:color w:val="auto"/>
          <w:sz w:val="24"/>
          <w:szCs w:val="24"/>
          <w:highlight w:val="none"/>
        </w:rPr>
        <w:t>8.2</w:t>
      </w:r>
      <w:r>
        <w:rPr>
          <w:rFonts w:hint="eastAsia" w:ascii="黑体" w:hAnsi="宋体"/>
          <w:b w:val="0"/>
          <w:color w:val="auto"/>
          <w:sz w:val="24"/>
          <w:szCs w:val="24"/>
          <w:highlight w:val="none"/>
        </w:rPr>
        <w:t xml:space="preserve">  不再招标</w:t>
      </w:r>
      <w:bookmarkEnd w:id="441"/>
      <w:bookmarkEnd w:id="442"/>
      <w:bookmarkEnd w:id="443"/>
      <w:bookmarkEnd w:id="444"/>
      <w:bookmarkEnd w:id="445"/>
      <w:bookmarkEnd w:id="446"/>
      <w:bookmarkEnd w:id="447"/>
      <w:bookmarkEnd w:id="448"/>
      <w:bookmarkEnd w:id="449"/>
    </w:p>
    <w:p>
      <w:pPr>
        <w:spacing w:line="324" w:lineRule="auto"/>
        <w:ind w:firstLine="480" w:firstLineChars="200"/>
        <w:rPr>
          <w:color w:val="auto"/>
          <w:sz w:val="24"/>
          <w:highlight w:val="none"/>
        </w:rPr>
      </w:pPr>
      <w:r>
        <w:rPr>
          <w:rFonts w:hint="eastAsia"/>
          <w:color w:val="auto"/>
          <w:sz w:val="24"/>
          <w:highlight w:val="none"/>
        </w:rPr>
        <w:t>重新招标后投标人仍少于3个或者所有投标被否决的，经书面报告交通运输主管部门后招标人可不再招标，并可通过谈判确定中标人，将谈判情况书面报告交通运输主管部门备案。</w:t>
      </w:r>
    </w:p>
    <w:p>
      <w:pPr>
        <w:pStyle w:val="4"/>
        <w:spacing w:before="0" w:after="0" w:line="324" w:lineRule="auto"/>
        <w:ind w:firstLine="562" w:firstLineChars="200"/>
        <w:rPr>
          <w:color w:val="auto"/>
          <w:highlight w:val="none"/>
        </w:rPr>
      </w:pPr>
      <w:bookmarkStart w:id="450" w:name="_Toc283559198"/>
      <w:bookmarkStart w:id="451" w:name="_Toc341805144"/>
      <w:bookmarkStart w:id="452" w:name="_Toc487291500"/>
      <w:bookmarkStart w:id="453" w:name="_Toc152045574"/>
      <w:bookmarkStart w:id="454" w:name="_Toc488650822"/>
      <w:bookmarkStart w:id="455" w:name="_Toc152042350"/>
      <w:bookmarkStart w:id="456" w:name="_Toc307991157"/>
      <w:bookmarkStart w:id="457" w:name="_Toc144974542"/>
      <w:bookmarkStart w:id="458" w:name="_Toc286759040"/>
      <w:bookmarkStart w:id="459" w:name="_Toc330384405"/>
      <w:bookmarkStart w:id="460" w:name="_Toc283558701"/>
      <w:r>
        <w:rPr>
          <w:rFonts w:hint="eastAsia"/>
          <w:color w:val="auto"/>
          <w:highlight w:val="none"/>
        </w:rPr>
        <w:t>9</w:t>
      </w:r>
      <w:r>
        <w:rPr>
          <w:color w:val="auto"/>
          <w:highlight w:val="none"/>
        </w:rPr>
        <w:t>．</w:t>
      </w:r>
      <w:r>
        <w:rPr>
          <w:rFonts w:hint="eastAsia"/>
          <w:color w:val="auto"/>
          <w:highlight w:val="none"/>
        </w:rPr>
        <w:t>纪律和监督</w:t>
      </w:r>
      <w:bookmarkEnd w:id="450"/>
      <w:bookmarkEnd w:id="451"/>
      <w:bookmarkEnd w:id="452"/>
      <w:bookmarkEnd w:id="453"/>
      <w:bookmarkEnd w:id="454"/>
      <w:bookmarkEnd w:id="455"/>
      <w:bookmarkEnd w:id="456"/>
      <w:bookmarkEnd w:id="457"/>
      <w:bookmarkEnd w:id="458"/>
      <w:bookmarkEnd w:id="459"/>
      <w:bookmarkEnd w:id="460"/>
    </w:p>
    <w:p>
      <w:pPr>
        <w:pStyle w:val="4"/>
        <w:spacing w:before="0" w:after="0" w:line="324" w:lineRule="auto"/>
        <w:ind w:firstLine="481" w:firstLineChars="200"/>
        <w:rPr>
          <w:rFonts w:ascii="黑体" w:hAnsi="宋体"/>
          <w:b w:val="0"/>
          <w:color w:val="auto"/>
          <w:sz w:val="24"/>
          <w:szCs w:val="24"/>
          <w:highlight w:val="none"/>
        </w:rPr>
      </w:pPr>
      <w:bookmarkStart w:id="461" w:name="_Toc487619472"/>
      <w:bookmarkStart w:id="462" w:name="_Toc356567825"/>
      <w:bookmarkStart w:id="463" w:name="_Toc152042351"/>
      <w:bookmarkStart w:id="464" w:name="_Toc487653390"/>
      <w:bookmarkStart w:id="465" w:name="_Toc487291501"/>
      <w:bookmarkStart w:id="466" w:name="_Toc341805145"/>
      <w:bookmarkStart w:id="467" w:name="_Toc488650823"/>
      <w:bookmarkStart w:id="468" w:name="_Toc152045575"/>
      <w:bookmarkStart w:id="469" w:name="_Toc144974543"/>
      <w:r>
        <w:rPr>
          <w:rFonts w:hint="eastAsia" w:ascii="黑体" w:hAnsi="宋体"/>
          <w:color w:val="auto"/>
          <w:sz w:val="24"/>
          <w:szCs w:val="24"/>
          <w:highlight w:val="none"/>
        </w:rPr>
        <w:t xml:space="preserve">9.1 </w:t>
      </w:r>
      <w:r>
        <w:rPr>
          <w:rFonts w:hint="eastAsia" w:ascii="黑体" w:hAnsi="宋体"/>
          <w:b w:val="0"/>
          <w:color w:val="auto"/>
          <w:sz w:val="24"/>
          <w:szCs w:val="24"/>
          <w:highlight w:val="none"/>
        </w:rPr>
        <w:t xml:space="preserve"> 对招标人和招标代理的纪律要求</w:t>
      </w:r>
      <w:bookmarkEnd w:id="461"/>
      <w:bookmarkEnd w:id="462"/>
      <w:bookmarkEnd w:id="463"/>
      <w:bookmarkEnd w:id="464"/>
      <w:bookmarkEnd w:id="465"/>
      <w:bookmarkEnd w:id="466"/>
      <w:bookmarkEnd w:id="467"/>
      <w:bookmarkEnd w:id="468"/>
      <w:bookmarkEnd w:id="469"/>
    </w:p>
    <w:p>
      <w:pPr>
        <w:spacing w:line="324" w:lineRule="auto"/>
        <w:ind w:firstLine="480" w:firstLineChars="200"/>
        <w:rPr>
          <w:color w:val="auto"/>
          <w:sz w:val="24"/>
          <w:highlight w:val="none"/>
        </w:rPr>
      </w:pPr>
      <w:r>
        <w:rPr>
          <w:rFonts w:hint="eastAsia"/>
          <w:color w:val="auto"/>
          <w:sz w:val="24"/>
          <w:highlight w:val="none"/>
        </w:rPr>
        <w:t>招标人和招标代理不得收受他人的财物或者其他好处，不得泄漏招标投标活动中应当保密的情况和资料，不得与投标人串通损害国家利益、社会公共利益或者他人合法权益，不得对评标委员会的评标工作进行干预和施加任何影响。</w:t>
      </w:r>
    </w:p>
    <w:p>
      <w:pPr>
        <w:pStyle w:val="4"/>
        <w:spacing w:before="0" w:after="0" w:line="324" w:lineRule="auto"/>
        <w:ind w:firstLine="481" w:firstLineChars="200"/>
        <w:rPr>
          <w:rFonts w:ascii="黑体" w:hAnsi="宋体"/>
          <w:b w:val="0"/>
          <w:color w:val="auto"/>
          <w:sz w:val="24"/>
          <w:szCs w:val="24"/>
          <w:highlight w:val="none"/>
        </w:rPr>
      </w:pPr>
      <w:bookmarkStart w:id="470" w:name="_Toc488650824"/>
      <w:bookmarkStart w:id="471" w:name="_Toc144974544"/>
      <w:bookmarkStart w:id="472" w:name="_Toc487619473"/>
      <w:bookmarkStart w:id="473" w:name="_Toc152042352"/>
      <w:bookmarkStart w:id="474" w:name="_Toc487653391"/>
      <w:bookmarkStart w:id="475" w:name="_Toc356567826"/>
      <w:bookmarkStart w:id="476" w:name="_Toc152045576"/>
      <w:bookmarkStart w:id="477" w:name="_Toc341805146"/>
      <w:bookmarkStart w:id="478" w:name="_Toc487291502"/>
      <w:r>
        <w:rPr>
          <w:rFonts w:hint="eastAsia" w:ascii="黑体" w:hAnsi="宋体"/>
          <w:color w:val="auto"/>
          <w:sz w:val="24"/>
          <w:szCs w:val="24"/>
          <w:highlight w:val="none"/>
        </w:rPr>
        <w:t>9.2</w:t>
      </w:r>
      <w:r>
        <w:rPr>
          <w:rFonts w:hint="eastAsia" w:ascii="黑体" w:hAnsi="宋体"/>
          <w:b w:val="0"/>
          <w:color w:val="auto"/>
          <w:sz w:val="24"/>
          <w:szCs w:val="24"/>
          <w:highlight w:val="none"/>
        </w:rPr>
        <w:t xml:space="preserve">  对投标人的纪律要求</w:t>
      </w:r>
      <w:bookmarkEnd w:id="470"/>
      <w:bookmarkEnd w:id="471"/>
      <w:bookmarkEnd w:id="472"/>
      <w:bookmarkEnd w:id="473"/>
      <w:bookmarkEnd w:id="474"/>
      <w:bookmarkEnd w:id="475"/>
      <w:bookmarkEnd w:id="476"/>
      <w:bookmarkEnd w:id="477"/>
      <w:bookmarkEnd w:id="478"/>
    </w:p>
    <w:p>
      <w:pPr>
        <w:spacing w:line="324" w:lineRule="auto"/>
        <w:ind w:firstLine="480" w:firstLineChars="200"/>
        <w:rPr>
          <w:color w:val="auto"/>
          <w:sz w:val="24"/>
          <w:highlight w:val="none"/>
        </w:rPr>
      </w:pPr>
      <w:r>
        <w:rPr>
          <w:rFonts w:hint="eastAsia"/>
          <w:color w:val="auto"/>
          <w:sz w:val="24"/>
          <w:highlight w:val="none"/>
        </w:rPr>
        <w:t>投标人不得相互串通投标或者与招标人、招标代理串通投标，不得向招标人、招标代理或者评标委员会成员行贿谋取中标，不得以他人名义投标或者以其他方式弄虚作假骗取中标；投标人不得以任何方式干扰、影响评标工作。</w:t>
      </w:r>
    </w:p>
    <w:p>
      <w:pPr>
        <w:pStyle w:val="4"/>
        <w:spacing w:before="0" w:after="0" w:line="324" w:lineRule="auto"/>
        <w:ind w:firstLine="481" w:firstLineChars="200"/>
        <w:rPr>
          <w:rFonts w:hint="eastAsia" w:ascii="黑体" w:hAnsi="宋体" w:eastAsia="黑体" w:cs="Times New Roman"/>
          <w:b/>
          <w:color w:val="auto"/>
          <w:sz w:val="24"/>
          <w:szCs w:val="24"/>
          <w:highlight w:val="none"/>
        </w:rPr>
      </w:pPr>
      <w:bookmarkStart w:id="479" w:name="_Toc356567827"/>
      <w:bookmarkStart w:id="480" w:name="_Toc152042353"/>
      <w:bookmarkStart w:id="481" w:name="_Toc487619474"/>
      <w:bookmarkStart w:id="482" w:name="_Toc152045577"/>
      <w:bookmarkStart w:id="483" w:name="_Toc487653392"/>
      <w:bookmarkStart w:id="484" w:name="_Toc341805147"/>
      <w:bookmarkStart w:id="485" w:name="_Toc488650825"/>
      <w:bookmarkStart w:id="486" w:name="_Toc144974545"/>
      <w:bookmarkStart w:id="487" w:name="_Toc487291503"/>
      <w:r>
        <w:rPr>
          <w:rFonts w:hint="eastAsia" w:ascii="黑体" w:hAnsi="宋体" w:eastAsia="黑体" w:cs="Times New Roman"/>
          <w:color w:val="auto"/>
          <w:sz w:val="24"/>
          <w:szCs w:val="24"/>
          <w:highlight w:val="none"/>
        </w:rPr>
        <w:t xml:space="preserve">9.3 </w:t>
      </w:r>
      <w:r>
        <w:rPr>
          <w:rFonts w:hint="eastAsia" w:ascii="黑体" w:hAnsi="宋体" w:eastAsia="黑体" w:cs="Times New Roman"/>
          <w:b/>
          <w:color w:val="auto"/>
          <w:sz w:val="24"/>
          <w:szCs w:val="24"/>
          <w:highlight w:val="none"/>
        </w:rPr>
        <w:t xml:space="preserve"> </w:t>
      </w:r>
      <w:r>
        <w:rPr>
          <w:rFonts w:hint="eastAsia" w:ascii="黑体" w:hAnsi="宋体" w:eastAsia="黑体" w:cs="Times New Roman"/>
          <w:b w:val="0"/>
          <w:bCs w:val="0"/>
          <w:color w:val="auto"/>
          <w:sz w:val="24"/>
          <w:szCs w:val="24"/>
          <w:highlight w:val="none"/>
        </w:rPr>
        <w:t>对评标委员会成员和定标委员会的纪律要求</w:t>
      </w:r>
    </w:p>
    <w:p>
      <w:pPr>
        <w:spacing w:line="360" w:lineRule="auto"/>
        <w:ind w:firstLine="480" w:firstLineChars="200"/>
        <w:rPr>
          <w:rFonts w:hint="eastAsia" w:ascii="宋体" w:hAnsi="宋体" w:eastAsia="宋体" w:cs="Times New Roman"/>
          <w:b w:val="0"/>
          <w:color w:val="auto"/>
          <w:sz w:val="24"/>
          <w:highlight w:val="none"/>
        </w:rPr>
      </w:pPr>
      <w:r>
        <w:rPr>
          <w:rFonts w:hint="eastAsia" w:ascii="宋体" w:hAnsi="宋体" w:eastAsia="宋体" w:cs="Times New Roman"/>
          <w:b w:val="0"/>
          <w:color w:val="auto"/>
          <w:sz w:val="24"/>
          <w:highlight w:val="none"/>
        </w:rPr>
        <w:t>评标委员会和定标委员会成员不得收受他人的财物或者其他好处，不得向他人透漏对投标文件的评审和比较、定标候选人的推荐情况、定标情况以及评标、定标有关的其他情况。在评标、定标活动中，评标委员会和定标委员会成员应当客观、公正地履行职责，遵守职业道德，不得擅离职守，影响评标程序正常进行。</w:t>
      </w:r>
      <w:bookmarkEnd w:id="479"/>
      <w:bookmarkEnd w:id="480"/>
      <w:bookmarkEnd w:id="481"/>
      <w:bookmarkEnd w:id="482"/>
      <w:bookmarkEnd w:id="483"/>
      <w:bookmarkEnd w:id="484"/>
      <w:bookmarkEnd w:id="485"/>
      <w:bookmarkEnd w:id="486"/>
      <w:bookmarkEnd w:id="487"/>
    </w:p>
    <w:p>
      <w:pPr>
        <w:pStyle w:val="4"/>
        <w:spacing w:before="0" w:after="0" w:line="324" w:lineRule="auto"/>
        <w:ind w:firstLine="480" w:firstLineChars="200"/>
        <w:rPr>
          <w:rFonts w:hint="eastAsia" w:ascii="黑体" w:hAnsi="宋体" w:eastAsia="黑体" w:cs="Times New Roman"/>
          <w:b w:val="0"/>
          <w:bCs w:val="0"/>
          <w:color w:val="auto"/>
          <w:sz w:val="24"/>
          <w:szCs w:val="24"/>
          <w:highlight w:val="none"/>
        </w:rPr>
      </w:pPr>
      <w:bookmarkStart w:id="488" w:name="_Toc152045578"/>
      <w:bookmarkStart w:id="489" w:name="_Toc487653393"/>
      <w:bookmarkStart w:id="490" w:name="_Toc487291504"/>
      <w:bookmarkStart w:id="491" w:name="_Toc487619475"/>
      <w:bookmarkStart w:id="492" w:name="_Toc356567828"/>
      <w:bookmarkStart w:id="493" w:name="_Toc488650826"/>
      <w:bookmarkStart w:id="494" w:name="_Toc341805148"/>
      <w:bookmarkStart w:id="495" w:name="_Toc152042354"/>
      <w:bookmarkStart w:id="496" w:name="_Toc144974546"/>
      <w:r>
        <w:rPr>
          <w:rFonts w:hint="eastAsia" w:ascii="黑体" w:hAnsi="宋体" w:eastAsia="黑体" w:cs="Times New Roman"/>
          <w:b w:val="0"/>
          <w:bCs w:val="0"/>
          <w:color w:val="auto"/>
          <w:sz w:val="24"/>
          <w:szCs w:val="24"/>
          <w:highlight w:val="none"/>
        </w:rPr>
        <w:t>9.4  对与评标和定标活动有关的工作人员的纪律要求</w:t>
      </w:r>
    </w:p>
    <w:p>
      <w:pPr>
        <w:spacing w:line="360" w:lineRule="auto"/>
        <w:ind w:firstLine="480" w:firstLineChars="200"/>
        <w:rPr>
          <w:rFonts w:hint="eastAsia" w:ascii="宋体" w:hAnsi="宋体" w:eastAsia="宋体" w:cs="Times New Roman"/>
          <w:b w:val="0"/>
          <w:color w:val="auto"/>
          <w:sz w:val="24"/>
          <w:highlight w:val="none"/>
        </w:rPr>
      </w:pPr>
      <w:r>
        <w:rPr>
          <w:rFonts w:hint="eastAsia" w:ascii="宋体" w:hAnsi="宋体" w:eastAsia="宋体" w:cs="Times New Roman"/>
          <w:b w:val="0"/>
          <w:color w:val="auto"/>
          <w:sz w:val="24"/>
          <w:highlight w:val="none"/>
        </w:rPr>
        <w:t>与评标和定标活动有关的工作人员不得收受他人的财物或者其他好处，不得向他人透漏对投标文件的评审和比较、定标候选人的推荐情况、定标情况以及评标、定标有关的其他情况。在评标、定标活动中，与评标、定标活动有关的工作人员不得擅离职守，影响评标程序正常进行。</w:t>
      </w:r>
      <w:bookmarkEnd w:id="488"/>
      <w:bookmarkEnd w:id="489"/>
      <w:bookmarkEnd w:id="490"/>
      <w:bookmarkEnd w:id="491"/>
      <w:bookmarkEnd w:id="492"/>
      <w:bookmarkEnd w:id="493"/>
      <w:bookmarkEnd w:id="494"/>
      <w:bookmarkEnd w:id="495"/>
    </w:p>
    <w:p>
      <w:pPr>
        <w:spacing w:line="360" w:lineRule="auto"/>
        <w:ind w:firstLine="480"/>
        <w:rPr>
          <w:rFonts w:hint="eastAsia" w:ascii="宋体" w:hAnsi="宋体" w:eastAsia="宋体" w:cs="Times New Roman"/>
          <w:b w:val="0"/>
          <w:color w:val="auto"/>
          <w:sz w:val="24"/>
          <w:szCs w:val="24"/>
          <w:highlight w:val="none"/>
        </w:rPr>
      </w:pPr>
      <w:bookmarkStart w:id="497" w:name="_Toc152042356"/>
      <w:bookmarkStart w:id="498" w:name="_Toc487653394"/>
      <w:bookmarkStart w:id="499" w:name="_Toc487291505"/>
      <w:bookmarkStart w:id="500" w:name="_Toc488650827"/>
      <w:bookmarkStart w:id="501" w:name="_Toc356567829"/>
      <w:bookmarkStart w:id="502" w:name="_Toc152045579"/>
      <w:bookmarkStart w:id="503" w:name="_Toc487619476"/>
      <w:bookmarkStart w:id="504" w:name="_Toc341805149"/>
      <w:r>
        <w:rPr>
          <w:rFonts w:hint="eastAsia" w:ascii="宋体" w:hAnsi="宋体" w:eastAsia="宋体" w:cs="Times New Roman"/>
          <w:color w:val="auto"/>
          <w:sz w:val="24"/>
          <w:szCs w:val="24"/>
          <w:highlight w:val="none"/>
        </w:rPr>
        <w:t>9.5</w:t>
      </w:r>
      <w:r>
        <w:rPr>
          <w:rFonts w:hint="eastAsia" w:ascii="宋体" w:hAnsi="宋体" w:eastAsia="宋体" w:cs="Times New Roman"/>
          <w:b w:val="0"/>
          <w:color w:val="auto"/>
          <w:sz w:val="24"/>
          <w:szCs w:val="24"/>
          <w:highlight w:val="none"/>
        </w:rPr>
        <w:t xml:space="preserve">  </w:t>
      </w:r>
      <w:bookmarkStart w:id="505" w:name="_Toc27330"/>
      <w:bookmarkStart w:id="506" w:name="_Toc30170381"/>
      <w:bookmarkStart w:id="507" w:name="_Toc458439978"/>
      <w:r>
        <w:rPr>
          <w:rFonts w:hint="eastAsia" w:ascii="宋体" w:hAnsi="宋体" w:eastAsia="宋体" w:cs="Times New Roman"/>
          <w:b w:val="0"/>
          <w:bCs w:val="0"/>
          <w:color w:val="auto"/>
          <w:sz w:val="24"/>
          <w:szCs w:val="24"/>
          <w:highlight w:val="none"/>
          <w:lang w:val="zh-CN"/>
        </w:rPr>
        <w:t>异议、投诉</w:t>
      </w:r>
      <w:bookmarkEnd w:id="505"/>
      <w:bookmarkEnd w:id="506"/>
      <w:bookmarkEnd w:id="507"/>
      <w:r>
        <w:rPr>
          <w:rFonts w:hint="eastAsia" w:ascii="宋体" w:hAnsi="宋体" w:eastAsia="宋体" w:cs="Times New Roman"/>
          <w:b w:val="0"/>
          <w:bCs w:val="0"/>
          <w:color w:val="auto"/>
          <w:sz w:val="24"/>
          <w:szCs w:val="24"/>
          <w:highlight w:val="none"/>
          <w:lang w:val="zh-CN"/>
        </w:rPr>
        <w:t>与处理</w:t>
      </w:r>
      <w:bookmarkEnd w:id="496"/>
      <w:bookmarkEnd w:id="497"/>
      <w:bookmarkEnd w:id="498"/>
      <w:bookmarkEnd w:id="499"/>
      <w:bookmarkEnd w:id="500"/>
      <w:bookmarkEnd w:id="501"/>
      <w:bookmarkEnd w:id="502"/>
      <w:bookmarkEnd w:id="503"/>
      <w:bookmarkEnd w:id="504"/>
    </w:p>
    <w:p>
      <w:pPr>
        <w:spacing w:line="360" w:lineRule="auto"/>
        <w:ind w:firstLine="480" w:firstLineChars="0"/>
        <w:rPr>
          <w:rFonts w:hint="eastAsia" w:ascii="宋体" w:hAnsi="宋体" w:eastAsia="宋体" w:cs="Times New Roman"/>
          <w:color w:val="auto"/>
          <w:sz w:val="24"/>
          <w:highlight w:val="none"/>
        </w:rPr>
      </w:pPr>
      <w:bookmarkStart w:id="508" w:name="_Toc283559199"/>
      <w:bookmarkStart w:id="509" w:name="_Toc286759041"/>
      <w:bookmarkStart w:id="510" w:name="_Toc341805150"/>
      <w:bookmarkStart w:id="511" w:name="_Toc152042357"/>
      <w:bookmarkStart w:id="512" w:name="_Toc307991158"/>
      <w:bookmarkStart w:id="513" w:name="_Toc144974547"/>
      <w:bookmarkStart w:id="514" w:name="_Toc283558702"/>
      <w:bookmarkStart w:id="515" w:name="_Toc330384406"/>
      <w:bookmarkStart w:id="516" w:name="_Toc152045580"/>
      <w:r>
        <w:rPr>
          <w:rFonts w:hint="eastAsia" w:ascii="宋体" w:hAnsi="宋体" w:eastAsia="宋体" w:cs="Times New Roman"/>
          <w:color w:val="auto"/>
          <w:sz w:val="24"/>
          <w:highlight w:val="none"/>
        </w:rPr>
        <w:t>9.5.1异议处理</w:t>
      </w:r>
    </w:p>
    <w:p>
      <w:pPr>
        <w:spacing w:line="360" w:lineRule="auto"/>
        <w:ind w:firstLine="48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（1）投标人对开标有异议的，应当使用本单位的CA证书当场通过电子交易平台在线提出；招标人应当通过电子交易平台当场作出答复。电子交易平台应当记录并保存异议的提出和答复情况。</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潜在投标人或投标人及其他利害关系人对招标文件或评标结果有异议的，应当在规定的期限内（对招标文件的异议期限为在投标截止时间10天前，对评标结果的异议期限为评标公示期内）同时通过电子交易平台向招标人提出。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异议应当包括下列内容：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（一）异议人的名称、地址及有效联系方式；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（二）被异议人的名称（仅适用于对评标结果的异议）；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（三）异议事项的基本事实；</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（四）相关请求及主张；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（五）有效线索和相关证明材料。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招标人收到对招标文件或评标结果的异议后，应当在3日内作出是否受理的决定，逾期未作出不予受理决定的，自收到异议之日起即视为受理。有下列情形之一的异议，不予受理，并向异议人发出不予受理告知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（一）对评标结果有异议的异议人不是本项目的参与者，或者与本项目无任何利害关系；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（二）异议事项不具体，且未提供有效线索，难以查证的；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（三）异议未署具异议人真实姓名、签字和有效联系方式的；以法人名义提出异议的，异议未经法定代表人签字并加盖公章的；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（四）超过异议时效的。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招标人对招标文件或评标结果异议的处理结果，应当通过电子交易平台作出答复并向社会公开，同时通过省行政监督平台向监督机关备案。在作出答复前应当暂停下一阶段招投标活动。</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9.5.</w:t>
      </w:r>
      <w:r>
        <w:rPr>
          <w:rFonts w:hint="eastAsia" w:ascii="宋体" w:hAnsi="宋体"/>
          <w:color w:val="auto"/>
          <w:sz w:val="24"/>
          <w:highlight w:val="none"/>
        </w:rPr>
        <w:t>2投诉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9.5.</w:t>
      </w:r>
      <w:r>
        <w:rPr>
          <w:rFonts w:hint="eastAsia" w:ascii="宋体" w:hAnsi="宋体"/>
          <w:color w:val="auto"/>
          <w:sz w:val="24"/>
          <w:highlight w:val="none"/>
        </w:rPr>
        <w:t>2</w:t>
      </w:r>
      <w:r>
        <w:rPr>
          <w:rFonts w:ascii="宋体" w:hAnsi="宋体"/>
          <w:color w:val="auto"/>
          <w:sz w:val="24"/>
          <w:highlight w:val="none"/>
        </w:rPr>
        <w:t>.1根据中华人民共和国国务院令《中华人民共和国招标投标法实施条例》</w:t>
      </w:r>
      <w:r>
        <w:rPr>
          <w:rFonts w:hint="eastAsia" w:ascii="宋体" w:hAnsi="宋体"/>
          <w:color w:val="auto"/>
          <w:sz w:val="24"/>
          <w:highlight w:val="none"/>
        </w:rPr>
        <w:t>、</w:t>
      </w:r>
      <w:r>
        <w:rPr>
          <w:rFonts w:ascii="宋体" w:hAnsi="宋体"/>
          <w:color w:val="auto"/>
          <w:sz w:val="24"/>
          <w:highlight w:val="none"/>
        </w:rPr>
        <w:t>国家发改委、</w:t>
      </w:r>
      <w:r>
        <w:rPr>
          <w:rFonts w:hint="eastAsia" w:ascii="宋体" w:hAnsi="宋体"/>
          <w:color w:val="auto"/>
          <w:sz w:val="24"/>
          <w:highlight w:val="none"/>
        </w:rPr>
        <w:t>交通运输部</w:t>
      </w:r>
      <w:r>
        <w:rPr>
          <w:rFonts w:ascii="宋体" w:hAnsi="宋体"/>
          <w:color w:val="auto"/>
          <w:sz w:val="24"/>
          <w:highlight w:val="none"/>
        </w:rPr>
        <w:t>等</w:t>
      </w:r>
      <w:r>
        <w:rPr>
          <w:rFonts w:hint="eastAsia" w:ascii="宋体" w:hAnsi="宋体"/>
          <w:color w:val="auto"/>
          <w:sz w:val="24"/>
          <w:highlight w:val="none"/>
        </w:rPr>
        <w:t>8</w:t>
      </w:r>
      <w:r>
        <w:rPr>
          <w:rFonts w:ascii="宋体" w:hAnsi="宋体"/>
          <w:color w:val="auto"/>
          <w:sz w:val="24"/>
          <w:highlight w:val="none"/>
        </w:rPr>
        <w:t>部委（局）《关于工程建设项目招</w:t>
      </w:r>
      <w:r>
        <w:rPr>
          <w:rFonts w:hint="eastAsia" w:ascii="宋体" w:hAnsi="宋体"/>
          <w:color w:val="auto"/>
          <w:sz w:val="24"/>
          <w:highlight w:val="none"/>
        </w:rPr>
        <w:t>标</w:t>
      </w:r>
      <w:r>
        <w:rPr>
          <w:rFonts w:ascii="宋体" w:hAnsi="宋体"/>
          <w:color w:val="auto"/>
          <w:sz w:val="24"/>
          <w:highlight w:val="none"/>
        </w:rPr>
        <w:t>投标活动投诉处理办法</w:t>
      </w:r>
      <w:r>
        <w:rPr>
          <w:rFonts w:hint="eastAsia" w:ascii="宋体" w:hAnsi="宋体"/>
          <w:color w:val="auto"/>
          <w:sz w:val="24"/>
          <w:highlight w:val="none"/>
        </w:rPr>
        <w:t>（2013修正）</w:t>
      </w:r>
      <w:r>
        <w:rPr>
          <w:rFonts w:ascii="宋体" w:hAnsi="宋体"/>
          <w:color w:val="auto"/>
          <w:sz w:val="24"/>
          <w:highlight w:val="none"/>
        </w:rPr>
        <w:t>》</w:t>
      </w:r>
      <w:r>
        <w:rPr>
          <w:rFonts w:hint="eastAsia" w:ascii="宋体" w:hAnsi="宋体"/>
          <w:color w:val="auto"/>
          <w:sz w:val="24"/>
          <w:highlight w:val="none"/>
        </w:rPr>
        <w:t>以及《福建省交通运输厅关于规范公路水运工程招投标线上投诉有关事项的通知》（闽交建函〔2020〕72号）等有关</w:t>
      </w:r>
      <w:r>
        <w:rPr>
          <w:rFonts w:ascii="宋体" w:hAnsi="宋体"/>
          <w:color w:val="auto"/>
          <w:sz w:val="24"/>
          <w:highlight w:val="none"/>
        </w:rPr>
        <w:t>规定，投标人和其他利害关系人认为招投标活动不符合法律、行政法规定的。应当先向招标人提出异议，招标人应按《中华人民共和国招标投标法实施条例》规定的时限做出答复，异议答复不能解决的。</w:t>
      </w:r>
      <w:r>
        <w:rPr>
          <w:rFonts w:hint="eastAsia" w:ascii="宋体" w:hAnsi="宋体"/>
          <w:color w:val="auto"/>
          <w:sz w:val="24"/>
          <w:highlight w:val="none"/>
        </w:rPr>
        <w:t>可以向各级行政监督部门逐级投诉（应提供向招标人提出异议的证明函件）。</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9.5.</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投诉人投诉时，应提交投诉书。投诉书应包括以下内容：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1）投诉人的名称、地址及有效联系方式；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2）被投诉人的名称、地址及有效联系方式；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3）投诉事项的基本事实；</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4）相关请求及主张；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5）投诉人是法人的，投诉书必须由其法定代表人或者授权代表签字并盖章；其他组织或个人投诉的，投诉书必须由其主要负责人或投诉人本人签字，并附有效身份证明扫描件，已向有关行政监督部门投诉的、应当一并说明情况，并附上有效线索和相关证明材料。 </w:t>
      </w:r>
      <w:r>
        <w:rPr>
          <w:rFonts w:hint="eastAsia" w:ascii="宋体" w:hAnsi="宋体"/>
          <w:color w:val="auto"/>
          <w:sz w:val="24"/>
          <w:highlight w:val="none"/>
        </w:rPr>
        <w:t>投诉书有关材料是外文的，投诉人应当同时提供其中文译本。</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9.5.</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投诉人不得以投诉为名排挤竞争对手，不得虚假、恶意投诉、阻碍招标投标活动的正常进行。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9.5.</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投诉人认为招投标活动不符合法律、行政法规定的，可以在知道或应当知道之日起10日内提出书面投诉。依照有关行政法规提出异议的，异议答复期不计在内。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9.5.</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 xml:space="preserve">投诉人可以自己直接投诉，也可以委托代理人办理投诉事务。代理人办理投诉事务时，应将授权委托书连同投诉书一并提交投诉机构。授权委托书应当明确有关委托代理的权限和事项。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9.5.</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 xml:space="preserve">负责受理的投诉机构自收到投诉之日起3个工作日内决定是否受理投诉，并自受理投诉之日起30个工作日内做出书面处理决定；需要检验、检测、鉴定、专家评审的，所需时间不计算在内。投诉人缺乏事实根据或者法律依据的或者捏造事实、伪造材料或者以非法手段取得证明材料进行投诉的，负责受理的投诉机构予以驳回投诉。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9.5.</w:t>
      </w:r>
      <w:r>
        <w:rPr>
          <w:rFonts w:hint="eastAsia" w:ascii="宋体" w:hAnsi="宋体"/>
          <w:color w:val="auto"/>
          <w:sz w:val="24"/>
          <w:highlight w:val="none"/>
        </w:rPr>
        <w:t>3</w:t>
      </w:r>
      <w:r>
        <w:rPr>
          <w:rFonts w:ascii="宋体" w:hAnsi="宋体"/>
          <w:color w:val="auto"/>
          <w:sz w:val="24"/>
          <w:highlight w:val="none"/>
        </w:rPr>
        <w:t xml:space="preserve">投诉处理决定做出前，投诉人要求撤回投诉的，应以书面形式提出并说明理由，受理机构根据以下情况，决定是否准予撤回。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9.5.</w:t>
      </w:r>
      <w:r>
        <w:rPr>
          <w:rFonts w:hint="eastAsia" w:ascii="宋体" w:hAnsi="宋体"/>
          <w:color w:val="auto"/>
          <w:sz w:val="24"/>
          <w:highlight w:val="none"/>
        </w:rPr>
        <w:t>3</w:t>
      </w:r>
      <w:r>
        <w:rPr>
          <w:rFonts w:ascii="宋体" w:hAnsi="宋体"/>
          <w:color w:val="auto"/>
          <w:sz w:val="24"/>
          <w:highlight w:val="none"/>
        </w:rPr>
        <w:t>.1已经查实有明显违法行为的，应当不准撤回，并继续调查直至做出处理决定；</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9.5.</w:t>
      </w:r>
      <w:r>
        <w:rPr>
          <w:rFonts w:hint="eastAsia" w:ascii="宋体" w:hAnsi="宋体"/>
          <w:color w:val="auto"/>
          <w:sz w:val="24"/>
          <w:highlight w:val="none"/>
        </w:rPr>
        <w:t>3</w:t>
      </w:r>
      <w:r>
        <w:rPr>
          <w:rFonts w:ascii="宋体" w:hAnsi="宋体"/>
          <w:color w:val="auto"/>
          <w:sz w:val="24"/>
          <w:highlight w:val="none"/>
        </w:rPr>
        <w:t>.2撤回投诉不损害国家利益、社会公共利益或其他当事人合法权益的，准予撤回，投诉处理过程终止。投诉人不得以同一事实和理由再提出投诉。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本项目招投标活动投诉受理机构为：</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单位：</w:t>
      </w:r>
      <w:r>
        <w:rPr>
          <w:rFonts w:ascii="宋体" w:hAnsi="宋体"/>
          <w:bCs/>
          <w:color w:val="auto"/>
          <w:sz w:val="24"/>
          <w:highlight w:val="none"/>
          <w:u w:val="single"/>
        </w:rPr>
        <w:t xml:space="preserve">          </w:t>
      </w:r>
      <w:r>
        <w:rPr>
          <w:rFonts w:hint="eastAsia" w:ascii="宋体" w:hAnsi="宋体"/>
          <w:bCs/>
          <w:color w:val="auto"/>
          <w:sz w:val="24"/>
          <w:highlight w:val="none"/>
        </w:rPr>
        <w:t>：</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投诉电话：</w:t>
      </w:r>
      <w:r>
        <w:rPr>
          <w:rFonts w:ascii="宋体" w:hAnsi="宋体"/>
          <w:bCs/>
          <w:color w:val="auto"/>
          <w:sz w:val="24"/>
          <w:highlight w:val="none"/>
          <w:u w:val="single"/>
        </w:rPr>
        <w:t xml:space="preserve">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通讯地址：</w:t>
      </w:r>
      <w:r>
        <w:rPr>
          <w:rFonts w:ascii="宋体" w:hAnsi="宋体"/>
          <w:bCs/>
          <w:color w:val="auto"/>
          <w:sz w:val="24"/>
          <w:highlight w:val="none"/>
          <w:u w:val="single"/>
        </w:rPr>
        <w:t xml:space="preserve">           </w:t>
      </w:r>
      <w:r>
        <w:rPr>
          <w:rFonts w:ascii="宋体" w:hAnsi="宋体"/>
          <w:bCs/>
          <w:color w:val="auto"/>
          <w:sz w:val="24"/>
          <w:highlight w:val="none"/>
        </w:rPr>
        <w:t xml:space="preserve">    邮 编：</w:t>
      </w:r>
      <w:r>
        <w:rPr>
          <w:rFonts w:ascii="宋体" w:hAnsi="宋体"/>
          <w:bCs/>
          <w:color w:val="auto"/>
          <w:sz w:val="24"/>
          <w:highlight w:val="none"/>
          <w:u w:val="single"/>
        </w:rPr>
        <w:t xml:space="preserve">              </w:t>
      </w:r>
    </w:p>
    <w:p>
      <w:pPr>
        <w:spacing w:line="360" w:lineRule="auto"/>
        <w:ind w:firstLine="480" w:firstLineChars="200"/>
        <w:rPr>
          <w:rFonts w:ascii="宋体" w:hAnsi="宋体"/>
          <w:bCs/>
          <w:color w:val="auto"/>
          <w:sz w:val="24"/>
          <w:highlight w:val="none"/>
          <w:u w:val="singl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单位：</w:t>
      </w:r>
      <w:r>
        <w:rPr>
          <w:rFonts w:ascii="宋体" w:hAnsi="宋体"/>
          <w:bCs/>
          <w:color w:val="auto"/>
          <w:sz w:val="24"/>
          <w:highlight w:val="none"/>
          <w:u w:val="single"/>
        </w:rPr>
        <w:t xml:space="preserve">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投诉电话：</w:t>
      </w:r>
      <w:r>
        <w:rPr>
          <w:rFonts w:ascii="宋体" w:hAnsi="宋体"/>
          <w:bCs/>
          <w:color w:val="auto"/>
          <w:sz w:val="24"/>
          <w:highlight w:val="none"/>
          <w:u w:val="single"/>
        </w:rPr>
        <w:t xml:space="preserve">           </w:t>
      </w:r>
      <w:r>
        <w:rPr>
          <w:rFonts w:ascii="宋体" w:hAnsi="宋体"/>
          <w:bCs/>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地址：</w:t>
      </w:r>
      <w:r>
        <w:rPr>
          <w:rFonts w:ascii="宋体" w:hAnsi="宋体"/>
          <w:bCs/>
          <w:color w:val="auto"/>
          <w:sz w:val="24"/>
          <w:highlight w:val="none"/>
          <w:u w:val="single"/>
        </w:rPr>
        <w:t xml:space="preserve">         </w:t>
      </w:r>
      <w:r>
        <w:rPr>
          <w:rFonts w:ascii="宋体" w:hAnsi="宋体"/>
          <w:bCs/>
          <w:color w:val="auto"/>
          <w:sz w:val="24"/>
          <w:highlight w:val="none"/>
        </w:rPr>
        <w:t xml:space="preserve">   邮编：</w:t>
      </w:r>
      <w:r>
        <w:rPr>
          <w:rFonts w:ascii="宋体" w:hAnsi="宋体"/>
          <w:bCs/>
          <w:color w:val="auto"/>
          <w:sz w:val="24"/>
          <w:highlight w:val="none"/>
          <w:u w:val="single"/>
        </w:rPr>
        <w:t xml:space="preserve">        </w:t>
      </w:r>
      <w:r>
        <w:rPr>
          <w:rFonts w:ascii="宋体" w:hAnsi="宋体"/>
          <w:bCs/>
          <w:color w:val="auto"/>
          <w:sz w:val="24"/>
          <w:highlight w:val="none"/>
        </w:rPr>
        <w:t xml:space="preserve"> </w:t>
      </w:r>
      <w:r>
        <w:rPr>
          <w:rFonts w:ascii="宋体" w:hAnsi="宋体"/>
          <w:b/>
          <w:bCs/>
          <w:color w:val="auto"/>
          <w:sz w:val="24"/>
          <w:highlight w:val="none"/>
        </w:rPr>
        <w:t xml:space="preserve"> </w:t>
      </w:r>
    </w:p>
    <w:p>
      <w:pPr>
        <w:pStyle w:val="4"/>
        <w:spacing w:before="0" w:after="0" w:line="324" w:lineRule="auto"/>
        <w:ind w:firstLine="562" w:firstLineChars="200"/>
        <w:rPr>
          <w:color w:val="auto"/>
          <w:highlight w:val="none"/>
        </w:rPr>
      </w:pPr>
      <w:bookmarkStart w:id="517" w:name="_Toc488650828"/>
      <w:bookmarkStart w:id="518" w:name="_Toc487291506"/>
      <w:r>
        <w:rPr>
          <w:rFonts w:hint="eastAsia"/>
          <w:color w:val="auto"/>
          <w:highlight w:val="none"/>
        </w:rPr>
        <w:t>10</w:t>
      </w:r>
      <w:r>
        <w:rPr>
          <w:color w:val="auto"/>
          <w:highlight w:val="none"/>
        </w:rPr>
        <w:t>．</w:t>
      </w:r>
      <w:r>
        <w:rPr>
          <w:rFonts w:hint="eastAsia"/>
          <w:color w:val="auto"/>
          <w:highlight w:val="none"/>
        </w:rPr>
        <w:t>需要补充的其他内容</w:t>
      </w:r>
      <w:bookmarkEnd w:id="508"/>
      <w:bookmarkEnd w:id="509"/>
      <w:bookmarkEnd w:id="510"/>
      <w:bookmarkEnd w:id="511"/>
      <w:bookmarkEnd w:id="512"/>
      <w:bookmarkEnd w:id="513"/>
      <w:bookmarkEnd w:id="514"/>
      <w:bookmarkEnd w:id="515"/>
      <w:bookmarkEnd w:id="516"/>
      <w:bookmarkEnd w:id="517"/>
      <w:bookmarkEnd w:id="518"/>
    </w:p>
    <w:p>
      <w:pPr>
        <w:spacing w:line="324" w:lineRule="auto"/>
        <w:ind w:firstLine="480" w:firstLineChars="200"/>
        <w:rPr>
          <w:color w:val="auto"/>
          <w:sz w:val="24"/>
          <w:highlight w:val="none"/>
        </w:rPr>
      </w:pPr>
      <w:r>
        <w:rPr>
          <w:rFonts w:hint="eastAsia"/>
          <w:color w:val="auto"/>
          <w:sz w:val="24"/>
          <w:highlight w:val="none"/>
        </w:rPr>
        <w:t>需要补充的其他内容见投标人须知前附表。</w:t>
      </w:r>
    </w:p>
    <w:p>
      <w:pPr>
        <w:rPr>
          <w:color w:val="auto"/>
          <w:highlight w:val="none"/>
        </w:rPr>
      </w:pPr>
    </w:p>
    <w:p>
      <w:pPr>
        <w:wordWrap w:val="0"/>
        <w:spacing w:before="120" w:beforeLines="50" w:line="440" w:lineRule="exact"/>
        <w:jc w:val="center"/>
        <w:rPr>
          <w:rFonts w:eastAsia="黑体"/>
          <w:color w:val="auto"/>
          <w:sz w:val="28"/>
          <w:szCs w:val="28"/>
          <w:highlight w:val="none"/>
          <w:u w:val="single"/>
        </w:rPr>
        <w:sectPr>
          <w:footerReference r:id="rId8" w:type="default"/>
          <w:headerReference r:id="rId7" w:type="even"/>
          <w:footerReference r:id="rId9" w:type="even"/>
          <w:footnotePr>
            <w:numFmt w:val="decimalEnclosedCircleChinese"/>
            <w:numRestart w:val="eachPage"/>
          </w:footnotePr>
          <w:pgSz w:w="11907" w:h="16840"/>
          <w:pgMar w:top="1588" w:right="1588" w:bottom="1474" w:left="1644" w:header="851" w:footer="851" w:gutter="0"/>
          <w:cols w:space="720" w:num="1"/>
          <w:docGrid w:linePitch="312" w:charSpace="0"/>
        </w:sectPr>
      </w:pPr>
    </w:p>
    <w:p>
      <w:pPr>
        <w:pageBreakBefore w:val="0"/>
        <w:kinsoku/>
        <w:wordWrap w:val="0"/>
        <w:overflowPunct/>
        <w:bidi w:val="0"/>
        <w:spacing w:before="120" w:beforeLines="50" w:line="440" w:lineRule="exact"/>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w:t>
      </w:r>
      <w:r>
        <w:rPr>
          <w:rFonts w:eastAsia="黑体"/>
          <w:color w:val="auto"/>
          <w:sz w:val="28"/>
          <w:szCs w:val="28"/>
          <w:highlight w:val="none"/>
          <w:u w:val="single"/>
        </w:rPr>
        <w:t xml:space="preserve">    </w:t>
      </w:r>
      <w:r>
        <w:rPr>
          <w:rFonts w:eastAsia="黑体"/>
          <w:color w:val="auto"/>
          <w:sz w:val="28"/>
          <w:szCs w:val="28"/>
          <w:highlight w:val="none"/>
        </w:rPr>
        <w:t>标段施工监理开标记录表</w:t>
      </w:r>
    </w:p>
    <w:p>
      <w:pPr>
        <w:pageBreakBefore w:val="0"/>
        <w:kinsoku/>
        <w:wordWrap w:val="0"/>
        <w:overflowPunct/>
        <w:bidi w:val="0"/>
        <w:spacing w:line="440" w:lineRule="exact"/>
        <w:jc w:val="right"/>
        <w:rPr>
          <w:color w:val="auto"/>
          <w:sz w:val="24"/>
          <w:highlight w:val="none"/>
        </w:rPr>
      </w:pPr>
      <w:r>
        <w:rPr>
          <w:color w:val="auto"/>
          <w:sz w:val="24"/>
          <w:highlight w:val="none"/>
        </w:rPr>
        <w:t>开标时间：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r>
        <w:rPr>
          <w:color w:val="auto"/>
          <w:sz w:val="24"/>
          <w:highlight w:val="none"/>
          <w:u w:val="single"/>
        </w:rPr>
        <w:t xml:space="preserve">   </w:t>
      </w:r>
      <w:r>
        <w:rPr>
          <w:color w:val="auto"/>
          <w:sz w:val="24"/>
          <w:highlight w:val="none"/>
        </w:rPr>
        <w:t>时</w:t>
      </w:r>
      <w:r>
        <w:rPr>
          <w:color w:val="auto"/>
          <w:sz w:val="24"/>
          <w:highlight w:val="none"/>
          <w:u w:val="single"/>
        </w:rPr>
        <w:t xml:space="preserve">   </w:t>
      </w:r>
      <w:r>
        <w:rPr>
          <w:color w:val="auto"/>
          <w:sz w:val="24"/>
          <w:highlight w:val="none"/>
        </w:rPr>
        <w:t>分</w:t>
      </w:r>
    </w:p>
    <w:tbl>
      <w:tblPr>
        <w:tblStyle w:val="4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1"/>
        <w:gridCol w:w="2135"/>
        <w:gridCol w:w="1261"/>
        <w:gridCol w:w="1120"/>
        <w:gridCol w:w="1134"/>
        <w:gridCol w:w="1134"/>
        <w:gridCol w:w="1134"/>
        <w:gridCol w:w="1546"/>
        <w:gridCol w:w="744"/>
        <w:gridCol w:w="739"/>
        <w:gridCol w:w="788"/>
        <w:gridCol w:w="1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315" w:type="pct"/>
            <w:vMerge w:val="restart"/>
            <w:noWrap w:val="0"/>
            <w:vAlign w:val="center"/>
          </w:tcPr>
          <w:p>
            <w:pPr>
              <w:wordWrap w:val="0"/>
              <w:adjustRightInd w:val="0"/>
              <w:spacing w:line="0" w:lineRule="atLeast"/>
              <w:jc w:val="center"/>
              <w:textAlignment w:val="baseline"/>
              <w:rPr>
                <w:color w:val="auto"/>
                <w:sz w:val="21"/>
                <w:szCs w:val="21"/>
                <w:highlight w:val="none"/>
              </w:rPr>
            </w:pPr>
            <w:r>
              <w:rPr>
                <w:rFonts w:hint="eastAsia"/>
                <w:color w:val="auto"/>
                <w:sz w:val="21"/>
                <w:szCs w:val="21"/>
                <w:highlight w:val="none"/>
                <w:lang w:val="en-US" w:eastAsia="zh-CN"/>
              </w:rPr>
              <w:t>投标序列</w:t>
            </w:r>
            <w:r>
              <w:rPr>
                <w:color w:val="auto"/>
                <w:sz w:val="21"/>
                <w:szCs w:val="21"/>
                <w:highlight w:val="none"/>
              </w:rPr>
              <w:t>号</w:t>
            </w:r>
          </w:p>
        </w:tc>
        <w:tc>
          <w:tcPr>
            <w:tcW w:w="772" w:type="pct"/>
            <w:vMerge w:val="restart"/>
            <w:noWrap w:val="0"/>
            <w:vAlign w:val="center"/>
          </w:tcPr>
          <w:p>
            <w:pPr>
              <w:wordWrap w:val="0"/>
              <w:adjustRightInd w:val="0"/>
              <w:spacing w:line="0" w:lineRule="atLeast"/>
              <w:jc w:val="center"/>
              <w:textAlignment w:val="baseline"/>
              <w:rPr>
                <w:color w:val="auto"/>
                <w:sz w:val="21"/>
                <w:szCs w:val="21"/>
                <w:highlight w:val="none"/>
              </w:rPr>
            </w:pPr>
            <w:r>
              <w:rPr>
                <w:color w:val="auto"/>
                <w:sz w:val="21"/>
                <w:szCs w:val="21"/>
                <w:highlight w:val="none"/>
              </w:rPr>
              <w:t>投标人</w:t>
            </w:r>
            <w:r>
              <w:rPr>
                <w:rFonts w:hint="eastAsia"/>
                <w:color w:val="auto"/>
                <w:sz w:val="21"/>
                <w:szCs w:val="21"/>
                <w:highlight w:val="none"/>
              </w:rPr>
              <w:t>名称</w:t>
            </w:r>
          </w:p>
        </w:tc>
        <w:tc>
          <w:tcPr>
            <w:tcW w:w="456" w:type="pct"/>
            <w:vMerge w:val="restart"/>
            <w:noWrap w:val="0"/>
            <w:vAlign w:val="center"/>
          </w:tcPr>
          <w:p>
            <w:pPr>
              <w:wordWrap w:val="0"/>
              <w:adjustRightInd w:val="0"/>
              <w:spacing w:line="0" w:lineRule="atLeast"/>
              <w:jc w:val="center"/>
              <w:textAlignment w:val="baseline"/>
              <w:rPr>
                <w:rFonts w:hint="eastAsia"/>
                <w:color w:val="auto"/>
                <w:sz w:val="21"/>
                <w:szCs w:val="21"/>
                <w:highlight w:val="none"/>
              </w:rPr>
            </w:pPr>
            <w:r>
              <w:rPr>
                <w:rFonts w:hint="eastAsia" w:ascii="Times New Roman" w:hAnsi="Times New Roman" w:eastAsia="宋体" w:cs="Times New Roman"/>
                <w:color w:val="auto"/>
                <w:sz w:val="21"/>
                <w:szCs w:val="21"/>
                <w:highlight w:val="none"/>
                <w:lang w:val="en-US" w:eastAsia="zh-CN"/>
              </w:rPr>
              <w:t>投标人代表号</w:t>
            </w:r>
          </w:p>
        </w:tc>
        <w:tc>
          <w:tcPr>
            <w:tcW w:w="405" w:type="pct"/>
            <w:vMerge w:val="restart"/>
            <w:noWrap w:val="0"/>
            <w:vAlign w:val="center"/>
          </w:tcPr>
          <w:p>
            <w:pPr>
              <w:wordWrap w:val="0"/>
              <w:adjustRightInd w:val="0"/>
              <w:spacing w:line="0" w:lineRule="atLeast"/>
              <w:jc w:val="center"/>
              <w:textAlignment w:val="baseline"/>
              <w:rPr>
                <w:color w:val="auto"/>
                <w:sz w:val="21"/>
                <w:szCs w:val="21"/>
                <w:highlight w:val="none"/>
              </w:rPr>
            </w:pPr>
            <w:r>
              <w:rPr>
                <w:rFonts w:hint="eastAsia" w:ascii="宋体" w:hAnsi="宋体" w:cs="宋体"/>
                <w:color w:val="auto"/>
                <w:sz w:val="18"/>
                <w:szCs w:val="18"/>
                <w:highlight w:val="none"/>
              </w:rPr>
              <w:t>投标保证金（元）</w:t>
            </w:r>
          </w:p>
        </w:tc>
        <w:tc>
          <w:tcPr>
            <w:tcW w:w="410" w:type="pct"/>
            <w:vMerge w:val="restart"/>
            <w:noWrap w:val="0"/>
            <w:vAlign w:val="center"/>
          </w:tcPr>
          <w:p>
            <w:pPr>
              <w:wordWrap w:val="0"/>
              <w:adjustRightInd w:val="0"/>
              <w:spacing w:line="0" w:lineRule="atLeast"/>
              <w:jc w:val="center"/>
              <w:textAlignment w:val="baseline"/>
              <w:rPr>
                <w:rFonts w:hint="default"/>
                <w:color w:val="auto"/>
                <w:sz w:val="21"/>
                <w:szCs w:val="21"/>
                <w:highlight w:val="none"/>
                <w:lang w:val="en-US" w:eastAsia="zh-CN"/>
              </w:rPr>
            </w:pPr>
            <w:r>
              <w:rPr>
                <w:rFonts w:hint="eastAsia" w:ascii="宋体" w:hAnsi="宋体" w:cs="宋体"/>
                <w:color w:val="auto"/>
                <w:sz w:val="18"/>
                <w:szCs w:val="18"/>
                <w:highlight w:val="none"/>
              </w:rPr>
              <w:t>投标报价（元）</w:t>
            </w:r>
          </w:p>
        </w:tc>
        <w:tc>
          <w:tcPr>
            <w:tcW w:w="410" w:type="pct"/>
            <w:vMerge w:val="restart"/>
            <w:noWrap w:val="0"/>
            <w:vAlign w:val="center"/>
          </w:tcPr>
          <w:p>
            <w:pPr>
              <w:wordWrap w:val="0"/>
              <w:adjustRightInd w:val="0"/>
              <w:spacing w:line="0" w:lineRule="atLeast"/>
              <w:jc w:val="center"/>
              <w:textAlignment w:val="baseline"/>
              <w:rPr>
                <w:rFonts w:hint="default"/>
                <w:color w:val="auto"/>
                <w:sz w:val="21"/>
                <w:szCs w:val="21"/>
                <w:highlight w:val="none"/>
                <w:lang w:val="en-US" w:eastAsia="zh-CN"/>
              </w:rPr>
            </w:pPr>
            <w:r>
              <w:rPr>
                <w:rFonts w:hint="eastAsia"/>
                <w:color w:val="auto"/>
                <w:sz w:val="21"/>
                <w:szCs w:val="21"/>
                <w:highlight w:val="none"/>
                <w:lang w:val="en-US" w:eastAsia="zh-CN"/>
              </w:rPr>
              <w:t>监理服务期</w:t>
            </w:r>
          </w:p>
        </w:tc>
        <w:tc>
          <w:tcPr>
            <w:tcW w:w="410" w:type="pct"/>
            <w:vMerge w:val="restart"/>
            <w:noWrap w:val="0"/>
            <w:vAlign w:val="center"/>
          </w:tcPr>
          <w:p>
            <w:pPr>
              <w:wordWrap w:val="0"/>
              <w:adjustRightInd w:val="0"/>
              <w:spacing w:line="0" w:lineRule="atLeast"/>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总监理工程师姓名及总监证书编号</w:t>
            </w:r>
          </w:p>
        </w:tc>
        <w:tc>
          <w:tcPr>
            <w:tcW w:w="559" w:type="pct"/>
            <w:vMerge w:val="restart"/>
            <w:noWrap w:val="0"/>
            <w:vAlign w:val="center"/>
          </w:tcPr>
          <w:p>
            <w:pPr>
              <w:wordWrap w:val="0"/>
              <w:adjustRightInd w:val="0"/>
              <w:spacing w:line="0" w:lineRule="atLeast"/>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《企业信用声明》使用的信用考核评价等级</w:t>
            </w:r>
          </w:p>
        </w:tc>
        <w:tc>
          <w:tcPr>
            <w:tcW w:w="821" w:type="pct"/>
            <w:gridSpan w:val="3"/>
            <w:tcBorders>
              <w:bottom w:val="single" w:color="auto" w:sz="4" w:space="0"/>
            </w:tcBorders>
            <w:noWrap w:val="0"/>
            <w:vAlign w:val="center"/>
          </w:tcPr>
          <w:p>
            <w:pPr>
              <w:wordWrap w:val="0"/>
              <w:adjustRightInd w:val="0"/>
              <w:spacing w:line="0" w:lineRule="atLeast"/>
              <w:jc w:val="center"/>
              <w:textAlignment w:val="baseline"/>
              <w:rPr>
                <w:rFonts w:hint="default"/>
                <w:color w:val="auto"/>
                <w:sz w:val="21"/>
                <w:szCs w:val="21"/>
                <w:highlight w:val="none"/>
                <w:lang w:val="en-US" w:eastAsia="zh-CN"/>
              </w:rPr>
            </w:pPr>
            <w:r>
              <w:rPr>
                <w:rFonts w:hint="eastAsia"/>
                <w:color w:val="auto"/>
                <w:sz w:val="21"/>
                <w:szCs w:val="21"/>
                <w:highlight w:val="none"/>
                <w:lang w:val="en-US" w:eastAsia="zh-CN"/>
              </w:rPr>
              <w:t>递交投标文件电脑的硬件信息</w:t>
            </w:r>
          </w:p>
        </w:tc>
        <w:tc>
          <w:tcPr>
            <w:tcW w:w="437" w:type="pct"/>
            <w:vMerge w:val="restart"/>
            <w:noWrap w:val="0"/>
            <w:vAlign w:val="center"/>
          </w:tcPr>
          <w:p>
            <w:pPr>
              <w:wordWrap w:val="0"/>
              <w:adjustRightInd w:val="0"/>
              <w:spacing w:line="500" w:lineRule="exact"/>
              <w:jc w:val="center"/>
              <w:textAlignment w:val="baseline"/>
              <w:rPr>
                <w:color w:val="auto"/>
                <w:sz w:val="21"/>
                <w:szCs w:val="21"/>
                <w:highlight w:val="none"/>
              </w:rPr>
            </w:pPr>
            <w:r>
              <w:rPr>
                <w:rFonts w:hint="eastAsia"/>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315" w:type="pct"/>
            <w:vMerge w:val="continue"/>
            <w:noWrap w:val="0"/>
            <w:vAlign w:val="center"/>
          </w:tcPr>
          <w:p>
            <w:pPr>
              <w:wordWrap w:val="0"/>
              <w:adjustRightInd w:val="0"/>
              <w:spacing w:line="0" w:lineRule="atLeast"/>
              <w:jc w:val="center"/>
              <w:textAlignment w:val="baseline"/>
              <w:rPr>
                <w:rFonts w:hint="eastAsia"/>
                <w:color w:val="auto"/>
                <w:sz w:val="21"/>
                <w:szCs w:val="21"/>
                <w:highlight w:val="none"/>
                <w:lang w:val="en-US" w:eastAsia="zh-CN"/>
              </w:rPr>
            </w:pPr>
          </w:p>
        </w:tc>
        <w:tc>
          <w:tcPr>
            <w:tcW w:w="772" w:type="pct"/>
            <w:vMerge w:val="continue"/>
            <w:noWrap w:val="0"/>
            <w:vAlign w:val="center"/>
          </w:tcPr>
          <w:p>
            <w:pPr>
              <w:wordWrap w:val="0"/>
              <w:adjustRightInd w:val="0"/>
              <w:spacing w:line="0" w:lineRule="atLeast"/>
              <w:jc w:val="center"/>
              <w:textAlignment w:val="baseline"/>
              <w:rPr>
                <w:color w:val="auto"/>
                <w:sz w:val="21"/>
                <w:szCs w:val="21"/>
                <w:highlight w:val="none"/>
              </w:rPr>
            </w:pPr>
          </w:p>
        </w:tc>
        <w:tc>
          <w:tcPr>
            <w:tcW w:w="456" w:type="pct"/>
            <w:vMerge w:val="continue"/>
            <w:noWrap w:val="0"/>
            <w:vAlign w:val="center"/>
          </w:tcPr>
          <w:p>
            <w:pPr>
              <w:wordWrap w:val="0"/>
              <w:adjustRightInd w:val="0"/>
              <w:spacing w:line="0" w:lineRule="atLeast"/>
              <w:jc w:val="center"/>
              <w:textAlignment w:val="baseline"/>
              <w:rPr>
                <w:rFonts w:hint="eastAsia"/>
                <w:color w:val="auto"/>
                <w:sz w:val="21"/>
                <w:szCs w:val="21"/>
                <w:highlight w:val="none"/>
              </w:rPr>
            </w:pPr>
          </w:p>
        </w:tc>
        <w:tc>
          <w:tcPr>
            <w:tcW w:w="405" w:type="pct"/>
            <w:vMerge w:val="continue"/>
            <w:noWrap w:val="0"/>
            <w:vAlign w:val="center"/>
          </w:tcPr>
          <w:p>
            <w:pPr>
              <w:wordWrap w:val="0"/>
              <w:adjustRightInd w:val="0"/>
              <w:spacing w:line="0" w:lineRule="atLeast"/>
              <w:jc w:val="center"/>
              <w:textAlignment w:val="baseline"/>
              <w:rPr>
                <w:rFonts w:hint="eastAsia"/>
                <w:color w:val="auto"/>
                <w:sz w:val="21"/>
                <w:szCs w:val="21"/>
                <w:highlight w:val="none"/>
                <w:lang w:val="en-US" w:eastAsia="zh-CN"/>
              </w:rPr>
            </w:pPr>
          </w:p>
        </w:tc>
        <w:tc>
          <w:tcPr>
            <w:tcW w:w="410" w:type="pct"/>
            <w:vMerge w:val="continue"/>
            <w:noWrap w:val="0"/>
            <w:vAlign w:val="center"/>
          </w:tcPr>
          <w:p>
            <w:pPr>
              <w:wordWrap w:val="0"/>
              <w:adjustRightInd w:val="0"/>
              <w:spacing w:line="0" w:lineRule="atLeast"/>
              <w:jc w:val="center"/>
              <w:textAlignment w:val="baseline"/>
              <w:rPr>
                <w:rFonts w:hint="eastAsia"/>
                <w:color w:val="auto"/>
                <w:sz w:val="21"/>
                <w:szCs w:val="21"/>
                <w:highlight w:val="none"/>
                <w:lang w:val="en-US" w:eastAsia="zh-CN"/>
              </w:rPr>
            </w:pPr>
          </w:p>
        </w:tc>
        <w:tc>
          <w:tcPr>
            <w:tcW w:w="410" w:type="pct"/>
            <w:vMerge w:val="continue"/>
            <w:noWrap w:val="0"/>
            <w:vAlign w:val="center"/>
          </w:tcPr>
          <w:p>
            <w:pPr>
              <w:wordWrap w:val="0"/>
              <w:adjustRightInd w:val="0"/>
              <w:spacing w:line="0" w:lineRule="atLeast"/>
              <w:jc w:val="center"/>
              <w:textAlignment w:val="baseline"/>
              <w:rPr>
                <w:rFonts w:hint="eastAsia"/>
                <w:color w:val="auto"/>
                <w:sz w:val="21"/>
                <w:szCs w:val="21"/>
                <w:highlight w:val="none"/>
                <w:lang w:val="en-US" w:eastAsia="zh-CN"/>
              </w:rPr>
            </w:pPr>
          </w:p>
        </w:tc>
        <w:tc>
          <w:tcPr>
            <w:tcW w:w="410" w:type="pct"/>
            <w:vMerge w:val="continue"/>
            <w:noWrap w:val="0"/>
            <w:vAlign w:val="center"/>
          </w:tcPr>
          <w:p>
            <w:pPr>
              <w:wordWrap w:val="0"/>
              <w:adjustRightInd w:val="0"/>
              <w:spacing w:line="0" w:lineRule="atLeast"/>
              <w:jc w:val="center"/>
              <w:textAlignment w:val="baseline"/>
              <w:rPr>
                <w:rFonts w:hint="eastAsia"/>
                <w:color w:val="auto"/>
                <w:sz w:val="21"/>
                <w:szCs w:val="21"/>
                <w:highlight w:val="none"/>
                <w:lang w:val="en-US" w:eastAsia="zh-CN"/>
              </w:rPr>
            </w:pPr>
          </w:p>
        </w:tc>
        <w:tc>
          <w:tcPr>
            <w:tcW w:w="559" w:type="pct"/>
            <w:vMerge w:val="continue"/>
            <w:noWrap w:val="0"/>
            <w:vAlign w:val="center"/>
          </w:tcPr>
          <w:p>
            <w:pPr>
              <w:wordWrap w:val="0"/>
              <w:adjustRightInd w:val="0"/>
              <w:spacing w:line="0" w:lineRule="atLeast"/>
              <w:jc w:val="center"/>
              <w:textAlignment w:val="baseline"/>
              <w:rPr>
                <w:rFonts w:hint="eastAsia"/>
                <w:color w:val="auto"/>
                <w:sz w:val="21"/>
                <w:szCs w:val="21"/>
                <w:highlight w:val="none"/>
                <w:lang w:val="en-US" w:eastAsia="zh-CN"/>
              </w:rPr>
            </w:pPr>
          </w:p>
        </w:tc>
        <w:tc>
          <w:tcPr>
            <w:tcW w:w="269" w:type="pct"/>
            <w:tcBorders>
              <w:top w:val="single" w:color="auto" w:sz="4" w:space="0"/>
              <w:right w:val="single" w:color="auto" w:sz="4" w:space="0"/>
            </w:tcBorders>
            <w:noWrap w:val="0"/>
            <w:vAlign w:val="center"/>
          </w:tcPr>
          <w:p>
            <w:pPr>
              <w:wordWrap w:val="0"/>
              <w:adjustRightInd w:val="0"/>
              <w:spacing w:line="0" w:lineRule="atLeast"/>
              <w:jc w:val="center"/>
              <w:textAlignment w:val="baseline"/>
              <w:rPr>
                <w:rFonts w:hint="eastAsia"/>
                <w:color w:val="auto"/>
                <w:sz w:val="18"/>
                <w:szCs w:val="18"/>
                <w:highlight w:val="none"/>
                <w:lang w:val="en-US" w:eastAsia="zh-CN"/>
              </w:rPr>
            </w:pPr>
            <w:r>
              <w:rPr>
                <w:rFonts w:hint="eastAsia" w:ascii="宋体" w:hAnsi="宋体" w:cs="宋体"/>
                <w:color w:val="auto"/>
                <w:sz w:val="18"/>
                <w:szCs w:val="18"/>
                <w:highlight w:val="none"/>
                <w:shd w:val="clear" w:color="auto" w:fill="auto"/>
              </w:rPr>
              <w:t>MAC地址</w:t>
            </w:r>
          </w:p>
        </w:tc>
        <w:tc>
          <w:tcPr>
            <w:tcW w:w="267" w:type="pct"/>
            <w:tcBorders>
              <w:top w:val="single" w:color="auto" w:sz="4" w:space="0"/>
              <w:left w:val="single" w:color="auto" w:sz="4" w:space="0"/>
              <w:right w:val="single" w:color="auto" w:sz="4" w:space="0"/>
            </w:tcBorders>
            <w:noWrap w:val="0"/>
            <w:vAlign w:val="center"/>
          </w:tcPr>
          <w:p>
            <w:pPr>
              <w:pStyle w:val="115"/>
              <w:spacing w:before="120" w:beforeLines="50" w:line="300" w:lineRule="auto"/>
              <w:jc w:val="center"/>
              <w:rPr>
                <w:rFonts w:hint="eastAsia" w:ascii="宋体" w:hAnsi="宋体" w:cs="宋体"/>
                <w:color w:val="auto"/>
                <w:sz w:val="18"/>
                <w:szCs w:val="18"/>
                <w:highlight w:val="none"/>
                <w:shd w:val="clear" w:color="auto" w:fill="auto"/>
              </w:rPr>
            </w:pPr>
            <w:r>
              <w:rPr>
                <w:rFonts w:hint="eastAsia" w:ascii="宋体" w:hAnsi="宋体" w:cs="宋体"/>
                <w:color w:val="auto"/>
                <w:sz w:val="18"/>
                <w:szCs w:val="18"/>
                <w:highlight w:val="none"/>
                <w:shd w:val="clear" w:color="auto" w:fill="auto"/>
              </w:rPr>
              <w:t>CPU序</w:t>
            </w:r>
          </w:p>
          <w:p>
            <w:pPr>
              <w:wordWrap w:val="0"/>
              <w:adjustRightInd w:val="0"/>
              <w:spacing w:line="0" w:lineRule="atLeast"/>
              <w:jc w:val="center"/>
              <w:textAlignment w:val="baseline"/>
              <w:rPr>
                <w:rFonts w:hint="eastAsia"/>
                <w:color w:val="auto"/>
                <w:sz w:val="18"/>
                <w:szCs w:val="18"/>
                <w:highlight w:val="none"/>
                <w:lang w:val="en-US" w:eastAsia="zh-CN"/>
              </w:rPr>
            </w:pPr>
            <w:r>
              <w:rPr>
                <w:rFonts w:hint="eastAsia" w:ascii="宋体" w:hAnsi="宋体" w:cs="宋体"/>
                <w:color w:val="auto"/>
                <w:sz w:val="18"/>
                <w:szCs w:val="18"/>
                <w:highlight w:val="none"/>
                <w:shd w:val="clear" w:color="auto" w:fill="auto"/>
              </w:rPr>
              <w:t>列号</w:t>
            </w:r>
          </w:p>
        </w:tc>
        <w:tc>
          <w:tcPr>
            <w:tcW w:w="285" w:type="pct"/>
            <w:tcBorders>
              <w:top w:val="single" w:color="auto" w:sz="4" w:space="0"/>
              <w:left w:val="single" w:color="auto" w:sz="4" w:space="0"/>
            </w:tcBorders>
            <w:noWrap w:val="0"/>
            <w:vAlign w:val="center"/>
          </w:tcPr>
          <w:p>
            <w:pPr>
              <w:wordWrap w:val="0"/>
              <w:adjustRightInd w:val="0"/>
              <w:spacing w:line="0" w:lineRule="atLeast"/>
              <w:jc w:val="center"/>
              <w:textAlignment w:val="baseline"/>
              <w:rPr>
                <w:rFonts w:hint="eastAsia"/>
                <w:color w:val="auto"/>
                <w:sz w:val="18"/>
                <w:szCs w:val="18"/>
                <w:highlight w:val="none"/>
                <w:lang w:val="en-US" w:eastAsia="zh-CN"/>
              </w:rPr>
            </w:pPr>
            <w:r>
              <w:rPr>
                <w:rFonts w:hint="eastAsia" w:ascii="宋体" w:hAnsi="宋体" w:cs="宋体"/>
                <w:color w:val="auto"/>
                <w:sz w:val="18"/>
                <w:szCs w:val="18"/>
                <w:highlight w:val="none"/>
                <w:shd w:val="clear" w:color="auto" w:fill="auto"/>
              </w:rPr>
              <w:t>硬盘序列号</w:t>
            </w:r>
          </w:p>
        </w:tc>
        <w:tc>
          <w:tcPr>
            <w:tcW w:w="437" w:type="pct"/>
            <w:vMerge w:val="continue"/>
            <w:noWrap w:val="0"/>
            <w:vAlign w:val="center"/>
          </w:tcPr>
          <w:p>
            <w:pPr>
              <w:wordWrap w:val="0"/>
              <w:adjustRightInd w:val="0"/>
              <w:spacing w:line="500" w:lineRule="exact"/>
              <w:jc w:val="center"/>
              <w:textAlignment w:val="baseline"/>
              <w:rPr>
                <w:rFonts w:hint="eastAsia"/>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315" w:type="pct"/>
            <w:noWrap w:val="0"/>
            <w:vAlign w:val="center"/>
          </w:tcPr>
          <w:p>
            <w:pPr>
              <w:wordWrap w:val="0"/>
              <w:adjustRightInd w:val="0"/>
              <w:spacing w:line="500" w:lineRule="exact"/>
              <w:jc w:val="center"/>
              <w:textAlignment w:val="baseline"/>
              <w:rPr>
                <w:color w:val="auto"/>
                <w:sz w:val="21"/>
                <w:szCs w:val="21"/>
                <w:highlight w:val="none"/>
              </w:rPr>
            </w:pPr>
          </w:p>
        </w:tc>
        <w:tc>
          <w:tcPr>
            <w:tcW w:w="772" w:type="pct"/>
            <w:noWrap w:val="0"/>
            <w:vAlign w:val="center"/>
          </w:tcPr>
          <w:p>
            <w:pPr>
              <w:wordWrap w:val="0"/>
              <w:adjustRightInd w:val="0"/>
              <w:spacing w:line="500" w:lineRule="exact"/>
              <w:jc w:val="center"/>
              <w:textAlignment w:val="baseline"/>
              <w:rPr>
                <w:color w:val="auto"/>
                <w:sz w:val="21"/>
                <w:szCs w:val="21"/>
                <w:highlight w:val="none"/>
              </w:rPr>
            </w:pPr>
          </w:p>
        </w:tc>
        <w:tc>
          <w:tcPr>
            <w:tcW w:w="456" w:type="pct"/>
            <w:noWrap w:val="0"/>
            <w:vAlign w:val="center"/>
          </w:tcPr>
          <w:p>
            <w:pPr>
              <w:wordWrap w:val="0"/>
              <w:adjustRightInd w:val="0"/>
              <w:spacing w:line="500" w:lineRule="exact"/>
              <w:jc w:val="center"/>
              <w:textAlignment w:val="baseline"/>
              <w:rPr>
                <w:color w:val="auto"/>
                <w:sz w:val="21"/>
                <w:szCs w:val="21"/>
                <w:highlight w:val="none"/>
              </w:rPr>
            </w:pPr>
          </w:p>
        </w:tc>
        <w:tc>
          <w:tcPr>
            <w:tcW w:w="405"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559" w:type="pct"/>
            <w:noWrap w:val="0"/>
            <w:vAlign w:val="top"/>
          </w:tcPr>
          <w:p>
            <w:pPr>
              <w:wordWrap w:val="0"/>
              <w:rPr>
                <w:color w:val="auto"/>
                <w:sz w:val="21"/>
                <w:szCs w:val="21"/>
                <w:highlight w:val="none"/>
              </w:rPr>
            </w:pPr>
          </w:p>
        </w:tc>
        <w:tc>
          <w:tcPr>
            <w:tcW w:w="269" w:type="pct"/>
            <w:tcBorders>
              <w:right w:val="single" w:color="auto" w:sz="4" w:space="0"/>
            </w:tcBorders>
            <w:noWrap w:val="0"/>
            <w:vAlign w:val="top"/>
          </w:tcPr>
          <w:p>
            <w:pPr>
              <w:wordWrap w:val="0"/>
              <w:rPr>
                <w:color w:val="auto"/>
                <w:sz w:val="21"/>
                <w:szCs w:val="21"/>
                <w:highlight w:val="none"/>
              </w:rPr>
            </w:pPr>
          </w:p>
        </w:tc>
        <w:tc>
          <w:tcPr>
            <w:tcW w:w="267" w:type="pct"/>
            <w:tcBorders>
              <w:left w:val="single" w:color="auto" w:sz="4" w:space="0"/>
              <w:right w:val="single" w:color="auto" w:sz="4" w:space="0"/>
            </w:tcBorders>
            <w:noWrap w:val="0"/>
            <w:vAlign w:val="top"/>
          </w:tcPr>
          <w:p>
            <w:pPr>
              <w:wordWrap w:val="0"/>
              <w:rPr>
                <w:color w:val="auto"/>
                <w:sz w:val="21"/>
                <w:szCs w:val="21"/>
                <w:highlight w:val="none"/>
              </w:rPr>
            </w:pPr>
          </w:p>
        </w:tc>
        <w:tc>
          <w:tcPr>
            <w:tcW w:w="285" w:type="pct"/>
            <w:tcBorders>
              <w:left w:val="single" w:color="auto" w:sz="4" w:space="0"/>
            </w:tcBorders>
            <w:noWrap w:val="0"/>
            <w:vAlign w:val="top"/>
          </w:tcPr>
          <w:p>
            <w:pPr>
              <w:wordWrap w:val="0"/>
              <w:rPr>
                <w:color w:val="auto"/>
                <w:sz w:val="21"/>
                <w:szCs w:val="21"/>
                <w:highlight w:val="none"/>
              </w:rPr>
            </w:pPr>
          </w:p>
        </w:tc>
        <w:tc>
          <w:tcPr>
            <w:tcW w:w="437" w:type="pct"/>
            <w:noWrap w:val="0"/>
            <w:vAlign w:val="center"/>
          </w:tcPr>
          <w:p>
            <w:pPr>
              <w:wordWrap w:val="0"/>
              <w:adjustRightInd w:val="0"/>
              <w:spacing w:line="500" w:lineRule="exact"/>
              <w:jc w:val="center"/>
              <w:textAlignment w:val="baseline"/>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15" w:type="pct"/>
            <w:noWrap w:val="0"/>
            <w:vAlign w:val="center"/>
          </w:tcPr>
          <w:p>
            <w:pPr>
              <w:wordWrap w:val="0"/>
              <w:adjustRightInd w:val="0"/>
              <w:spacing w:line="500" w:lineRule="exact"/>
              <w:jc w:val="center"/>
              <w:textAlignment w:val="baseline"/>
              <w:rPr>
                <w:color w:val="auto"/>
                <w:sz w:val="21"/>
                <w:szCs w:val="21"/>
                <w:highlight w:val="none"/>
              </w:rPr>
            </w:pPr>
          </w:p>
        </w:tc>
        <w:tc>
          <w:tcPr>
            <w:tcW w:w="772" w:type="pct"/>
            <w:noWrap w:val="0"/>
            <w:vAlign w:val="center"/>
          </w:tcPr>
          <w:p>
            <w:pPr>
              <w:wordWrap w:val="0"/>
              <w:adjustRightInd w:val="0"/>
              <w:spacing w:line="500" w:lineRule="exact"/>
              <w:jc w:val="center"/>
              <w:textAlignment w:val="baseline"/>
              <w:rPr>
                <w:color w:val="auto"/>
                <w:sz w:val="21"/>
                <w:szCs w:val="21"/>
                <w:highlight w:val="none"/>
              </w:rPr>
            </w:pPr>
          </w:p>
        </w:tc>
        <w:tc>
          <w:tcPr>
            <w:tcW w:w="456" w:type="pct"/>
            <w:noWrap w:val="0"/>
            <w:vAlign w:val="center"/>
          </w:tcPr>
          <w:p>
            <w:pPr>
              <w:wordWrap w:val="0"/>
              <w:adjustRightInd w:val="0"/>
              <w:spacing w:line="500" w:lineRule="exact"/>
              <w:jc w:val="center"/>
              <w:textAlignment w:val="baseline"/>
              <w:rPr>
                <w:color w:val="auto"/>
                <w:sz w:val="21"/>
                <w:szCs w:val="21"/>
                <w:highlight w:val="none"/>
              </w:rPr>
            </w:pPr>
          </w:p>
        </w:tc>
        <w:tc>
          <w:tcPr>
            <w:tcW w:w="405"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559" w:type="pct"/>
            <w:noWrap w:val="0"/>
            <w:vAlign w:val="top"/>
          </w:tcPr>
          <w:p>
            <w:pPr>
              <w:wordWrap w:val="0"/>
              <w:rPr>
                <w:color w:val="auto"/>
                <w:sz w:val="21"/>
                <w:szCs w:val="21"/>
                <w:highlight w:val="none"/>
              </w:rPr>
            </w:pPr>
          </w:p>
        </w:tc>
        <w:tc>
          <w:tcPr>
            <w:tcW w:w="269" w:type="pct"/>
            <w:tcBorders>
              <w:right w:val="single" w:color="auto" w:sz="4" w:space="0"/>
            </w:tcBorders>
            <w:noWrap w:val="0"/>
            <w:vAlign w:val="top"/>
          </w:tcPr>
          <w:p>
            <w:pPr>
              <w:wordWrap w:val="0"/>
              <w:rPr>
                <w:color w:val="auto"/>
                <w:sz w:val="21"/>
                <w:szCs w:val="21"/>
                <w:highlight w:val="none"/>
              </w:rPr>
            </w:pPr>
          </w:p>
        </w:tc>
        <w:tc>
          <w:tcPr>
            <w:tcW w:w="267" w:type="pct"/>
            <w:tcBorders>
              <w:left w:val="single" w:color="auto" w:sz="4" w:space="0"/>
              <w:right w:val="single" w:color="auto" w:sz="4" w:space="0"/>
            </w:tcBorders>
            <w:noWrap w:val="0"/>
            <w:vAlign w:val="top"/>
          </w:tcPr>
          <w:p>
            <w:pPr>
              <w:wordWrap w:val="0"/>
              <w:rPr>
                <w:color w:val="auto"/>
                <w:sz w:val="21"/>
                <w:szCs w:val="21"/>
                <w:highlight w:val="none"/>
              </w:rPr>
            </w:pPr>
          </w:p>
        </w:tc>
        <w:tc>
          <w:tcPr>
            <w:tcW w:w="285" w:type="pct"/>
            <w:tcBorders>
              <w:left w:val="single" w:color="auto" w:sz="4" w:space="0"/>
            </w:tcBorders>
            <w:noWrap w:val="0"/>
            <w:vAlign w:val="top"/>
          </w:tcPr>
          <w:p>
            <w:pPr>
              <w:wordWrap w:val="0"/>
              <w:rPr>
                <w:color w:val="auto"/>
                <w:sz w:val="21"/>
                <w:szCs w:val="21"/>
                <w:highlight w:val="none"/>
              </w:rPr>
            </w:pPr>
          </w:p>
        </w:tc>
        <w:tc>
          <w:tcPr>
            <w:tcW w:w="437" w:type="pct"/>
            <w:noWrap w:val="0"/>
            <w:vAlign w:val="center"/>
          </w:tcPr>
          <w:p>
            <w:pPr>
              <w:wordWrap w:val="0"/>
              <w:adjustRightInd w:val="0"/>
              <w:spacing w:line="500" w:lineRule="exact"/>
              <w:jc w:val="center"/>
              <w:textAlignment w:val="baseline"/>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15" w:type="pct"/>
            <w:noWrap w:val="0"/>
            <w:vAlign w:val="center"/>
          </w:tcPr>
          <w:p>
            <w:pPr>
              <w:wordWrap w:val="0"/>
              <w:adjustRightInd w:val="0"/>
              <w:spacing w:line="500" w:lineRule="exact"/>
              <w:jc w:val="center"/>
              <w:textAlignment w:val="baseline"/>
              <w:rPr>
                <w:color w:val="auto"/>
                <w:sz w:val="21"/>
                <w:szCs w:val="21"/>
                <w:highlight w:val="none"/>
              </w:rPr>
            </w:pPr>
          </w:p>
        </w:tc>
        <w:tc>
          <w:tcPr>
            <w:tcW w:w="772" w:type="pct"/>
            <w:noWrap w:val="0"/>
            <w:vAlign w:val="center"/>
          </w:tcPr>
          <w:p>
            <w:pPr>
              <w:wordWrap w:val="0"/>
              <w:adjustRightInd w:val="0"/>
              <w:spacing w:line="500" w:lineRule="exact"/>
              <w:jc w:val="center"/>
              <w:textAlignment w:val="baseline"/>
              <w:rPr>
                <w:color w:val="auto"/>
                <w:sz w:val="21"/>
                <w:szCs w:val="21"/>
                <w:highlight w:val="none"/>
              </w:rPr>
            </w:pPr>
          </w:p>
        </w:tc>
        <w:tc>
          <w:tcPr>
            <w:tcW w:w="456" w:type="pct"/>
            <w:noWrap w:val="0"/>
            <w:vAlign w:val="center"/>
          </w:tcPr>
          <w:p>
            <w:pPr>
              <w:wordWrap w:val="0"/>
              <w:adjustRightInd w:val="0"/>
              <w:spacing w:line="500" w:lineRule="exact"/>
              <w:jc w:val="center"/>
              <w:textAlignment w:val="baseline"/>
              <w:rPr>
                <w:color w:val="auto"/>
                <w:sz w:val="21"/>
                <w:szCs w:val="21"/>
                <w:highlight w:val="none"/>
              </w:rPr>
            </w:pPr>
          </w:p>
        </w:tc>
        <w:tc>
          <w:tcPr>
            <w:tcW w:w="405"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559" w:type="pct"/>
            <w:noWrap w:val="0"/>
            <w:vAlign w:val="top"/>
          </w:tcPr>
          <w:p>
            <w:pPr>
              <w:wordWrap w:val="0"/>
              <w:rPr>
                <w:color w:val="auto"/>
                <w:sz w:val="21"/>
                <w:szCs w:val="21"/>
                <w:highlight w:val="none"/>
              </w:rPr>
            </w:pPr>
          </w:p>
        </w:tc>
        <w:tc>
          <w:tcPr>
            <w:tcW w:w="269" w:type="pct"/>
            <w:tcBorders>
              <w:right w:val="single" w:color="auto" w:sz="4" w:space="0"/>
            </w:tcBorders>
            <w:noWrap w:val="0"/>
            <w:vAlign w:val="top"/>
          </w:tcPr>
          <w:p>
            <w:pPr>
              <w:wordWrap w:val="0"/>
              <w:rPr>
                <w:color w:val="auto"/>
                <w:sz w:val="21"/>
                <w:szCs w:val="21"/>
                <w:highlight w:val="none"/>
              </w:rPr>
            </w:pPr>
          </w:p>
        </w:tc>
        <w:tc>
          <w:tcPr>
            <w:tcW w:w="267" w:type="pct"/>
            <w:tcBorders>
              <w:left w:val="single" w:color="auto" w:sz="4" w:space="0"/>
              <w:right w:val="single" w:color="auto" w:sz="4" w:space="0"/>
            </w:tcBorders>
            <w:noWrap w:val="0"/>
            <w:vAlign w:val="top"/>
          </w:tcPr>
          <w:p>
            <w:pPr>
              <w:wordWrap w:val="0"/>
              <w:rPr>
                <w:color w:val="auto"/>
                <w:sz w:val="21"/>
                <w:szCs w:val="21"/>
                <w:highlight w:val="none"/>
              </w:rPr>
            </w:pPr>
          </w:p>
        </w:tc>
        <w:tc>
          <w:tcPr>
            <w:tcW w:w="285" w:type="pct"/>
            <w:tcBorders>
              <w:left w:val="single" w:color="auto" w:sz="4" w:space="0"/>
            </w:tcBorders>
            <w:noWrap w:val="0"/>
            <w:vAlign w:val="top"/>
          </w:tcPr>
          <w:p>
            <w:pPr>
              <w:wordWrap w:val="0"/>
              <w:rPr>
                <w:color w:val="auto"/>
                <w:sz w:val="21"/>
                <w:szCs w:val="21"/>
                <w:highlight w:val="none"/>
              </w:rPr>
            </w:pPr>
          </w:p>
        </w:tc>
        <w:tc>
          <w:tcPr>
            <w:tcW w:w="437" w:type="pct"/>
            <w:noWrap w:val="0"/>
            <w:vAlign w:val="center"/>
          </w:tcPr>
          <w:p>
            <w:pPr>
              <w:wordWrap w:val="0"/>
              <w:adjustRightInd w:val="0"/>
              <w:spacing w:line="500" w:lineRule="exact"/>
              <w:jc w:val="center"/>
              <w:textAlignment w:val="baseline"/>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15" w:type="pct"/>
            <w:noWrap w:val="0"/>
            <w:vAlign w:val="center"/>
          </w:tcPr>
          <w:p>
            <w:pPr>
              <w:wordWrap w:val="0"/>
              <w:adjustRightInd w:val="0"/>
              <w:spacing w:line="500" w:lineRule="exact"/>
              <w:jc w:val="center"/>
              <w:textAlignment w:val="baseline"/>
              <w:rPr>
                <w:color w:val="auto"/>
                <w:sz w:val="21"/>
                <w:szCs w:val="21"/>
                <w:highlight w:val="none"/>
              </w:rPr>
            </w:pPr>
          </w:p>
        </w:tc>
        <w:tc>
          <w:tcPr>
            <w:tcW w:w="772" w:type="pct"/>
            <w:noWrap w:val="0"/>
            <w:vAlign w:val="center"/>
          </w:tcPr>
          <w:p>
            <w:pPr>
              <w:wordWrap w:val="0"/>
              <w:adjustRightInd w:val="0"/>
              <w:spacing w:line="500" w:lineRule="exact"/>
              <w:jc w:val="center"/>
              <w:textAlignment w:val="baseline"/>
              <w:rPr>
                <w:color w:val="auto"/>
                <w:sz w:val="21"/>
                <w:szCs w:val="21"/>
                <w:highlight w:val="none"/>
              </w:rPr>
            </w:pPr>
          </w:p>
        </w:tc>
        <w:tc>
          <w:tcPr>
            <w:tcW w:w="456" w:type="pct"/>
            <w:noWrap w:val="0"/>
            <w:vAlign w:val="center"/>
          </w:tcPr>
          <w:p>
            <w:pPr>
              <w:wordWrap w:val="0"/>
              <w:adjustRightInd w:val="0"/>
              <w:spacing w:line="500" w:lineRule="exact"/>
              <w:jc w:val="center"/>
              <w:textAlignment w:val="baseline"/>
              <w:rPr>
                <w:color w:val="auto"/>
                <w:sz w:val="21"/>
                <w:szCs w:val="21"/>
                <w:highlight w:val="none"/>
              </w:rPr>
            </w:pPr>
          </w:p>
        </w:tc>
        <w:tc>
          <w:tcPr>
            <w:tcW w:w="405"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559" w:type="pct"/>
            <w:noWrap w:val="0"/>
            <w:vAlign w:val="top"/>
          </w:tcPr>
          <w:p>
            <w:pPr>
              <w:wordWrap w:val="0"/>
              <w:rPr>
                <w:color w:val="auto"/>
                <w:sz w:val="21"/>
                <w:szCs w:val="21"/>
                <w:highlight w:val="none"/>
              </w:rPr>
            </w:pPr>
          </w:p>
        </w:tc>
        <w:tc>
          <w:tcPr>
            <w:tcW w:w="269" w:type="pct"/>
            <w:tcBorders>
              <w:right w:val="single" w:color="auto" w:sz="4" w:space="0"/>
            </w:tcBorders>
            <w:noWrap w:val="0"/>
            <w:vAlign w:val="top"/>
          </w:tcPr>
          <w:p>
            <w:pPr>
              <w:wordWrap w:val="0"/>
              <w:rPr>
                <w:color w:val="auto"/>
                <w:sz w:val="21"/>
                <w:szCs w:val="21"/>
                <w:highlight w:val="none"/>
              </w:rPr>
            </w:pPr>
          </w:p>
        </w:tc>
        <w:tc>
          <w:tcPr>
            <w:tcW w:w="267" w:type="pct"/>
            <w:tcBorders>
              <w:left w:val="single" w:color="auto" w:sz="4" w:space="0"/>
              <w:right w:val="single" w:color="auto" w:sz="4" w:space="0"/>
            </w:tcBorders>
            <w:noWrap w:val="0"/>
            <w:vAlign w:val="top"/>
          </w:tcPr>
          <w:p>
            <w:pPr>
              <w:wordWrap w:val="0"/>
              <w:rPr>
                <w:color w:val="auto"/>
                <w:sz w:val="21"/>
                <w:szCs w:val="21"/>
                <w:highlight w:val="none"/>
              </w:rPr>
            </w:pPr>
          </w:p>
        </w:tc>
        <w:tc>
          <w:tcPr>
            <w:tcW w:w="285" w:type="pct"/>
            <w:tcBorders>
              <w:left w:val="single" w:color="auto" w:sz="4" w:space="0"/>
            </w:tcBorders>
            <w:noWrap w:val="0"/>
            <w:vAlign w:val="top"/>
          </w:tcPr>
          <w:p>
            <w:pPr>
              <w:wordWrap w:val="0"/>
              <w:rPr>
                <w:color w:val="auto"/>
                <w:sz w:val="21"/>
                <w:szCs w:val="21"/>
                <w:highlight w:val="none"/>
              </w:rPr>
            </w:pPr>
          </w:p>
        </w:tc>
        <w:tc>
          <w:tcPr>
            <w:tcW w:w="437" w:type="pct"/>
            <w:noWrap w:val="0"/>
            <w:vAlign w:val="center"/>
          </w:tcPr>
          <w:p>
            <w:pPr>
              <w:wordWrap w:val="0"/>
              <w:adjustRightInd w:val="0"/>
              <w:spacing w:line="500" w:lineRule="exact"/>
              <w:jc w:val="center"/>
              <w:textAlignment w:val="baseline"/>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15" w:type="pct"/>
            <w:noWrap w:val="0"/>
            <w:vAlign w:val="center"/>
          </w:tcPr>
          <w:p>
            <w:pPr>
              <w:wordWrap w:val="0"/>
              <w:adjustRightInd w:val="0"/>
              <w:spacing w:line="500" w:lineRule="exact"/>
              <w:jc w:val="center"/>
              <w:textAlignment w:val="baseline"/>
              <w:rPr>
                <w:color w:val="auto"/>
                <w:sz w:val="21"/>
                <w:szCs w:val="21"/>
                <w:highlight w:val="none"/>
              </w:rPr>
            </w:pPr>
          </w:p>
        </w:tc>
        <w:tc>
          <w:tcPr>
            <w:tcW w:w="772" w:type="pct"/>
            <w:noWrap w:val="0"/>
            <w:vAlign w:val="center"/>
          </w:tcPr>
          <w:p>
            <w:pPr>
              <w:wordWrap w:val="0"/>
              <w:adjustRightInd w:val="0"/>
              <w:spacing w:line="500" w:lineRule="exact"/>
              <w:jc w:val="center"/>
              <w:textAlignment w:val="baseline"/>
              <w:rPr>
                <w:color w:val="auto"/>
                <w:sz w:val="21"/>
                <w:szCs w:val="21"/>
                <w:highlight w:val="none"/>
              </w:rPr>
            </w:pPr>
          </w:p>
        </w:tc>
        <w:tc>
          <w:tcPr>
            <w:tcW w:w="456" w:type="pct"/>
            <w:noWrap w:val="0"/>
            <w:vAlign w:val="center"/>
          </w:tcPr>
          <w:p>
            <w:pPr>
              <w:wordWrap w:val="0"/>
              <w:adjustRightInd w:val="0"/>
              <w:spacing w:line="500" w:lineRule="exact"/>
              <w:jc w:val="center"/>
              <w:textAlignment w:val="baseline"/>
              <w:rPr>
                <w:color w:val="auto"/>
                <w:sz w:val="21"/>
                <w:szCs w:val="21"/>
                <w:highlight w:val="none"/>
              </w:rPr>
            </w:pPr>
          </w:p>
        </w:tc>
        <w:tc>
          <w:tcPr>
            <w:tcW w:w="405"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559" w:type="pct"/>
            <w:noWrap w:val="0"/>
            <w:vAlign w:val="top"/>
          </w:tcPr>
          <w:p>
            <w:pPr>
              <w:wordWrap w:val="0"/>
              <w:rPr>
                <w:color w:val="auto"/>
                <w:sz w:val="21"/>
                <w:szCs w:val="21"/>
                <w:highlight w:val="none"/>
              </w:rPr>
            </w:pPr>
          </w:p>
        </w:tc>
        <w:tc>
          <w:tcPr>
            <w:tcW w:w="269" w:type="pct"/>
            <w:tcBorders>
              <w:right w:val="single" w:color="auto" w:sz="4" w:space="0"/>
            </w:tcBorders>
            <w:noWrap w:val="0"/>
            <w:vAlign w:val="top"/>
          </w:tcPr>
          <w:p>
            <w:pPr>
              <w:wordWrap w:val="0"/>
              <w:rPr>
                <w:color w:val="auto"/>
                <w:sz w:val="21"/>
                <w:szCs w:val="21"/>
                <w:highlight w:val="none"/>
              </w:rPr>
            </w:pPr>
          </w:p>
        </w:tc>
        <w:tc>
          <w:tcPr>
            <w:tcW w:w="267" w:type="pct"/>
            <w:tcBorders>
              <w:left w:val="single" w:color="auto" w:sz="4" w:space="0"/>
              <w:right w:val="single" w:color="auto" w:sz="4" w:space="0"/>
            </w:tcBorders>
            <w:noWrap w:val="0"/>
            <w:vAlign w:val="top"/>
          </w:tcPr>
          <w:p>
            <w:pPr>
              <w:wordWrap w:val="0"/>
              <w:rPr>
                <w:color w:val="auto"/>
                <w:sz w:val="21"/>
                <w:szCs w:val="21"/>
                <w:highlight w:val="none"/>
              </w:rPr>
            </w:pPr>
          </w:p>
        </w:tc>
        <w:tc>
          <w:tcPr>
            <w:tcW w:w="285" w:type="pct"/>
            <w:tcBorders>
              <w:left w:val="single" w:color="auto" w:sz="4" w:space="0"/>
            </w:tcBorders>
            <w:noWrap w:val="0"/>
            <w:vAlign w:val="top"/>
          </w:tcPr>
          <w:p>
            <w:pPr>
              <w:wordWrap w:val="0"/>
              <w:rPr>
                <w:color w:val="auto"/>
                <w:sz w:val="21"/>
                <w:szCs w:val="21"/>
                <w:highlight w:val="none"/>
              </w:rPr>
            </w:pPr>
          </w:p>
        </w:tc>
        <w:tc>
          <w:tcPr>
            <w:tcW w:w="437" w:type="pct"/>
            <w:noWrap w:val="0"/>
            <w:vAlign w:val="center"/>
          </w:tcPr>
          <w:p>
            <w:pPr>
              <w:wordWrap w:val="0"/>
              <w:adjustRightInd w:val="0"/>
              <w:spacing w:line="500" w:lineRule="exact"/>
              <w:jc w:val="center"/>
              <w:textAlignment w:val="baseline"/>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15" w:type="pct"/>
            <w:noWrap w:val="0"/>
            <w:vAlign w:val="center"/>
          </w:tcPr>
          <w:p>
            <w:pPr>
              <w:wordWrap w:val="0"/>
              <w:adjustRightInd w:val="0"/>
              <w:spacing w:line="500" w:lineRule="exact"/>
              <w:jc w:val="center"/>
              <w:textAlignment w:val="baseline"/>
              <w:rPr>
                <w:color w:val="auto"/>
                <w:sz w:val="21"/>
                <w:szCs w:val="21"/>
                <w:highlight w:val="none"/>
              </w:rPr>
            </w:pPr>
          </w:p>
        </w:tc>
        <w:tc>
          <w:tcPr>
            <w:tcW w:w="772" w:type="pct"/>
            <w:noWrap w:val="0"/>
            <w:vAlign w:val="center"/>
          </w:tcPr>
          <w:p>
            <w:pPr>
              <w:wordWrap w:val="0"/>
              <w:adjustRightInd w:val="0"/>
              <w:spacing w:line="500" w:lineRule="exact"/>
              <w:jc w:val="center"/>
              <w:textAlignment w:val="baseline"/>
              <w:rPr>
                <w:color w:val="auto"/>
                <w:sz w:val="21"/>
                <w:szCs w:val="21"/>
                <w:highlight w:val="none"/>
              </w:rPr>
            </w:pPr>
          </w:p>
        </w:tc>
        <w:tc>
          <w:tcPr>
            <w:tcW w:w="456" w:type="pct"/>
            <w:noWrap w:val="0"/>
            <w:vAlign w:val="center"/>
          </w:tcPr>
          <w:p>
            <w:pPr>
              <w:wordWrap w:val="0"/>
              <w:adjustRightInd w:val="0"/>
              <w:spacing w:line="500" w:lineRule="exact"/>
              <w:jc w:val="center"/>
              <w:textAlignment w:val="baseline"/>
              <w:rPr>
                <w:color w:val="auto"/>
                <w:sz w:val="21"/>
                <w:szCs w:val="21"/>
                <w:highlight w:val="none"/>
              </w:rPr>
            </w:pPr>
          </w:p>
        </w:tc>
        <w:tc>
          <w:tcPr>
            <w:tcW w:w="405"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559" w:type="pct"/>
            <w:noWrap w:val="0"/>
            <w:vAlign w:val="top"/>
          </w:tcPr>
          <w:p>
            <w:pPr>
              <w:wordWrap w:val="0"/>
              <w:rPr>
                <w:color w:val="auto"/>
                <w:sz w:val="21"/>
                <w:szCs w:val="21"/>
                <w:highlight w:val="none"/>
              </w:rPr>
            </w:pPr>
          </w:p>
        </w:tc>
        <w:tc>
          <w:tcPr>
            <w:tcW w:w="269" w:type="pct"/>
            <w:tcBorders>
              <w:right w:val="single" w:color="auto" w:sz="4" w:space="0"/>
            </w:tcBorders>
            <w:noWrap w:val="0"/>
            <w:vAlign w:val="top"/>
          </w:tcPr>
          <w:p>
            <w:pPr>
              <w:wordWrap w:val="0"/>
              <w:rPr>
                <w:color w:val="auto"/>
                <w:sz w:val="21"/>
                <w:szCs w:val="21"/>
                <w:highlight w:val="none"/>
              </w:rPr>
            </w:pPr>
          </w:p>
        </w:tc>
        <w:tc>
          <w:tcPr>
            <w:tcW w:w="267" w:type="pct"/>
            <w:tcBorders>
              <w:left w:val="single" w:color="auto" w:sz="4" w:space="0"/>
              <w:right w:val="single" w:color="auto" w:sz="4" w:space="0"/>
            </w:tcBorders>
            <w:noWrap w:val="0"/>
            <w:vAlign w:val="top"/>
          </w:tcPr>
          <w:p>
            <w:pPr>
              <w:wordWrap w:val="0"/>
              <w:rPr>
                <w:color w:val="auto"/>
                <w:sz w:val="21"/>
                <w:szCs w:val="21"/>
                <w:highlight w:val="none"/>
              </w:rPr>
            </w:pPr>
          </w:p>
        </w:tc>
        <w:tc>
          <w:tcPr>
            <w:tcW w:w="285" w:type="pct"/>
            <w:tcBorders>
              <w:left w:val="single" w:color="auto" w:sz="4" w:space="0"/>
            </w:tcBorders>
            <w:noWrap w:val="0"/>
            <w:vAlign w:val="top"/>
          </w:tcPr>
          <w:p>
            <w:pPr>
              <w:wordWrap w:val="0"/>
              <w:rPr>
                <w:color w:val="auto"/>
                <w:sz w:val="21"/>
                <w:szCs w:val="21"/>
                <w:highlight w:val="none"/>
              </w:rPr>
            </w:pPr>
          </w:p>
        </w:tc>
        <w:tc>
          <w:tcPr>
            <w:tcW w:w="437" w:type="pct"/>
            <w:noWrap w:val="0"/>
            <w:vAlign w:val="center"/>
          </w:tcPr>
          <w:p>
            <w:pPr>
              <w:wordWrap w:val="0"/>
              <w:adjustRightInd w:val="0"/>
              <w:spacing w:line="500" w:lineRule="exact"/>
              <w:jc w:val="center"/>
              <w:textAlignment w:val="baseline"/>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15" w:type="pct"/>
            <w:noWrap w:val="0"/>
            <w:vAlign w:val="center"/>
          </w:tcPr>
          <w:p>
            <w:pPr>
              <w:wordWrap w:val="0"/>
              <w:adjustRightInd w:val="0"/>
              <w:spacing w:line="500" w:lineRule="exact"/>
              <w:jc w:val="center"/>
              <w:textAlignment w:val="baseline"/>
              <w:rPr>
                <w:color w:val="auto"/>
                <w:sz w:val="21"/>
                <w:szCs w:val="21"/>
                <w:highlight w:val="none"/>
              </w:rPr>
            </w:pPr>
          </w:p>
        </w:tc>
        <w:tc>
          <w:tcPr>
            <w:tcW w:w="772" w:type="pct"/>
            <w:noWrap w:val="0"/>
            <w:vAlign w:val="center"/>
          </w:tcPr>
          <w:p>
            <w:pPr>
              <w:wordWrap w:val="0"/>
              <w:adjustRightInd w:val="0"/>
              <w:spacing w:line="500" w:lineRule="exact"/>
              <w:jc w:val="center"/>
              <w:textAlignment w:val="baseline"/>
              <w:rPr>
                <w:color w:val="auto"/>
                <w:sz w:val="21"/>
                <w:szCs w:val="21"/>
                <w:highlight w:val="none"/>
              </w:rPr>
            </w:pPr>
          </w:p>
        </w:tc>
        <w:tc>
          <w:tcPr>
            <w:tcW w:w="456" w:type="pct"/>
            <w:noWrap w:val="0"/>
            <w:vAlign w:val="center"/>
          </w:tcPr>
          <w:p>
            <w:pPr>
              <w:wordWrap w:val="0"/>
              <w:adjustRightInd w:val="0"/>
              <w:spacing w:line="500" w:lineRule="exact"/>
              <w:jc w:val="center"/>
              <w:textAlignment w:val="baseline"/>
              <w:rPr>
                <w:color w:val="auto"/>
                <w:sz w:val="21"/>
                <w:szCs w:val="21"/>
                <w:highlight w:val="none"/>
              </w:rPr>
            </w:pPr>
          </w:p>
        </w:tc>
        <w:tc>
          <w:tcPr>
            <w:tcW w:w="405"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410" w:type="pct"/>
            <w:noWrap w:val="0"/>
            <w:vAlign w:val="center"/>
          </w:tcPr>
          <w:p>
            <w:pPr>
              <w:wordWrap w:val="0"/>
              <w:adjustRightInd w:val="0"/>
              <w:spacing w:line="500" w:lineRule="exact"/>
              <w:jc w:val="center"/>
              <w:textAlignment w:val="baseline"/>
              <w:rPr>
                <w:color w:val="auto"/>
                <w:sz w:val="21"/>
                <w:szCs w:val="21"/>
                <w:highlight w:val="none"/>
              </w:rPr>
            </w:pPr>
          </w:p>
        </w:tc>
        <w:tc>
          <w:tcPr>
            <w:tcW w:w="559" w:type="pct"/>
            <w:noWrap w:val="0"/>
            <w:vAlign w:val="top"/>
          </w:tcPr>
          <w:p>
            <w:pPr>
              <w:wordWrap w:val="0"/>
              <w:rPr>
                <w:color w:val="auto"/>
                <w:sz w:val="21"/>
                <w:szCs w:val="21"/>
                <w:highlight w:val="none"/>
              </w:rPr>
            </w:pPr>
          </w:p>
        </w:tc>
        <w:tc>
          <w:tcPr>
            <w:tcW w:w="269" w:type="pct"/>
            <w:tcBorders>
              <w:right w:val="single" w:color="auto" w:sz="4" w:space="0"/>
            </w:tcBorders>
            <w:noWrap w:val="0"/>
            <w:vAlign w:val="top"/>
          </w:tcPr>
          <w:p>
            <w:pPr>
              <w:wordWrap w:val="0"/>
              <w:rPr>
                <w:color w:val="auto"/>
                <w:sz w:val="21"/>
                <w:szCs w:val="21"/>
                <w:highlight w:val="none"/>
              </w:rPr>
            </w:pPr>
          </w:p>
        </w:tc>
        <w:tc>
          <w:tcPr>
            <w:tcW w:w="267" w:type="pct"/>
            <w:tcBorders>
              <w:left w:val="single" w:color="auto" w:sz="4" w:space="0"/>
              <w:right w:val="single" w:color="auto" w:sz="4" w:space="0"/>
            </w:tcBorders>
            <w:noWrap w:val="0"/>
            <w:vAlign w:val="top"/>
          </w:tcPr>
          <w:p>
            <w:pPr>
              <w:wordWrap w:val="0"/>
              <w:rPr>
                <w:color w:val="auto"/>
                <w:sz w:val="21"/>
                <w:szCs w:val="21"/>
                <w:highlight w:val="none"/>
              </w:rPr>
            </w:pPr>
          </w:p>
        </w:tc>
        <w:tc>
          <w:tcPr>
            <w:tcW w:w="285" w:type="pct"/>
            <w:tcBorders>
              <w:left w:val="single" w:color="auto" w:sz="4" w:space="0"/>
            </w:tcBorders>
            <w:noWrap w:val="0"/>
            <w:vAlign w:val="top"/>
          </w:tcPr>
          <w:p>
            <w:pPr>
              <w:wordWrap w:val="0"/>
              <w:rPr>
                <w:color w:val="auto"/>
                <w:sz w:val="21"/>
                <w:szCs w:val="21"/>
                <w:highlight w:val="none"/>
              </w:rPr>
            </w:pPr>
          </w:p>
        </w:tc>
        <w:tc>
          <w:tcPr>
            <w:tcW w:w="437" w:type="pct"/>
            <w:noWrap w:val="0"/>
            <w:vAlign w:val="center"/>
          </w:tcPr>
          <w:p>
            <w:pPr>
              <w:wordWrap w:val="0"/>
              <w:adjustRightInd w:val="0"/>
              <w:spacing w:line="500" w:lineRule="exact"/>
              <w:jc w:val="center"/>
              <w:textAlignment w:val="baseline"/>
              <w:rPr>
                <w:color w:val="auto"/>
                <w:sz w:val="21"/>
                <w:szCs w:val="21"/>
                <w:highlight w:val="none"/>
              </w:rPr>
            </w:pPr>
          </w:p>
        </w:tc>
      </w:tr>
    </w:tbl>
    <w:p>
      <w:pPr>
        <w:pageBreakBefore w:val="0"/>
        <w:kinsoku/>
        <w:wordWrap w:val="0"/>
        <w:overflowPunct/>
        <w:bidi w:val="0"/>
        <w:spacing w:line="620" w:lineRule="exact"/>
        <w:rPr>
          <w:rFonts w:hint="eastAsia"/>
          <w:color w:val="auto"/>
          <w:szCs w:val="21"/>
          <w:highlight w:val="none"/>
        </w:rPr>
      </w:pPr>
    </w:p>
    <w:p>
      <w:pPr>
        <w:pageBreakBefore w:val="0"/>
        <w:kinsoku/>
        <w:wordWrap w:val="0"/>
        <w:overflowPunct/>
        <w:bidi w:val="0"/>
        <w:spacing w:line="620" w:lineRule="exact"/>
        <w:rPr>
          <w:color w:val="auto"/>
          <w:szCs w:val="21"/>
          <w:highlight w:val="none"/>
          <w:u w:val="single"/>
        </w:rPr>
      </w:pPr>
      <w:r>
        <w:rPr>
          <w:color w:val="auto"/>
          <w:szCs w:val="21"/>
          <w:highlight w:val="none"/>
        </w:rPr>
        <w:t>招标人代表：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lang w:val="en-US" w:eastAsia="zh-CN"/>
        </w:rPr>
        <w:t>招标代理机构</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pageBreakBefore w:val="0"/>
        <w:kinsoku/>
        <w:wordWrap w:val="0"/>
        <w:overflowPunct/>
        <w:bidi w:val="0"/>
        <w:spacing w:line="620" w:lineRule="exact"/>
        <w:jc w:val="right"/>
        <w:rPr>
          <w:color w:val="auto"/>
          <w:szCs w:val="21"/>
          <w:highlight w:val="none"/>
        </w:rPr>
        <w:sectPr>
          <w:headerReference r:id="rId10" w:type="default"/>
          <w:footerReference r:id="rId11" w:type="default"/>
          <w:footnotePr>
            <w:numFmt w:val="decimalEnclosedCircleChinese"/>
            <w:numRestart w:val="eachPage"/>
          </w:footnotePr>
          <w:pgSz w:w="16840" w:h="11907" w:orient="landscape"/>
          <w:pgMar w:top="1588" w:right="1588" w:bottom="1531" w:left="1644" w:header="851" w:footer="851" w:gutter="0"/>
          <w:pgNumType w:fmt="decimal"/>
          <w:cols w:space="720" w:num="1"/>
          <w:docGrid w:linePitch="312" w:charSpace="0"/>
        </w:sectPr>
      </w:pPr>
      <w:r>
        <w:rPr>
          <w:color w:val="auto"/>
          <w:szCs w:val="21"/>
          <w:highlight w:val="none"/>
          <w:u w:val="single"/>
        </w:rPr>
        <w:t xml:space="preserve">          </w:t>
      </w:r>
      <w:r>
        <w:rPr>
          <w:color w:val="auto"/>
          <w:szCs w:val="21"/>
          <w:highlight w:val="none"/>
        </w:rPr>
        <w:t xml:space="preserve">年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w:t>
      </w:r>
    </w:p>
    <w:p>
      <w:pPr>
        <w:jc w:val="center"/>
        <w:rPr>
          <w:rFonts w:ascii="黑体" w:eastAsia="黑体"/>
          <w:b/>
          <w:color w:val="auto"/>
          <w:sz w:val="24"/>
          <w:highlight w:val="none"/>
        </w:rPr>
      </w:pPr>
      <w:r>
        <w:rPr>
          <w:rFonts w:hint="eastAsia" w:ascii="黑体" w:eastAsia="黑体"/>
          <w:b/>
          <w:color w:val="auto"/>
          <w:sz w:val="24"/>
          <w:highlight w:val="none"/>
        </w:rPr>
        <w:t>问题澄清通知</w:t>
      </w:r>
    </w:p>
    <w:p>
      <w:pPr>
        <w:jc w:val="center"/>
        <w:rPr>
          <w:color w:val="auto"/>
          <w:szCs w:val="21"/>
          <w:highlight w:val="none"/>
        </w:rPr>
      </w:pPr>
      <w:r>
        <w:rPr>
          <w:rFonts w:hint="eastAsia"/>
          <w:color w:val="auto"/>
          <w:szCs w:val="21"/>
          <w:highlight w:val="none"/>
        </w:rPr>
        <w:t xml:space="preserve"> </w:t>
      </w:r>
    </w:p>
    <w:p>
      <w:pPr>
        <w:ind w:firstLine="5880" w:firstLineChars="2800"/>
        <w:rPr>
          <w:color w:val="auto"/>
          <w:szCs w:val="21"/>
          <w:highlight w:val="none"/>
        </w:rPr>
      </w:pPr>
      <w:r>
        <w:rPr>
          <w:rFonts w:hint="eastAsia"/>
          <w:color w:val="auto"/>
          <w:szCs w:val="21"/>
          <w:highlight w:val="none"/>
        </w:rPr>
        <w:t>编号：</w:t>
      </w:r>
    </w:p>
    <w:p>
      <w:pPr>
        <w:spacing w:line="500" w:lineRule="exact"/>
        <w:ind w:firstLine="3885" w:firstLineChars="1850"/>
        <w:rPr>
          <w:color w:val="auto"/>
          <w:szCs w:val="21"/>
          <w:highlight w:val="none"/>
        </w:rPr>
      </w:pPr>
    </w:p>
    <w:p>
      <w:pPr>
        <w:spacing w:line="500" w:lineRule="exact"/>
        <w:rPr>
          <w:color w:val="auto"/>
          <w:highlight w:val="none"/>
        </w:rPr>
      </w:pPr>
      <w:r>
        <w:rPr>
          <w:rFonts w:hint="eastAsia"/>
          <w:color w:val="auto"/>
          <w:highlight w:val="none"/>
          <w:u w:val="single"/>
        </w:rPr>
        <w:t xml:space="preserve">              </w:t>
      </w:r>
      <w:r>
        <w:rPr>
          <w:rFonts w:hint="eastAsia"/>
          <w:color w:val="auto"/>
          <w:highlight w:val="none"/>
        </w:rPr>
        <w:t>（投标人名称）：</w:t>
      </w:r>
    </w:p>
    <w:p>
      <w:pPr>
        <w:spacing w:line="500" w:lineRule="exact"/>
        <w:ind w:firstLine="525" w:firstLineChars="250"/>
        <w:rPr>
          <w:color w:val="auto"/>
          <w:highlight w:val="none"/>
        </w:rPr>
      </w:pP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施工监理招标的评标委员会，对你方的投标文件进行了仔细的审查，现需要你方对下列问题在线予以澄清：</w:t>
      </w:r>
    </w:p>
    <w:p>
      <w:pPr>
        <w:spacing w:line="500" w:lineRule="exact"/>
        <w:ind w:firstLine="420" w:firstLineChars="200"/>
        <w:rPr>
          <w:color w:val="auto"/>
          <w:highlight w:val="none"/>
        </w:rPr>
      </w:pPr>
      <w:r>
        <w:rPr>
          <w:rFonts w:hint="eastAsia"/>
          <w:color w:val="auto"/>
          <w:highlight w:val="none"/>
        </w:rPr>
        <w:t>1.</w:t>
      </w:r>
    </w:p>
    <w:p>
      <w:pPr>
        <w:spacing w:line="500" w:lineRule="exact"/>
        <w:ind w:firstLine="420" w:firstLineChars="200"/>
        <w:rPr>
          <w:color w:val="auto"/>
          <w:highlight w:val="none"/>
        </w:rPr>
      </w:pPr>
      <w:r>
        <w:rPr>
          <w:rFonts w:hint="eastAsia"/>
          <w:color w:val="auto"/>
          <w:highlight w:val="none"/>
        </w:rPr>
        <w:t>2.</w:t>
      </w:r>
    </w:p>
    <w:p>
      <w:pPr>
        <w:spacing w:line="500" w:lineRule="exact"/>
        <w:ind w:firstLine="420" w:firstLineChars="200"/>
        <w:rPr>
          <w:rFonts w:ascii="宋体" w:hAnsi="宋体"/>
          <w:color w:val="auto"/>
          <w:highlight w:val="none"/>
        </w:rPr>
      </w:pPr>
      <w:r>
        <w:rPr>
          <w:rFonts w:hint="eastAsia" w:ascii="宋体" w:hAnsi="宋体"/>
          <w:color w:val="auto"/>
          <w:highlight w:val="none"/>
        </w:rPr>
        <w:t>……</w:t>
      </w:r>
    </w:p>
    <w:p>
      <w:pPr>
        <w:spacing w:line="500" w:lineRule="exact"/>
        <w:ind w:firstLine="420" w:firstLineChars="200"/>
        <w:rPr>
          <w:rFonts w:ascii="宋体" w:hAnsi="宋体"/>
          <w:color w:val="auto"/>
          <w:highlight w:val="none"/>
        </w:rPr>
      </w:pPr>
    </w:p>
    <w:p>
      <w:pPr>
        <w:spacing w:line="500" w:lineRule="exact"/>
        <w:ind w:left="105" w:leftChars="50" w:firstLine="315" w:firstLineChars="150"/>
        <w:rPr>
          <w:rFonts w:ascii="宋体" w:hAnsi="宋体"/>
          <w:color w:val="auto"/>
          <w:highlight w:val="none"/>
        </w:rPr>
      </w:pPr>
      <w:r>
        <w:rPr>
          <w:rFonts w:hint="eastAsia" w:ascii="宋体" w:hAnsi="宋体"/>
          <w:color w:val="auto"/>
          <w:highlight w:val="none"/>
        </w:rPr>
        <w:t>请将上述问题的澄清于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szCs w:val="21"/>
          <w:highlight w:val="none"/>
        </w:rPr>
        <w:t>_____分___秒</w:t>
      </w:r>
      <w:r>
        <w:rPr>
          <w:rFonts w:hint="eastAsia" w:ascii="宋体" w:hAnsi="宋体"/>
          <w:color w:val="auto"/>
          <w:highlight w:val="none"/>
        </w:rPr>
        <w:t>前在线回复。</w:t>
      </w: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after="120" w:afterLines="50" w:line="360" w:lineRule="auto"/>
        <w:ind w:firstLine="5250" w:firstLineChars="2500"/>
        <w:rPr>
          <w:color w:val="auto"/>
          <w:szCs w:val="21"/>
          <w:highlight w:val="none"/>
        </w:rPr>
      </w:pPr>
      <w:r>
        <w:rPr>
          <w:rFonts w:hint="eastAsia"/>
          <w:color w:val="auto"/>
          <w:szCs w:val="21"/>
          <w:highlight w:val="none"/>
        </w:rPr>
        <w:t>评标工作组负责人：</w:t>
      </w:r>
      <w:r>
        <w:rPr>
          <w:rFonts w:hint="eastAsia"/>
          <w:color w:val="auto"/>
          <w:szCs w:val="21"/>
          <w:highlight w:val="none"/>
          <w:u w:val="single"/>
        </w:rPr>
        <w:t xml:space="preserve">        </w:t>
      </w:r>
      <w:r>
        <w:rPr>
          <w:rFonts w:hint="eastAsia"/>
          <w:color w:val="auto"/>
          <w:szCs w:val="21"/>
          <w:highlight w:val="none"/>
        </w:rPr>
        <w:t>（签字）</w:t>
      </w:r>
    </w:p>
    <w:p>
      <w:pPr>
        <w:spacing w:line="360" w:lineRule="auto"/>
        <w:jc w:val="center"/>
        <w:rPr>
          <w:color w:val="auto"/>
          <w:szCs w:val="21"/>
          <w:highlight w:val="none"/>
        </w:rPr>
      </w:pPr>
      <w:r>
        <w:rPr>
          <w:rFonts w:hint="eastAsia"/>
          <w:color w:val="auto"/>
          <w:szCs w:val="21"/>
          <w:highlight w:val="none"/>
        </w:rPr>
        <w:t xml:space="preserve">                                               日  期：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jc w:val="center"/>
        <w:rPr>
          <w:rFonts w:ascii="黑体" w:eastAsia="黑体"/>
          <w:b/>
          <w:color w:val="auto"/>
          <w:sz w:val="24"/>
          <w:highlight w:val="none"/>
        </w:rPr>
      </w:pPr>
    </w:p>
    <w:p>
      <w:pPr>
        <w:jc w:val="center"/>
        <w:rPr>
          <w:rFonts w:ascii="黑体" w:eastAsia="黑体"/>
          <w:b/>
          <w:color w:val="auto"/>
          <w:sz w:val="24"/>
          <w:highlight w:val="none"/>
        </w:rPr>
      </w:pPr>
    </w:p>
    <w:p>
      <w:pPr>
        <w:jc w:val="center"/>
        <w:rPr>
          <w:rFonts w:ascii="黑体" w:eastAsia="黑体"/>
          <w:b/>
          <w:color w:val="auto"/>
          <w:sz w:val="24"/>
          <w:highlight w:val="none"/>
        </w:rPr>
      </w:pPr>
    </w:p>
    <w:p>
      <w:pPr>
        <w:pStyle w:val="4"/>
        <w:rPr>
          <w:rFonts w:ascii="黑体" w:hAnsi="宋体"/>
          <w:color w:val="auto"/>
          <w:szCs w:val="28"/>
          <w:highlight w:val="none"/>
        </w:rPr>
      </w:pPr>
    </w:p>
    <w:p>
      <w:pPr>
        <w:jc w:val="center"/>
        <w:rPr>
          <w:rFonts w:ascii="黑体" w:eastAsia="黑体"/>
          <w:b/>
          <w:color w:val="auto"/>
          <w:sz w:val="24"/>
          <w:highlight w:val="none"/>
        </w:rPr>
      </w:pPr>
    </w:p>
    <w:p>
      <w:pPr>
        <w:jc w:val="center"/>
        <w:rPr>
          <w:rFonts w:ascii="黑体" w:eastAsia="黑体"/>
          <w:b/>
          <w:color w:val="auto"/>
          <w:sz w:val="24"/>
          <w:highlight w:val="none"/>
        </w:rPr>
      </w:pPr>
    </w:p>
    <w:p>
      <w:pPr>
        <w:jc w:val="center"/>
        <w:rPr>
          <w:rFonts w:ascii="黑体" w:eastAsia="黑体"/>
          <w:b/>
          <w:color w:val="auto"/>
          <w:sz w:val="24"/>
          <w:highlight w:val="none"/>
        </w:rPr>
      </w:pPr>
      <w:r>
        <w:rPr>
          <w:rFonts w:ascii="黑体" w:eastAsia="黑体"/>
          <w:b/>
          <w:color w:val="auto"/>
          <w:sz w:val="24"/>
          <w:highlight w:val="none"/>
        </w:rPr>
        <w:br w:type="page"/>
      </w:r>
      <w:r>
        <w:rPr>
          <w:rFonts w:hint="eastAsia" w:ascii="黑体" w:eastAsia="黑体"/>
          <w:b/>
          <w:color w:val="auto"/>
          <w:sz w:val="24"/>
          <w:highlight w:val="none"/>
        </w:rPr>
        <w:t>问题的澄清</w:t>
      </w:r>
    </w:p>
    <w:p>
      <w:pPr>
        <w:jc w:val="center"/>
        <w:rPr>
          <w:color w:val="auto"/>
          <w:szCs w:val="21"/>
          <w:highlight w:val="none"/>
        </w:rPr>
      </w:pPr>
      <w:r>
        <w:rPr>
          <w:rFonts w:hint="eastAsia"/>
          <w:color w:val="auto"/>
          <w:szCs w:val="21"/>
          <w:highlight w:val="none"/>
        </w:rPr>
        <w:t xml:space="preserve"> </w:t>
      </w:r>
    </w:p>
    <w:p>
      <w:pPr>
        <w:ind w:firstLine="6510" w:firstLineChars="3100"/>
        <w:rPr>
          <w:color w:val="auto"/>
          <w:szCs w:val="21"/>
          <w:highlight w:val="none"/>
        </w:rPr>
      </w:pPr>
      <w:r>
        <w:rPr>
          <w:rFonts w:hint="eastAsia"/>
          <w:color w:val="auto"/>
          <w:szCs w:val="21"/>
          <w:highlight w:val="none"/>
        </w:rPr>
        <w:t>编号：</w:t>
      </w:r>
    </w:p>
    <w:p>
      <w:pPr>
        <w:spacing w:line="500" w:lineRule="exact"/>
        <w:rPr>
          <w:color w:val="auto"/>
          <w:highlight w:val="none"/>
          <w:u w:val="single"/>
        </w:rPr>
      </w:pPr>
    </w:p>
    <w:p>
      <w:pPr>
        <w:spacing w:line="500" w:lineRule="exact"/>
        <w:rPr>
          <w:color w:val="auto"/>
          <w:highlight w:val="none"/>
        </w:rPr>
      </w:pP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施工监理招标评标委员会：</w:t>
      </w:r>
    </w:p>
    <w:p>
      <w:pPr>
        <w:spacing w:line="500" w:lineRule="exact"/>
        <w:ind w:firstLine="435"/>
        <w:rPr>
          <w:color w:val="auto"/>
          <w:highlight w:val="none"/>
        </w:rPr>
      </w:pPr>
    </w:p>
    <w:p>
      <w:pPr>
        <w:spacing w:line="500" w:lineRule="exact"/>
        <w:ind w:firstLine="435"/>
        <w:rPr>
          <w:color w:val="auto"/>
          <w:highlight w:val="none"/>
        </w:rPr>
      </w:pPr>
      <w:r>
        <w:rPr>
          <w:rFonts w:hint="eastAsia"/>
          <w:color w:val="auto"/>
          <w:highlight w:val="none"/>
        </w:rPr>
        <w:t>问题澄清通知（编号：</w:t>
      </w:r>
      <w:r>
        <w:rPr>
          <w:rFonts w:hint="eastAsia"/>
          <w:color w:val="auto"/>
          <w:highlight w:val="none"/>
          <w:u w:val="single"/>
        </w:rPr>
        <w:t xml:space="preserve">     </w:t>
      </w:r>
      <w:r>
        <w:rPr>
          <w:rFonts w:hint="eastAsia"/>
          <w:color w:val="auto"/>
          <w:highlight w:val="none"/>
        </w:rPr>
        <w:t>）已收悉，现澄清如下：</w:t>
      </w:r>
    </w:p>
    <w:p>
      <w:pPr>
        <w:spacing w:line="500" w:lineRule="exact"/>
        <w:ind w:firstLine="420" w:firstLineChars="200"/>
        <w:rPr>
          <w:color w:val="auto"/>
          <w:highlight w:val="none"/>
        </w:rPr>
      </w:pPr>
      <w:r>
        <w:rPr>
          <w:rFonts w:hint="eastAsia"/>
          <w:color w:val="auto"/>
          <w:highlight w:val="none"/>
        </w:rPr>
        <w:t>1.</w:t>
      </w:r>
    </w:p>
    <w:p>
      <w:pPr>
        <w:spacing w:line="500" w:lineRule="exact"/>
        <w:ind w:firstLine="420" w:firstLineChars="200"/>
        <w:rPr>
          <w:color w:val="auto"/>
          <w:highlight w:val="none"/>
        </w:rPr>
      </w:pPr>
      <w:r>
        <w:rPr>
          <w:rFonts w:hint="eastAsia"/>
          <w:color w:val="auto"/>
          <w:highlight w:val="none"/>
        </w:rPr>
        <w:t>2.</w:t>
      </w:r>
    </w:p>
    <w:p>
      <w:pPr>
        <w:spacing w:line="500" w:lineRule="exact"/>
        <w:ind w:firstLine="420" w:firstLineChars="200"/>
        <w:rPr>
          <w:rFonts w:ascii="宋体" w:hAnsi="宋体"/>
          <w:color w:val="auto"/>
          <w:highlight w:val="none"/>
        </w:rPr>
      </w:pPr>
      <w:r>
        <w:rPr>
          <w:rFonts w:hint="eastAsia" w:ascii="宋体" w:hAnsi="宋体"/>
          <w:color w:val="auto"/>
          <w:highlight w:val="none"/>
        </w:rPr>
        <w:t>……</w:t>
      </w: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after="120" w:afterLines="50" w:line="360" w:lineRule="auto"/>
        <w:ind w:firstLine="4200" w:firstLineChars="2000"/>
        <w:rPr>
          <w:color w:val="auto"/>
          <w:szCs w:val="21"/>
          <w:highlight w:val="none"/>
          <w:u w:val="single"/>
        </w:rPr>
      </w:pPr>
      <w:r>
        <w:rPr>
          <w:rFonts w:hint="eastAsia"/>
          <w:color w:val="auto"/>
          <w:szCs w:val="21"/>
          <w:highlight w:val="none"/>
        </w:rPr>
        <w:t>投</w:t>
      </w:r>
      <w:r>
        <w:rPr>
          <w:color w:val="auto"/>
          <w:szCs w:val="21"/>
          <w:highlight w:val="none"/>
        </w:rPr>
        <w:t>标人：</w:t>
      </w:r>
      <w:r>
        <w:rPr>
          <w:rFonts w:hint="eastAsia"/>
          <w:color w:val="auto"/>
          <w:szCs w:val="21"/>
          <w:highlight w:val="none"/>
          <w:u w:val="single"/>
        </w:rPr>
        <w:t xml:space="preserve">                     </w:t>
      </w:r>
      <w:r>
        <w:rPr>
          <w:rFonts w:hint="eastAsia"/>
          <w:color w:val="auto"/>
          <w:szCs w:val="21"/>
          <w:highlight w:val="none"/>
        </w:rPr>
        <w:t xml:space="preserve">（ </w:t>
      </w:r>
      <w:r>
        <w:rPr>
          <w:color w:val="auto"/>
          <w:szCs w:val="21"/>
          <w:highlight w:val="none"/>
        </w:rPr>
        <w:t>全称并盖章）</w:t>
      </w:r>
    </w:p>
    <w:p>
      <w:pPr>
        <w:spacing w:after="120" w:afterLines="50" w:line="360" w:lineRule="auto"/>
        <w:ind w:firstLine="4200" w:firstLineChars="2000"/>
        <w:rPr>
          <w:color w:val="auto"/>
          <w:szCs w:val="21"/>
          <w:highlight w:val="none"/>
        </w:rPr>
      </w:pPr>
      <w:r>
        <w:rPr>
          <w:rFonts w:hint="eastAsia"/>
          <w:color w:val="auto"/>
          <w:szCs w:val="21"/>
          <w:highlight w:val="none"/>
        </w:rPr>
        <w:t>法定代表人或其</w:t>
      </w:r>
      <w:r>
        <w:rPr>
          <w:color w:val="auto"/>
          <w:szCs w:val="21"/>
          <w:highlight w:val="none"/>
        </w:rPr>
        <w:t>委托代理人</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（签字）</w:t>
      </w:r>
    </w:p>
    <w:p>
      <w:pPr>
        <w:spacing w:line="360" w:lineRule="auto"/>
        <w:jc w:val="center"/>
        <w:rPr>
          <w:color w:val="auto"/>
          <w:szCs w:val="21"/>
          <w:highlight w:val="none"/>
        </w:rPr>
      </w:pPr>
      <w:r>
        <w:rPr>
          <w:rFonts w:hint="eastAsia"/>
          <w:color w:val="auto"/>
          <w:szCs w:val="21"/>
          <w:highlight w:val="none"/>
        </w:rPr>
        <w:t xml:space="preserve">                                  日  期：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spacing w:line="500" w:lineRule="exact"/>
        <w:ind w:firstLine="435"/>
        <w:rPr>
          <w:color w:val="auto"/>
          <w:highlight w:val="none"/>
        </w:rPr>
      </w:pPr>
    </w:p>
    <w:p>
      <w:pPr>
        <w:spacing w:line="500" w:lineRule="exact"/>
        <w:ind w:firstLine="435"/>
        <w:rPr>
          <w:color w:val="auto"/>
          <w:highlight w:val="none"/>
        </w:rPr>
      </w:pPr>
    </w:p>
    <w:p>
      <w:pPr>
        <w:spacing w:line="500" w:lineRule="exact"/>
        <w:ind w:firstLine="435"/>
        <w:rPr>
          <w:color w:val="auto"/>
          <w:highlight w:val="none"/>
        </w:rPr>
      </w:pPr>
    </w:p>
    <w:p>
      <w:pPr>
        <w:spacing w:line="500" w:lineRule="exact"/>
        <w:ind w:firstLine="435"/>
        <w:rPr>
          <w:color w:val="auto"/>
          <w:highlight w:val="none"/>
        </w:rPr>
      </w:pPr>
    </w:p>
    <w:p>
      <w:pPr>
        <w:spacing w:line="500" w:lineRule="exact"/>
        <w:ind w:firstLine="435"/>
        <w:rPr>
          <w:color w:val="auto"/>
          <w:highlight w:val="none"/>
        </w:rPr>
      </w:pPr>
    </w:p>
    <w:p>
      <w:pPr>
        <w:spacing w:line="500" w:lineRule="exact"/>
        <w:ind w:firstLine="435"/>
        <w:rPr>
          <w:color w:val="auto"/>
          <w:highlight w:val="none"/>
        </w:rPr>
      </w:pPr>
    </w:p>
    <w:p>
      <w:pPr>
        <w:spacing w:line="500" w:lineRule="exact"/>
        <w:rPr>
          <w:rFonts w:ascii="黑体" w:eastAsia="黑体"/>
          <w:b/>
          <w:color w:val="auto"/>
          <w:sz w:val="28"/>
          <w:szCs w:val="28"/>
          <w:highlight w:val="none"/>
        </w:rPr>
      </w:pPr>
    </w:p>
    <w:p>
      <w:pPr>
        <w:spacing w:line="500" w:lineRule="exact"/>
        <w:ind w:firstLine="435"/>
        <w:rPr>
          <w:rFonts w:ascii="黑体" w:eastAsia="黑体"/>
          <w:b/>
          <w:color w:val="auto"/>
          <w:sz w:val="28"/>
          <w:szCs w:val="28"/>
          <w:highlight w:val="none"/>
        </w:rPr>
      </w:pPr>
    </w:p>
    <w:p>
      <w:pPr>
        <w:spacing w:line="500" w:lineRule="exact"/>
        <w:ind w:firstLine="435"/>
        <w:rPr>
          <w:color w:val="auto"/>
          <w:highlight w:val="none"/>
        </w:rPr>
      </w:pPr>
    </w:p>
    <w:p>
      <w:pPr>
        <w:jc w:val="center"/>
        <w:rPr>
          <w:rFonts w:hint="eastAsia" w:hAnsi="宋体"/>
          <w:b/>
          <w:bCs/>
          <w:color w:val="auto"/>
          <w:sz w:val="36"/>
          <w:szCs w:val="36"/>
          <w:highlight w:val="none"/>
        </w:rPr>
      </w:pPr>
    </w:p>
    <w:p>
      <w:pPr>
        <w:jc w:val="center"/>
        <w:rPr>
          <w:rFonts w:hint="eastAsia" w:ascii="黑体" w:hAnsi="黑体" w:eastAsia="黑体"/>
          <w:b/>
          <w:bCs/>
          <w:color w:val="auto"/>
          <w:sz w:val="32"/>
          <w:szCs w:val="32"/>
          <w:highlight w:val="none"/>
        </w:rPr>
      </w:pPr>
      <w:r>
        <w:rPr>
          <w:rFonts w:hint="eastAsia" w:hAnsi="宋体"/>
          <w:b/>
          <w:bCs/>
          <w:color w:val="auto"/>
          <w:sz w:val="36"/>
          <w:szCs w:val="36"/>
          <w:highlight w:val="none"/>
        </w:rPr>
        <w:t>定标候选人公示</w:t>
      </w:r>
    </w:p>
    <w:p>
      <w:pPr>
        <w:spacing w:line="400" w:lineRule="exact"/>
        <w:ind w:firstLine="480" w:firstLineChars="200"/>
        <w:rPr>
          <w:rFonts w:hint="eastAsia"/>
          <w:color w:val="auto"/>
          <w:sz w:val="24"/>
          <w:highlight w:val="none"/>
        </w:rPr>
      </w:pPr>
      <w:r>
        <w:rPr>
          <w:rFonts w:hint="eastAsia"/>
          <w:color w:val="auto"/>
          <w:sz w:val="24"/>
          <w:highlight w:val="none"/>
        </w:rPr>
        <w:t>招标编号为</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u w:val="single"/>
        </w:rPr>
        <w:t xml:space="preserve">                  </w:t>
      </w:r>
      <w:r>
        <w:rPr>
          <w:rFonts w:hint="eastAsia"/>
          <w:color w:val="auto"/>
          <w:sz w:val="24"/>
          <w:highlight w:val="none"/>
        </w:rPr>
        <w:t>工程建设项目，该工程施工监理招标于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依法公开开标后，资格审查委员会和评标委员会按照招标文件规定的评标标准和方法进行了评审，根据资格审查委员会提交的资格审查报告和评标委员会提交的评标报告，现将资格审查结果、入围投标人、评标结果、定标候选人名单、否决其投标的投标人及否决原因公示如下：</w:t>
      </w:r>
    </w:p>
    <w:p>
      <w:pPr>
        <w:spacing w:line="4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一、入围投标人名单及资格审查结果：</w:t>
      </w:r>
    </w:p>
    <w:p>
      <w:pPr>
        <w:pStyle w:val="17"/>
        <w:spacing w:before="12"/>
        <w:rPr>
          <w:color w:val="auto"/>
          <w:sz w:val="10"/>
          <w:highlight w:val="none"/>
        </w:rPr>
      </w:pP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3225"/>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4" w:type="dxa"/>
            <w:noWrap w:val="0"/>
            <w:vAlign w:val="top"/>
          </w:tcPr>
          <w:p>
            <w:pPr>
              <w:pStyle w:val="115"/>
              <w:spacing w:before="140"/>
              <w:ind w:left="205"/>
              <w:rPr>
                <w:color w:val="auto"/>
                <w:highlight w:val="none"/>
              </w:rPr>
            </w:pPr>
            <w:r>
              <w:rPr>
                <w:color w:val="auto"/>
                <w:highlight w:val="none"/>
              </w:rPr>
              <w:t>序号</w:t>
            </w:r>
          </w:p>
        </w:tc>
        <w:tc>
          <w:tcPr>
            <w:tcW w:w="3225" w:type="dxa"/>
            <w:noWrap w:val="0"/>
            <w:vAlign w:val="top"/>
          </w:tcPr>
          <w:p>
            <w:pPr>
              <w:pStyle w:val="115"/>
              <w:spacing w:before="140"/>
              <w:ind w:left="1067" w:right="1058"/>
              <w:jc w:val="center"/>
              <w:rPr>
                <w:color w:val="auto"/>
                <w:highlight w:val="none"/>
              </w:rPr>
            </w:pPr>
            <w:r>
              <w:rPr>
                <w:color w:val="auto"/>
                <w:highlight w:val="none"/>
              </w:rPr>
              <w:t>投标人名称</w:t>
            </w:r>
          </w:p>
        </w:tc>
        <w:tc>
          <w:tcPr>
            <w:tcW w:w="3827" w:type="dxa"/>
            <w:noWrap w:val="0"/>
            <w:vAlign w:val="top"/>
          </w:tcPr>
          <w:p>
            <w:pPr>
              <w:pStyle w:val="115"/>
              <w:spacing w:before="130"/>
              <w:ind w:left="1232"/>
              <w:rPr>
                <w:color w:val="auto"/>
                <w:sz w:val="10"/>
                <w:highlight w:val="none"/>
              </w:rPr>
            </w:pPr>
            <w:r>
              <w:rPr>
                <w:color w:val="auto"/>
                <w:highlight w:val="none"/>
              </w:rPr>
              <w:t>资格审查结果</w:t>
            </w:r>
            <w:r>
              <w:rPr>
                <w:color w:val="auto"/>
                <w:position w:val="9"/>
                <w:sz w:val="10"/>
                <w:highlight w:val="none"/>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884" w:type="dxa"/>
            <w:noWrap w:val="0"/>
            <w:vAlign w:val="top"/>
          </w:tcPr>
          <w:p>
            <w:pPr>
              <w:pStyle w:val="115"/>
              <w:rPr>
                <w:rFonts w:ascii="Times New Roman"/>
                <w:color w:val="auto"/>
                <w:sz w:val="20"/>
                <w:highlight w:val="none"/>
              </w:rPr>
            </w:pPr>
          </w:p>
        </w:tc>
        <w:tc>
          <w:tcPr>
            <w:tcW w:w="3225" w:type="dxa"/>
            <w:noWrap w:val="0"/>
            <w:vAlign w:val="top"/>
          </w:tcPr>
          <w:p>
            <w:pPr>
              <w:pStyle w:val="115"/>
              <w:rPr>
                <w:rFonts w:ascii="Times New Roman"/>
                <w:color w:val="auto"/>
                <w:sz w:val="20"/>
                <w:highlight w:val="none"/>
              </w:rPr>
            </w:pPr>
          </w:p>
        </w:tc>
        <w:tc>
          <w:tcPr>
            <w:tcW w:w="3827" w:type="dxa"/>
            <w:noWrap w:val="0"/>
            <w:vAlign w:val="top"/>
          </w:tcPr>
          <w:p>
            <w:pPr>
              <w:pStyle w:val="11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4" w:type="dxa"/>
            <w:noWrap w:val="0"/>
            <w:vAlign w:val="top"/>
          </w:tcPr>
          <w:p>
            <w:pPr>
              <w:pStyle w:val="115"/>
              <w:rPr>
                <w:rFonts w:ascii="Times New Roman"/>
                <w:color w:val="auto"/>
                <w:sz w:val="20"/>
                <w:highlight w:val="none"/>
              </w:rPr>
            </w:pPr>
          </w:p>
        </w:tc>
        <w:tc>
          <w:tcPr>
            <w:tcW w:w="3225" w:type="dxa"/>
            <w:noWrap w:val="0"/>
            <w:vAlign w:val="top"/>
          </w:tcPr>
          <w:p>
            <w:pPr>
              <w:pStyle w:val="115"/>
              <w:rPr>
                <w:rFonts w:ascii="Times New Roman"/>
                <w:color w:val="auto"/>
                <w:sz w:val="20"/>
                <w:highlight w:val="none"/>
              </w:rPr>
            </w:pPr>
          </w:p>
        </w:tc>
        <w:tc>
          <w:tcPr>
            <w:tcW w:w="3827" w:type="dxa"/>
            <w:noWrap w:val="0"/>
            <w:vAlign w:val="top"/>
          </w:tcPr>
          <w:p>
            <w:pPr>
              <w:pStyle w:val="11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4" w:type="dxa"/>
            <w:noWrap w:val="0"/>
            <w:vAlign w:val="top"/>
          </w:tcPr>
          <w:p>
            <w:pPr>
              <w:pStyle w:val="115"/>
              <w:rPr>
                <w:rFonts w:ascii="Times New Roman"/>
                <w:color w:val="auto"/>
                <w:sz w:val="20"/>
                <w:highlight w:val="none"/>
              </w:rPr>
            </w:pPr>
          </w:p>
        </w:tc>
        <w:tc>
          <w:tcPr>
            <w:tcW w:w="3225" w:type="dxa"/>
            <w:noWrap w:val="0"/>
            <w:vAlign w:val="top"/>
          </w:tcPr>
          <w:p>
            <w:pPr>
              <w:pStyle w:val="115"/>
              <w:rPr>
                <w:rFonts w:ascii="Times New Roman"/>
                <w:color w:val="auto"/>
                <w:sz w:val="20"/>
                <w:highlight w:val="none"/>
              </w:rPr>
            </w:pPr>
          </w:p>
        </w:tc>
        <w:tc>
          <w:tcPr>
            <w:tcW w:w="3827" w:type="dxa"/>
            <w:noWrap w:val="0"/>
            <w:vAlign w:val="top"/>
          </w:tcPr>
          <w:p>
            <w:pPr>
              <w:pStyle w:val="11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884" w:type="dxa"/>
            <w:noWrap w:val="0"/>
            <w:vAlign w:val="top"/>
          </w:tcPr>
          <w:p>
            <w:pPr>
              <w:pStyle w:val="115"/>
              <w:rPr>
                <w:rFonts w:ascii="Times New Roman"/>
                <w:color w:val="auto"/>
                <w:sz w:val="20"/>
                <w:highlight w:val="none"/>
              </w:rPr>
            </w:pPr>
          </w:p>
        </w:tc>
        <w:tc>
          <w:tcPr>
            <w:tcW w:w="3225" w:type="dxa"/>
            <w:noWrap w:val="0"/>
            <w:vAlign w:val="top"/>
          </w:tcPr>
          <w:p>
            <w:pPr>
              <w:pStyle w:val="115"/>
              <w:rPr>
                <w:rFonts w:ascii="Times New Roman"/>
                <w:color w:val="auto"/>
                <w:sz w:val="20"/>
                <w:highlight w:val="none"/>
              </w:rPr>
            </w:pPr>
          </w:p>
        </w:tc>
        <w:tc>
          <w:tcPr>
            <w:tcW w:w="3827" w:type="dxa"/>
            <w:noWrap w:val="0"/>
            <w:vAlign w:val="top"/>
          </w:tcPr>
          <w:p>
            <w:pPr>
              <w:pStyle w:val="11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4" w:type="dxa"/>
            <w:noWrap w:val="0"/>
            <w:vAlign w:val="top"/>
          </w:tcPr>
          <w:p>
            <w:pPr>
              <w:pStyle w:val="115"/>
              <w:rPr>
                <w:rFonts w:ascii="Times New Roman"/>
                <w:color w:val="auto"/>
                <w:sz w:val="20"/>
                <w:highlight w:val="none"/>
              </w:rPr>
            </w:pPr>
          </w:p>
        </w:tc>
        <w:tc>
          <w:tcPr>
            <w:tcW w:w="3225" w:type="dxa"/>
            <w:noWrap w:val="0"/>
            <w:vAlign w:val="top"/>
          </w:tcPr>
          <w:p>
            <w:pPr>
              <w:pStyle w:val="115"/>
              <w:rPr>
                <w:rFonts w:ascii="Times New Roman"/>
                <w:color w:val="auto"/>
                <w:sz w:val="20"/>
                <w:highlight w:val="none"/>
              </w:rPr>
            </w:pPr>
          </w:p>
        </w:tc>
        <w:tc>
          <w:tcPr>
            <w:tcW w:w="3827" w:type="dxa"/>
            <w:noWrap w:val="0"/>
            <w:vAlign w:val="top"/>
          </w:tcPr>
          <w:p>
            <w:pPr>
              <w:pStyle w:val="115"/>
              <w:rPr>
                <w:rFonts w:ascii="Times New Roman"/>
                <w:color w:val="auto"/>
                <w:sz w:val="20"/>
                <w:highlight w:val="none"/>
              </w:rPr>
            </w:pPr>
          </w:p>
        </w:tc>
      </w:tr>
    </w:tbl>
    <w:p>
      <w:pPr>
        <w:tabs>
          <w:tab w:val="left" w:pos="1140"/>
        </w:tabs>
        <w:spacing w:line="360" w:lineRule="auto"/>
        <w:ind w:firstLine="426"/>
        <w:rPr>
          <w:color w:val="auto"/>
          <w:sz w:val="24"/>
          <w:highlight w:val="none"/>
        </w:rPr>
      </w:pPr>
      <w:r>
        <w:rPr>
          <w:rFonts w:hint="eastAsia" w:ascii="Times New Roman" w:hAnsi="Times New Roman"/>
          <w:color w:val="auto"/>
          <w:sz w:val="24"/>
          <w:highlight w:val="none"/>
        </w:rPr>
        <w:t>二、推荐的定标候选人及主要投标内容：</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888"/>
        <w:gridCol w:w="789"/>
        <w:gridCol w:w="1224"/>
        <w:gridCol w:w="1032"/>
        <w:gridCol w:w="1308"/>
        <w:gridCol w:w="900"/>
        <w:gridCol w:w="90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657" w:type="dxa"/>
            <w:tcBorders>
              <w:tl2br w:val="single" w:color="auto" w:sz="4" w:space="0"/>
            </w:tcBorders>
            <w:noWrap w:val="0"/>
            <w:vAlign w:val="top"/>
          </w:tcPr>
          <w:p>
            <w:pPr>
              <w:tabs>
                <w:tab w:val="left" w:pos="1140"/>
              </w:tabs>
              <w:rPr>
                <w:color w:val="auto"/>
                <w:szCs w:val="21"/>
                <w:highlight w:val="none"/>
              </w:rPr>
            </w:pPr>
          </w:p>
          <w:p>
            <w:pPr>
              <w:tabs>
                <w:tab w:val="left" w:pos="1140"/>
              </w:tabs>
              <w:ind w:firstLine="420" w:firstLineChars="200"/>
              <w:rPr>
                <w:rFonts w:hint="eastAsia"/>
                <w:color w:val="auto"/>
                <w:szCs w:val="21"/>
                <w:highlight w:val="none"/>
              </w:rPr>
            </w:pPr>
            <w:r>
              <w:rPr>
                <w:rFonts w:hint="eastAsia"/>
                <w:color w:val="auto"/>
                <w:szCs w:val="21"/>
                <w:highlight w:val="none"/>
              </w:rPr>
              <w:t>投标</w:t>
            </w:r>
          </w:p>
          <w:p>
            <w:pPr>
              <w:tabs>
                <w:tab w:val="left" w:pos="1140"/>
              </w:tabs>
              <w:ind w:firstLine="420" w:firstLineChars="200"/>
              <w:rPr>
                <w:color w:val="auto"/>
                <w:szCs w:val="21"/>
                <w:highlight w:val="none"/>
              </w:rPr>
            </w:pPr>
            <w:r>
              <w:rPr>
                <w:rFonts w:hint="eastAsia"/>
                <w:color w:val="auto"/>
                <w:szCs w:val="21"/>
                <w:highlight w:val="none"/>
              </w:rPr>
              <w:t>主要内容</w:t>
            </w:r>
          </w:p>
          <w:p>
            <w:pPr>
              <w:tabs>
                <w:tab w:val="left" w:pos="1140"/>
              </w:tabs>
              <w:rPr>
                <w:rFonts w:hint="eastAsia"/>
                <w:color w:val="auto"/>
                <w:szCs w:val="21"/>
                <w:highlight w:val="none"/>
              </w:rPr>
            </w:pPr>
          </w:p>
          <w:p>
            <w:pPr>
              <w:tabs>
                <w:tab w:val="left" w:pos="1140"/>
              </w:tabs>
              <w:rPr>
                <w:rFonts w:hint="eastAsia"/>
                <w:color w:val="auto"/>
                <w:szCs w:val="21"/>
                <w:highlight w:val="none"/>
              </w:rPr>
            </w:pPr>
          </w:p>
          <w:p>
            <w:pPr>
              <w:tabs>
                <w:tab w:val="left" w:pos="1140"/>
              </w:tabs>
              <w:rPr>
                <w:rFonts w:hint="eastAsia"/>
                <w:color w:val="auto"/>
                <w:szCs w:val="21"/>
                <w:highlight w:val="none"/>
              </w:rPr>
            </w:pPr>
          </w:p>
          <w:p>
            <w:pPr>
              <w:tabs>
                <w:tab w:val="left" w:pos="1140"/>
              </w:tabs>
              <w:rPr>
                <w:rFonts w:hint="eastAsia"/>
                <w:color w:val="auto"/>
                <w:szCs w:val="21"/>
                <w:highlight w:val="none"/>
              </w:rPr>
            </w:pPr>
            <w:r>
              <w:rPr>
                <w:rFonts w:hint="eastAsia"/>
                <w:color w:val="auto"/>
                <w:szCs w:val="21"/>
                <w:highlight w:val="none"/>
              </w:rPr>
              <w:t>定标候选人</w:t>
            </w:r>
          </w:p>
          <w:p>
            <w:pPr>
              <w:tabs>
                <w:tab w:val="left" w:pos="1140"/>
              </w:tabs>
              <w:rPr>
                <w:color w:val="auto"/>
                <w:szCs w:val="21"/>
                <w:highlight w:val="none"/>
              </w:rPr>
            </w:pPr>
          </w:p>
        </w:tc>
        <w:tc>
          <w:tcPr>
            <w:tcW w:w="888" w:type="dxa"/>
            <w:noWrap w:val="0"/>
            <w:vAlign w:val="center"/>
          </w:tcPr>
          <w:p>
            <w:pPr>
              <w:tabs>
                <w:tab w:val="left" w:pos="1140"/>
              </w:tabs>
              <w:jc w:val="center"/>
              <w:rPr>
                <w:color w:val="auto"/>
                <w:szCs w:val="21"/>
                <w:highlight w:val="none"/>
              </w:rPr>
            </w:pPr>
            <w:r>
              <w:rPr>
                <w:rFonts w:hint="eastAsia" w:ascii="Calibri" w:hAnsi="Calibri"/>
                <w:color w:val="auto"/>
                <w:sz w:val="24"/>
                <w:szCs w:val="24"/>
                <w:highlight w:val="none"/>
              </w:rPr>
              <w:t>监理服务费报价（元）</w:t>
            </w:r>
          </w:p>
        </w:tc>
        <w:tc>
          <w:tcPr>
            <w:tcW w:w="789" w:type="dxa"/>
            <w:noWrap w:val="0"/>
            <w:vAlign w:val="center"/>
          </w:tcPr>
          <w:p>
            <w:pPr>
              <w:tabs>
                <w:tab w:val="left" w:pos="1140"/>
              </w:tabs>
              <w:jc w:val="center"/>
              <w:rPr>
                <w:color w:val="auto"/>
                <w:szCs w:val="21"/>
                <w:highlight w:val="none"/>
              </w:rPr>
            </w:pPr>
            <w:r>
              <w:rPr>
                <w:rFonts w:hint="eastAsia"/>
                <w:color w:val="auto"/>
                <w:sz w:val="24"/>
                <w:highlight w:val="none"/>
              </w:rPr>
              <w:t>总监理工程师姓名</w:t>
            </w:r>
          </w:p>
        </w:tc>
        <w:tc>
          <w:tcPr>
            <w:tcW w:w="1224" w:type="dxa"/>
            <w:noWrap w:val="0"/>
            <w:vAlign w:val="center"/>
          </w:tcPr>
          <w:p>
            <w:pPr>
              <w:tabs>
                <w:tab w:val="left" w:pos="1140"/>
              </w:tabs>
              <w:jc w:val="center"/>
              <w:rPr>
                <w:rFonts w:hint="eastAsia" w:ascii="宋体" w:hAnsi="宋体"/>
                <w:color w:val="auto"/>
                <w:szCs w:val="21"/>
                <w:highlight w:val="none"/>
              </w:rPr>
            </w:pPr>
            <w:r>
              <w:rPr>
                <w:rFonts w:hint="eastAsia"/>
                <w:color w:val="auto"/>
                <w:sz w:val="24"/>
                <w:highlight w:val="none"/>
              </w:rPr>
              <w:t>总监理工程师相关个人工程业绩（如有时）</w:t>
            </w:r>
          </w:p>
        </w:tc>
        <w:tc>
          <w:tcPr>
            <w:tcW w:w="1032" w:type="dxa"/>
            <w:noWrap w:val="0"/>
            <w:vAlign w:val="center"/>
          </w:tcPr>
          <w:p>
            <w:pPr>
              <w:tabs>
                <w:tab w:val="left" w:pos="1140"/>
              </w:tabs>
              <w:jc w:val="center"/>
              <w:rPr>
                <w:color w:val="auto"/>
                <w:szCs w:val="21"/>
                <w:highlight w:val="none"/>
              </w:rPr>
            </w:pPr>
            <w:r>
              <w:rPr>
                <w:rFonts w:hint="eastAsia"/>
                <w:color w:val="auto"/>
                <w:sz w:val="24"/>
                <w:highlight w:val="none"/>
              </w:rPr>
              <w:t>总监理工程师监相关证书</w:t>
            </w:r>
          </w:p>
        </w:tc>
        <w:tc>
          <w:tcPr>
            <w:tcW w:w="1308" w:type="dxa"/>
            <w:noWrap w:val="0"/>
            <w:vAlign w:val="center"/>
          </w:tcPr>
          <w:p>
            <w:pPr>
              <w:tabs>
                <w:tab w:val="left" w:pos="1140"/>
              </w:tabs>
              <w:jc w:val="center"/>
              <w:rPr>
                <w:color w:val="auto"/>
                <w:szCs w:val="21"/>
                <w:highlight w:val="none"/>
              </w:rPr>
            </w:pPr>
            <w:r>
              <w:rPr>
                <w:rFonts w:hint="eastAsia"/>
                <w:color w:val="auto"/>
                <w:sz w:val="24"/>
                <w:highlight w:val="none"/>
              </w:rPr>
              <w:t>定标候选人同类同等工程业绩（如有时）</w:t>
            </w:r>
          </w:p>
        </w:tc>
        <w:tc>
          <w:tcPr>
            <w:tcW w:w="900" w:type="dxa"/>
            <w:noWrap w:val="0"/>
            <w:vAlign w:val="center"/>
          </w:tcPr>
          <w:p>
            <w:pPr>
              <w:tabs>
                <w:tab w:val="left" w:pos="1140"/>
              </w:tabs>
              <w:jc w:val="center"/>
              <w:rPr>
                <w:rFonts w:hint="eastAsia"/>
                <w:color w:val="auto"/>
                <w:sz w:val="24"/>
                <w:highlight w:val="none"/>
              </w:rPr>
            </w:pPr>
            <w:r>
              <w:rPr>
                <w:rFonts w:hint="eastAsia"/>
                <w:color w:val="auto"/>
                <w:sz w:val="24"/>
                <w:highlight w:val="none"/>
                <w:lang w:val="en-US" w:eastAsia="zh-CN"/>
              </w:rPr>
              <w:t>企业及人员</w:t>
            </w:r>
            <w:r>
              <w:rPr>
                <w:rFonts w:hint="eastAsia"/>
                <w:color w:val="auto"/>
                <w:sz w:val="24"/>
                <w:highlight w:val="none"/>
              </w:rPr>
              <w:t>信用分享用情况</w:t>
            </w:r>
            <w:r>
              <w:rPr>
                <w:rFonts w:hint="eastAsia"/>
                <w:color w:val="auto"/>
                <w:sz w:val="24"/>
                <w:highlight w:val="none"/>
                <w:lang w:eastAsia="zh-CN"/>
              </w:rPr>
              <w:t>（</w:t>
            </w:r>
            <w:r>
              <w:rPr>
                <w:rFonts w:hint="eastAsia"/>
                <w:color w:val="auto"/>
                <w:sz w:val="24"/>
                <w:highlight w:val="none"/>
                <w:lang w:val="en-US" w:eastAsia="zh-CN"/>
              </w:rPr>
              <w:t>如有</w:t>
            </w:r>
            <w:r>
              <w:rPr>
                <w:rFonts w:hint="eastAsia"/>
                <w:color w:val="auto"/>
                <w:sz w:val="24"/>
                <w:highlight w:val="none"/>
                <w:lang w:eastAsia="zh-CN"/>
              </w:rPr>
              <w:t>）</w:t>
            </w:r>
          </w:p>
        </w:tc>
        <w:tc>
          <w:tcPr>
            <w:tcW w:w="900" w:type="dxa"/>
            <w:noWrap w:val="0"/>
            <w:vAlign w:val="center"/>
          </w:tcPr>
          <w:p>
            <w:pPr>
              <w:tabs>
                <w:tab w:val="left" w:pos="1140"/>
              </w:tabs>
              <w:jc w:val="center"/>
              <w:rPr>
                <w:color w:val="auto"/>
                <w:szCs w:val="21"/>
                <w:highlight w:val="none"/>
              </w:rPr>
            </w:pPr>
            <w:r>
              <w:rPr>
                <w:rFonts w:hint="eastAsia"/>
                <w:color w:val="auto"/>
                <w:sz w:val="24"/>
                <w:highlight w:val="none"/>
              </w:rPr>
              <w:t>监理服务期</w:t>
            </w:r>
          </w:p>
        </w:tc>
        <w:tc>
          <w:tcPr>
            <w:tcW w:w="953" w:type="dxa"/>
            <w:noWrap w:val="0"/>
            <w:vAlign w:val="center"/>
          </w:tcPr>
          <w:p>
            <w:pPr>
              <w:tabs>
                <w:tab w:val="left" w:pos="1140"/>
              </w:tabs>
              <w:jc w:val="center"/>
              <w:rPr>
                <w:rFonts w:hint="eastAsia"/>
                <w:color w:val="auto"/>
                <w:szCs w:val="21"/>
                <w:highlight w:val="none"/>
              </w:rPr>
            </w:pPr>
            <w:r>
              <w:rPr>
                <w:rFonts w:hint="eastAsia"/>
                <w:color w:val="auto"/>
                <w:sz w:val="24"/>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rFonts w:hint="eastAsia" w:ascii="宋体" w:hAnsi="宋体"/>
                <w:color w:val="auto"/>
                <w:szCs w:val="21"/>
                <w:highlight w:val="none"/>
              </w:rPr>
            </w:pPr>
          </w:p>
        </w:tc>
        <w:tc>
          <w:tcPr>
            <w:tcW w:w="888" w:type="dxa"/>
            <w:noWrap w:val="0"/>
            <w:vAlign w:val="top"/>
          </w:tcPr>
          <w:p>
            <w:pPr>
              <w:spacing w:line="400" w:lineRule="exact"/>
              <w:jc w:val="center"/>
              <w:rPr>
                <w:rFonts w:ascii="宋体" w:hAnsi="宋体"/>
                <w:color w:val="auto"/>
                <w:szCs w:val="21"/>
                <w:highlight w:val="none"/>
              </w:rPr>
            </w:pPr>
          </w:p>
        </w:tc>
        <w:tc>
          <w:tcPr>
            <w:tcW w:w="789" w:type="dxa"/>
            <w:noWrap w:val="0"/>
            <w:vAlign w:val="top"/>
          </w:tcPr>
          <w:p>
            <w:pPr>
              <w:spacing w:line="400" w:lineRule="exact"/>
              <w:jc w:val="center"/>
              <w:rPr>
                <w:rFonts w:ascii="宋体" w:hAnsi="宋体"/>
                <w:color w:val="auto"/>
                <w:szCs w:val="21"/>
                <w:highlight w:val="none"/>
              </w:rPr>
            </w:pPr>
          </w:p>
        </w:tc>
        <w:tc>
          <w:tcPr>
            <w:tcW w:w="1224" w:type="dxa"/>
            <w:noWrap w:val="0"/>
            <w:vAlign w:val="top"/>
          </w:tcPr>
          <w:p>
            <w:pPr>
              <w:spacing w:line="400" w:lineRule="exact"/>
              <w:jc w:val="center"/>
              <w:rPr>
                <w:rFonts w:ascii="宋体" w:hAnsi="宋体"/>
                <w:color w:val="auto"/>
                <w:szCs w:val="21"/>
                <w:highlight w:val="none"/>
              </w:rPr>
            </w:pPr>
          </w:p>
        </w:tc>
        <w:tc>
          <w:tcPr>
            <w:tcW w:w="1032" w:type="dxa"/>
            <w:noWrap w:val="0"/>
            <w:vAlign w:val="top"/>
          </w:tcPr>
          <w:p>
            <w:pPr>
              <w:spacing w:line="400" w:lineRule="exact"/>
              <w:jc w:val="center"/>
              <w:rPr>
                <w:rFonts w:ascii="宋体" w:hAnsi="宋体"/>
                <w:color w:val="auto"/>
                <w:szCs w:val="21"/>
                <w:highlight w:val="none"/>
              </w:rPr>
            </w:pPr>
          </w:p>
        </w:tc>
        <w:tc>
          <w:tcPr>
            <w:tcW w:w="1308" w:type="dxa"/>
            <w:noWrap w:val="0"/>
            <w:vAlign w:val="top"/>
          </w:tcPr>
          <w:p>
            <w:pPr>
              <w:spacing w:line="400" w:lineRule="exact"/>
              <w:jc w:val="center"/>
              <w:rPr>
                <w:rFonts w:ascii="宋体" w:hAnsi="宋体"/>
                <w:color w:val="auto"/>
                <w:szCs w:val="21"/>
                <w:highlight w:val="none"/>
              </w:rPr>
            </w:pPr>
          </w:p>
        </w:tc>
        <w:tc>
          <w:tcPr>
            <w:tcW w:w="900" w:type="dxa"/>
            <w:noWrap w:val="0"/>
            <w:vAlign w:val="top"/>
          </w:tcPr>
          <w:p>
            <w:pPr>
              <w:spacing w:line="400" w:lineRule="exact"/>
              <w:jc w:val="center"/>
              <w:rPr>
                <w:rFonts w:ascii="宋体" w:hAnsi="宋体"/>
                <w:color w:val="auto"/>
                <w:szCs w:val="21"/>
                <w:highlight w:val="none"/>
              </w:rPr>
            </w:pPr>
          </w:p>
        </w:tc>
        <w:tc>
          <w:tcPr>
            <w:tcW w:w="900" w:type="dxa"/>
            <w:noWrap w:val="0"/>
            <w:vAlign w:val="top"/>
          </w:tcPr>
          <w:p>
            <w:pPr>
              <w:spacing w:line="400" w:lineRule="exact"/>
              <w:jc w:val="center"/>
              <w:rPr>
                <w:rFonts w:ascii="宋体" w:hAnsi="宋体"/>
                <w:color w:val="auto"/>
                <w:szCs w:val="21"/>
                <w:highlight w:val="none"/>
              </w:rPr>
            </w:pPr>
          </w:p>
        </w:tc>
        <w:tc>
          <w:tcPr>
            <w:tcW w:w="953" w:type="dxa"/>
            <w:noWrap w:val="0"/>
            <w:vAlign w:val="top"/>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color w:val="auto"/>
                <w:szCs w:val="21"/>
                <w:highlight w:val="none"/>
              </w:rPr>
            </w:pPr>
          </w:p>
        </w:tc>
        <w:tc>
          <w:tcPr>
            <w:tcW w:w="888" w:type="dxa"/>
            <w:noWrap w:val="0"/>
            <w:vAlign w:val="center"/>
          </w:tcPr>
          <w:p>
            <w:pPr>
              <w:spacing w:before="100" w:after="100"/>
              <w:jc w:val="center"/>
              <w:rPr>
                <w:rFonts w:ascii="宋体" w:hAnsi="宋体"/>
                <w:color w:val="auto"/>
                <w:highlight w:val="none"/>
              </w:rPr>
            </w:pPr>
          </w:p>
        </w:tc>
        <w:tc>
          <w:tcPr>
            <w:tcW w:w="789" w:type="dxa"/>
            <w:noWrap w:val="0"/>
            <w:vAlign w:val="center"/>
          </w:tcPr>
          <w:p>
            <w:pPr>
              <w:tabs>
                <w:tab w:val="left" w:pos="1140"/>
              </w:tabs>
              <w:jc w:val="center"/>
              <w:rPr>
                <w:rFonts w:ascii="宋体" w:hAnsi="宋体"/>
                <w:color w:val="auto"/>
                <w:szCs w:val="21"/>
                <w:highlight w:val="none"/>
              </w:rPr>
            </w:pPr>
          </w:p>
        </w:tc>
        <w:tc>
          <w:tcPr>
            <w:tcW w:w="1224" w:type="dxa"/>
            <w:noWrap w:val="0"/>
            <w:vAlign w:val="center"/>
          </w:tcPr>
          <w:p>
            <w:pPr>
              <w:tabs>
                <w:tab w:val="left" w:pos="1140"/>
              </w:tabs>
              <w:jc w:val="center"/>
              <w:rPr>
                <w:rFonts w:ascii="宋体" w:hAnsi="宋体"/>
                <w:color w:val="auto"/>
                <w:szCs w:val="21"/>
                <w:highlight w:val="none"/>
              </w:rPr>
            </w:pPr>
          </w:p>
        </w:tc>
        <w:tc>
          <w:tcPr>
            <w:tcW w:w="1032" w:type="dxa"/>
            <w:noWrap w:val="0"/>
            <w:vAlign w:val="center"/>
          </w:tcPr>
          <w:p>
            <w:pPr>
              <w:tabs>
                <w:tab w:val="left" w:pos="1140"/>
              </w:tabs>
              <w:jc w:val="center"/>
              <w:rPr>
                <w:rFonts w:ascii="宋体" w:hAnsi="宋体"/>
                <w:color w:val="auto"/>
                <w:szCs w:val="21"/>
                <w:highlight w:val="none"/>
              </w:rPr>
            </w:pPr>
          </w:p>
        </w:tc>
        <w:tc>
          <w:tcPr>
            <w:tcW w:w="1308" w:type="dxa"/>
            <w:noWrap w:val="0"/>
            <w:vAlign w:val="center"/>
          </w:tcPr>
          <w:p>
            <w:pPr>
              <w:tabs>
                <w:tab w:val="left" w:pos="1140"/>
              </w:tabs>
              <w:jc w:val="center"/>
              <w:rPr>
                <w:rFonts w:ascii="宋体" w:hAnsi="宋体"/>
                <w:color w:val="auto"/>
                <w:szCs w:val="21"/>
                <w:highlight w:val="none"/>
              </w:rPr>
            </w:pPr>
          </w:p>
        </w:tc>
        <w:tc>
          <w:tcPr>
            <w:tcW w:w="900" w:type="dxa"/>
            <w:noWrap w:val="0"/>
            <w:vAlign w:val="center"/>
          </w:tcPr>
          <w:p>
            <w:pPr>
              <w:tabs>
                <w:tab w:val="left" w:pos="1140"/>
              </w:tabs>
              <w:jc w:val="center"/>
              <w:rPr>
                <w:rFonts w:ascii="宋体" w:hAnsi="宋体"/>
                <w:color w:val="auto"/>
                <w:szCs w:val="21"/>
                <w:highlight w:val="none"/>
              </w:rPr>
            </w:pPr>
          </w:p>
        </w:tc>
        <w:tc>
          <w:tcPr>
            <w:tcW w:w="900" w:type="dxa"/>
            <w:noWrap w:val="0"/>
            <w:vAlign w:val="center"/>
          </w:tcPr>
          <w:p>
            <w:pPr>
              <w:tabs>
                <w:tab w:val="left" w:pos="1140"/>
              </w:tabs>
              <w:jc w:val="center"/>
              <w:rPr>
                <w:rFonts w:ascii="宋体" w:hAnsi="宋体"/>
                <w:color w:val="auto"/>
                <w:szCs w:val="21"/>
                <w:highlight w:val="none"/>
              </w:rPr>
            </w:pPr>
          </w:p>
        </w:tc>
        <w:tc>
          <w:tcPr>
            <w:tcW w:w="953" w:type="dxa"/>
            <w:noWrap w:val="0"/>
            <w:vAlign w:val="center"/>
          </w:tcPr>
          <w:p>
            <w:pPr>
              <w:tabs>
                <w:tab w:val="left" w:pos="1140"/>
              </w:tabs>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rFonts w:ascii="宋体" w:hAnsi="宋体"/>
                <w:color w:val="auto"/>
                <w:szCs w:val="21"/>
                <w:highlight w:val="none"/>
              </w:rPr>
            </w:pPr>
          </w:p>
        </w:tc>
        <w:tc>
          <w:tcPr>
            <w:tcW w:w="888" w:type="dxa"/>
            <w:noWrap w:val="0"/>
            <w:vAlign w:val="center"/>
          </w:tcPr>
          <w:p>
            <w:pPr>
              <w:tabs>
                <w:tab w:val="left" w:pos="1140"/>
              </w:tabs>
              <w:spacing w:before="100" w:after="100"/>
              <w:jc w:val="center"/>
              <w:rPr>
                <w:rFonts w:ascii="宋体" w:hAnsi="宋体"/>
                <w:color w:val="auto"/>
                <w:szCs w:val="21"/>
                <w:highlight w:val="none"/>
              </w:rPr>
            </w:pPr>
          </w:p>
        </w:tc>
        <w:tc>
          <w:tcPr>
            <w:tcW w:w="789" w:type="dxa"/>
            <w:noWrap w:val="0"/>
            <w:vAlign w:val="center"/>
          </w:tcPr>
          <w:p>
            <w:pPr>
              <w:tabs>
                <w:tab w:val="left" w:pos="1140"/>
              </w:tabs>
              <w:jc w:val="center"/>
              <w:rPr>
                <w:rFonts w:ascii="宋体" w:hAnsi="宋体"/>
                <w:color w:val="auto"/>
                <w:szCs w:val="21"/>
                <w:highlight w:val="none"/>
              </w:rPr>
            </w:pPr>
          </w:p>
        </w:tc>
        <w:tc>
          <w:tcPr>
            <w:tcW w:w="1224" w:type="dxa"/>
            <w:noWrap w:val="0"/>
            <w:vAlign w:val="center"/>
          </w:tcPr>
          <w:p>
            <w:pPr>
              <w:tabs>
                <w:tab w:val="left" w:pos="1140"/>
              </w:tabs>
              <w:jc w:val="center"/>
              <w:rPr>
                <w:rFonts w:ascii="宋体" w:hAnsi="宋体"/>
                <w:color w:val="auto"/>
                <w:szCs w:val="21"/>
                <w:highlight w:val="none"/>
              </w:rPr>
            </w:pPr>
          </w:p>
        </w:tc>
        <w:tc>
          <w:tcPr>
            <w:tcW w:w="1032" w:type="dxa"/>
            <w:noWrap w:val="0"/>
            <w:vAlign w:val="center"/>
          </w:tcPr>
          <w:p>
            <w:pPr>
              <w:tabs>
                <w:tab w:val="left" w:pos="1140"/>
              </w:tabs>
              <w:jc w:val="center"/>
              <w:rPr>
                <w:rFonts w:ascii="宋体" w:hAnsi="宋体"/>
                <w:color w:val="auto"/>
                <w:szCs w:val="21"/>
                <w:highlight w:val="none"/>
              </w:rPr>
            </w:pPr>
          </w:p>
        </w:tc>
        <w:tc>
          <w:tcPr>
            <w:tcW w:w="1308" w:type="dxa"/>
            <w:noWrap w:val="0"/>
            <w:vAlign w:val="center"/>
          </w:tcPr>
          <w:p>
            <w:pPr>
              <w:tabs>
                <w:tab w:val="left" w:pos="1140"/>
              </w:tabs>
              <w:jc w:val="center"/>
              <w:rPr>
                <w:rFonts w:ascii="宋体" w:hAnsi="宋体"/>
                <w:color w:val="auto"/>
                <w:szCs w:val="21"/>
                <w:highlight w:val="none"/>
              </w:rPr>
            </w:pPr>
          </w:p>
        </w:tc>
        <w:tc>
          <w:tcPr>
            <w:tcW w:w="900" w:type="dxa"/>
            <w:noWrap w:val="0"/>
            <w:vAlign w:val="center"/>
          </w:tcPr>
          <w:p>
            <w:pPr>
              <w:tabs>
                <w:tab w:val="left" w:pos="1140"/>
              </w:tabs>
              <w:jc w:val="center"/>
              <w:rPr>
                <w:rFonts w:ascii="宋体" w:hAnsi="宋体"/>
                <w:color w:val="auto"/>
                <w:szCs w:val="21"/>
                <w:highlight w:val="none"/>
              </w:rPr>
            </w:pPr>
          </w:p>
        </w:tc>
        <w:tc>
          <w:tcPr>
            <w:tcW w:w="900" w:type="dxa"/>
            <w:noWrap w:val="0"/>
            <w:vAlign w:val="center"/>
          </w:tcPr>
          <w:p>
            <w:pPr>
              <w:tabs>
                <w:tab w:val="left" w:pos="1140"/>
              </w:tabs>
              <w:jc w:val="center"/>
              <w:rPr>
                <w:rFonts w:ascii="宋体" w:hAnsi="宋体"/>
                <w:color w:val="auto"/>
                <w:szCs w:val="21"/>
                <w:highlight w:val="none"/>
              </w:rPr>
            </w:pPr>
          </w:p>
        </w:tc>
        <w:tc>
          <w:tcPr>
            <w:tcW w:w="953" w:type="dxa"/>
            <w:noWrap w:val="0"/>
            <w:vAlign w:val="center"/>
          </w:tcPr>
          <w:p>
            <w:pPr>
              <w:tabs>
                <w:tab w:val="left" w:pos="1140"/>
              </w:tabs>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rFonts w:ascii="宋体" w:hAnsi="宋体"/>
                <w:color w:val="auto"/>
                <w:szCs w:val="21"/>
                <w:highlight w:val="none"/>
              </w:rPr>
            </w:pPr>
          </w:p>
        </w:tc>
        <w:tc>
          <w:tcPr>
            <w:tcW w:w="888" w:type="dxa"/>
            <w:noWrap w:val="0"/>
            <w:vAlign w:val="center"/>
          </w:tcPr>
          <w:p>
            <w:pPr>
              <w:spacing w:line="400" w:lineRule="exact"/>
              <w:jc w:val="center"/>
              <w:rPr>
                <w:rFonts w:ascii="宋体" w:hAnsi="宋体"/>
                <w:color w:val="auto"/>
                <w:sz w:val="24"/>
                <w:highlight w:val="none"/>
              </w:rPr>
            </w:pPr>
          </w:p>
        </w:tc>
        <w:tc>
          <w:tcPr>
            <w:tcW w:w="789" w:type="dxa"/>
            <w:noWrap w:val="0"/>
            <w:vAlign w:val="center"/>
          </w:tcPr>
          <w:p>
            <w:pPr>
              <w:spacing w:line="400" w:lineRule="exact"/>
              <w:jc w:val="center"/>
              <w:rPr>
                <w:rFonts w:ascii="Arial" w:hAnsi="Arial" w:cs="Arial"/>
                <w:color w:val="auto"/>
                <w:sz w:val="25"/>
                <w:szCs w:val="25"/>
                <w:highlight w:val="none"/>
              </w:rPr>
            </w:pPr>
          </w:p>
        </w:tc>
        <w:tc>
          <w:tcPr>
            <w:tcW w:w="1224" w:type="dxa"/>
            <w:noWrap w:val="0"/>
            <w:vAlign w:val="center"/>
          </w:tcPr>
          <w:p>
            <w:pPr>
              <w:spacing w:line="400" w:lineRule="exact"/>
              <w:jc w:val="center"/>
              <w:rPr>
                <w:rFonts w:ascii="Arial" w:hAnsi="Arial" w:cs="Arial"/>
                <w:color w:val="auto"/>
                <w:sz w:val="25"/>
                <w:szCs w:val="25"/>
                <w:highlight w:val="none"/>
              </w:rPr>
            </w:pPr>
          </w:p>
        </w:tc>
        <w:tc>
          <w:tcPr>
            <w:tcW w:w="1032" w:type="dxa"/>
            <w:noWrap w:val="0"/>
            <w:vAlign w:val="center"/>
          </w:tcPr>
          <w:p>
            <w:pPr>
              <w:spacing w:line="400" w:lineRule="exact"/>
              <w:jc w:val="center"/>
              <w:rPr>
                <w:rFonts w:ascii="宋体" w:hAnsi="宋体"/>
                <w:color w:val="auto"/>
                <w:sz w:val="24"/>
                <w:highlight w:val="none"/>
              </w:rPr>
            </w:pPr>
          </w:p>
        </w:tc>
        <w:tc>
          <w:tcPr>
            <w:tcW w:w="1308" w:type="dxa"/>
            <w:noWrap w:val="0"/>
            <w:vAlign w:val="center"/>
          </w:tcPr>
          <w:p>
            <w:pPr>
              <w:spacing w:line="400" w:lineRule="exact"/>
              <w:jc w:val="center"/>
              <w:rPr>
                <w:rFonts w:ascii="宋体" w:hAnsi="宋体"/>
                <w:color w:val="auto"/>
                <w:sz w:val="24"/>
                <w:highlight w:val="none"/>
              </w:rPr>
            </w:pPr>
          </w:p>
        </w:tc>
        <w:tc>
          <w:tcPr>
            <w:tcW w:w="900" w:type="dxa"/>
            <w:noWrap w:val="0"/>
            <w:vAlign w:val="center"/>
          </w:tcPr>
          <w:p>
            <w:pPr>
              <w:spacing w:line="400" w:lineRule="exact"/>
              <w:jc w:val="center"/>
              <w:rPr>
                <w:rFonts w:ascii="宋体" w:hAnsi="宋体"/>
                <w:color w:val="auto"/>
                <w:sz w:val="24"/>
                <w:highlight w:val="none"/>
              </w:rPr>
            </w:pPr>
          </w:p>
        </w:tc>
        <w:tc>
          <w:tcPr>
            <w:tcW w:w="900" w:type="dxa"/>
            <w:noWrap w:val="0"/>
            <w:vAlign w:val="center"/>
          </w:tcPr>
          <w:p>
            <w:pPr>
              <w:spacing w:line="400" w:lineRule="exact"/>
              <w:jc w:val="center"/>
              <w:rPr>
                <w:rFonts w:ascii="宋体" w:hAnsi="宋体"/>
                <w:color w:val="auto"/>
                <w:sz w:val="24"/>
                <w:highlight w:val="none"/>
              </w:rPr>
            </w:pPr>
          </w:p>
        </w:tc>
        <w:tc>
          <w:tcPr>
            <w:tcW w:w="953" w:type="dxa"/>
            <w:noWrap w:val="0"/>
            <w:vAlign w:val="center"/>
          </w:tcPr>
          <w:p>
            <w:pP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rFonts w:ascii="宋体" w:hAnsi="宋体"/>
                <w:color w:val="auto"/>
                <w:szCs w:val="21"/>
                <w:highlight w:val="none"/>
              </w:rPr>
            </w:pPr>
          </w:p>
        </w:tc>
        <w:tc>
          <w:tcPr>
            <w:tcW w:w="888" w:type="dxa"/>
            <w:noWrap w:val="0"/>
            <w:vAlign w:val="center"/>
          </w:tcPr>
          <w:p>
            <w:pPr>
              <w:spacing w:line="400" w:lineRule="exact"/>
              <w:jc w:val="center"/>
              <w:rPr>
                <w:rFonts w:ascii="宋体" w:hAnsi="宋体"/>
                <w:color w:val="auto"/>
                <w:sz w:val="24"/>
                <w:highlight w:val="none"/>
              </w:rPr>
            </w:pPr>
          </w:p>
        </w:tc>
        <w:tc>
          <w:tcPr>
            <w:tcW w:w="789" w:type="dxa"/>
            <w:noWrap w:val="0"/>
            <w:vAlign w:val="center"/>
          </w:tcPr>
          <w:p>
            <w:pPr>
              <w:spacing w:line="400" w:lineRule="exact"/>
              <w:jc w:val="center"/>
              <w:rPr>
                <w:rFonts w:ascii="宋体" w:hAnsi="宋体"/>
                <w:color w:val="auto"/>
                <w:highlight w:val="none"/>
              </w:rPr>
            </w:pPr>
          </w:p>
        </w:tc>
        <w:tc>
          <w:tcPr>
            <w:tcW w:w="1224" w:type="dxa"/>
            <w:noWrap w:val="0"/>
            <w:vAlign w:val="center"/>
          </w:tcPr>
          <w:p>
            <w:pPr>
              <w:spacing w:line="400" w:lineRule="exact"/>
              <w:jc w:val="center"/>
              <w:rPr>
                <w:rFonts w:ascii="宋体" w:hAnsi="宋体"/>
                <w:color w:val="auto"/>
                <w:highlight w:val="none"/>
              </w:rPr>
            </w:pPr>
          </w:p>
        </w:tc>
        <w:tc>
          <w:tcPr>
            <w:tcW w:w="1032" w:type="dxa"/>
            <w:noWrap w:val="0"/>
            <w:vAlign w:val="center"/>
          </w:tcPr>
          <w:p>
            <w:pPr>
              <w:spacing w:before="100" w:after="100" w:line="360" w:lineRule="exact"/>
              <w:jc w:val="center"/>
              <w:rPr>
                <w:rFonts w:ascii="宋体" w:hAnsi="宋体"/>
                <w:color w:val="auto"/>
                <w:highlight w:val="none"/>
              </w:rPr>
            </w:pPr>
          </w:p>
        </w:tc>
        <w:tc>
          <w:tcPr>
            <w:tcW w:w="1308" w:type="dxa"/>
            <w:noWrap w:val="0"/>
            <w:vAlign w:val="center"/>
          </w:tcPr>
          <w:p>
            <w:pPr>
              <w:spacing w:before="100" w:after="100" w:line="360" w:lineRule="exact"/>
              <w:jc w:val="center"/>
              <w:rPr>
                <w:rFonts w:ascii="宋体" w:hAnsi="宋体"/>
                <w:color w:val="auto"/>
                <w:highlight w:val="none"/>
              </w:rPr>
            </w:pPr>
          </w:p>
        </w:tc>
        <w:tc>
          <w:tcPr>
            <w:tcW w:w="900" w:type="dxa"/>
            <w:noWrap w:val="0"/>
            <w:vAlign w:val="center"/>
          </w:tcPr>
          <w:p>
            <w:pPr>
              <w:spacing w:before="100" w:after="100" w:line="360" w:lineRule="exact"/>
              <w:jc w:val="center"/>
              <w:rPr>
                <w:rFonts w:ascii="宋体" w:hAnsi="宋体"/>
                <w:color w:val="auto"/>
                <w:highlight w:val="none"/>
              </w:rPr>
            </w:pPr>
          </w:p>
        </w:tc>
        <w:tc>
          <w:tcPr>
            <w:tcW w:w="900" w:type="dxa"/>
            <w:noWrap w:val="0"/>
            <w:vAlign w:val="center"/>
          </w:tcPr>
          <w:p>
            <w:pPr>
              <w:spacing w:before="100" w:after="100" w:line="360" w:lineRule="exact"/>
              <w:jc w:val="center"/>
              <w:rPr>
                <w:rFonts w:ascii="宋体" w:hAnsi="宋体"/>
                <w:color w:val="auto"/>
                <w:highlight w:val="none"/>
              </w:rPr>
            </w:pPr>
          </w:p>
        </w:tc>
        <w:tc>
          <w:tcPr>
            <w:tcW w:w="953" w:type="dxa"/>
            <w:noWrap w:val="0"/>
            <w:vAlign w:val="center"/>
          </w:tcPr>
          <w:p>
            <w:pPr>
              <w:spacing w:before="100" w:after="100" w:line="36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color w:val="auto"/>
                <w:szCs w:val="21"/>
                <w:highlight w:val="none"/>
              </w:rPr>
            </w:pPr>
          </w:p>
        </w:tc>
        <w:tc>
          <w:tcPr>
            <w:tcW w:w="888" w:type="dxa"/>
            <w:noWrap w:val="0"/>
            <w:vAlign w:val="center"/>
          </w:tcPr>
          <w:p>
            <w:pPr>
              <w:spacing w:line="400" w:lineRule="exact"/>
              <w:jc w:val="center"/>
              <w:rPr>
                <w:rFonts w:ascii="宋体" w:hAnsi="宋体"/>
                <w:color w:val="auto"/>
                <w:highlight w:val="none"/>
              </w:rPr>
            </w:pPr>
          </w:p>
        </w:tc>
        <w:tc>
          <w:tcPr>
            <w:tcW w:w="789" w:type="dxa"/>
            <w:noWrap w:val="0"/>
            <w:vAlign w:val="center"/>
          </w:tcPr>
          <w:p>
            <w:pPr>
              <w:spacing w:line="400" w:lineRule="exact"/>
              <w:jc w:val="center"/>
              <w:rPr>
                <w:rFonts w:ascii="宋体" w:hAnsi="宋体"/>
                <w:color w:val="auto"/>
                <w:highlight w:val="none"/>
              </w:rPr>
            </w:pPr>
          </w:p>
        </w:tc>
        <w:tc>
          <w:tcPr>
            <w:tcW w:w="1224" w:type="dxa"/>
            <w:noWrap w:val="0"/>
            <w:vAlign w:val="center"/>
          </w:tcPr>
          <w:p>
            <w:pPr>
              <w:spacing w:line="400" w:lineRule="exact"/>
              <w:jc w:val="center"/>
              <w:rPr>
                <w:rFonts w:ascii="宋体" w:hAnsi="宋体"/>
                <w:color w:val="auto"/>
                <w:highlight w:val="none"/>
              </w:rPr>
            </w:pPr>
          </w:p>
        </w:tc>
        <w:tc>
          <w:tcPr>
            <w:tcW w:w="1032" w:type="dxa"/>
            <w:noWrap w:val="0"/>
            <w:vAlign w:val="center"/>
          </w:tcPr>
          <w:p>
            <w:pPr>
              <w:spacing w:line="400" w:lineRule="exact"/>
              <w:jc w:val="center"/>
              <w:rPr>
                <w:rFonts w:ascii="宋体" w:hAnsi="宋体"/>
                <w:color w:val="auto"/>
                <w:highlight w:val="none"/>
              </w:rPr>
            </w:pPr>
          </w:p>
        </w:tc>
        <w:tc>
          <w:tcPr>
            <w:tcW w:w="1308" w:type="dxa"/>
            <w:noWrap w:val="0"/>
            <w:vAlign w:val="center"/>
          </w:tcPr>
          <w:p>
            <w:pPr>
              <w:spacing w:line="400" w:lineRule="exact"/>
              <w:jc w:val="center"/>
              <w:rPr>
                <w:rFonts w:ascii="宋体" w:hAnsi="宋体"/>
                <w:color w:val="auto"/>
                <w:highlight w:val="none"/>
              </w:rPr>
            </w:pPr>
          </w:p>
        </w:tc>
        <w:tc>
          <w:tcPr>
            <w:tcW w:w="900" w:type="dxa"/>
            <w:noWrap w:val="0"/>
            <w:vAlign w:val="center"/>
          </w:tcPr>
          <w:p>
            <w:pPr>
              <w:spacing w:line="400" w:lineRule="exact"/>
              <w:jc w:val="center"/>
              <w:rPr>
                <w:rFonts w:ascii="宋体" w:hAnsi="宋体"/>
                <w:color w:val="auto"/>
                <w:highlight w:val="none"/>
              </w:rPr>
            </w:pPr>
          </w:p>
        </w:tc>
        <w:tc>
          <w:tcPr>
            <w:tcW w:w="900" w:type="dxa"/>
            <w:noWrap w:val="0"/>
            <w:vAlign w:val="center"/>
          </w:tcPr>
          <w:p>
            <w:pPr>
              <w:spacing w:line="400" w:lineRule="exact"/>
              <w:jc w:val="center"/>
              <w:rPr>
                <w:rFonts w:ascii="宋体" w:hAnsi="宋体"/>
                <w:color w:val="auto"/>
                <w:highlight w:val="none"/>
              </w:rPr>
            </w:pPr>
          </w:p>
        </w:tc>
        <w:tc>
          <w:tcPr>
            <w:tcW w:w="953" w:type="dxa"/>
            <w:noWrap w:val="0"/>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noWrap w:val="0"/>
            <w:vAlign w:val="center"/>
          </w:tcPr>
          <w:p>
            <w:pPr>
              <w:tabs>
                <w:tab w:val="left" w:pos="1140"/>
              </w:tabs>
              <w:jc w:val="center"/>
              <w:rPr>
                <w:rFonts w:ascii="宋体" w:hAnsi="宋体"/>
                <w:color w:val="auto"/>
                <w:szCs w:val="21"/>
                <w:highlight w:val="none"/>
              </w:rPr>
            </w:pPr>
          </w:p>
        </w:tc>
        <w:tc>
          <w:tcPr>
            <w:tcW w:w="888" w:type="dxa"/>
            <w:noWrap w:val="0"/>
            <w:vAlign w:val="center"/>
          </w:tcPr>
          <w:p>
            <w:pPr>
              <w:spacing w:before="100" w:after="100" w:line="360" w:lineRule="exact"/>
              <w:jc w:val="center"/>
              <w:rPr>
                <w:rFonts w:ascii="宋体" w:hAnsi="宋体"/>
                <w:color w:val="auto"/>
                <w:highlight w:val="none"/>
              </w:rPr>
            </w:pPr>
          </w:p>
        </w:tc>
        <w:tc>
          <w:tcPr>
            <w:tcW w:w="789" w:type="dxa"/>
            <w:noWrap w:val="0"/>
            <w:vAlign w:val="center"/>
          </w:tcPr>
          <w:p>
            <w:pPr>
              <w:spacing w:line="400" w:lineRule="exact"/>
              <w:jc w:val="center"/>
              <w:rPr>
                <w:rFonts w:ascii="宋体" w:hAnsi="宋体"/>
                <w:color w:val="auto"/>
                <w:highlight w:val="none"/>
              </w:rPr>
            </w:pPr>
          </w:p>
        </w:tc>
        <w:tc>
          <w:tcPr>
            <w:tcW w:w="1224" w:type="dxa"/>
            <w:noWrap w:val="0"/>
            <w:vAlign w:val="center"/>
          </w:tcPr>
          <w:p>
            <w:pPr>
              <w:spacing w:line="400" w:lineRule="exact"/>
              <w:jc w:val="center"/>
              <w:rPr>
                <w:rFonts w:ascii="宋体" w:hAnsi="宋体"/>
                <w:color w:val="auto"/>
                <w:highlight w:val="none"/>
              </w:rPr>
            </w:pPr>
          </w:p>
        </w:tc>
        <w:tc>
          <w:tcPr>
            <w:tcW w:w="1032" w:type="dxa"/>
            <w:noWrap w:val="0"/>
            <w:vAlign w:val="center"/>
          </w:tcPr>
          <w:p>
            <w:pPr>
              <w:spacing w:line="400" w:lineRule="exact"/>
              <w:jc w:val="center"/>
              <w:rPr>
                <w:rFonts w:ascii="宋体" w:hAnsi="宋体"/>
                <w:color w:val="auto"/>
                <w:highlight w:val="none"/>
              </w:rPr>
            </w:pPr>
          </w:p>
        </w:tc>
        <w:tc>
          <w:tcPr>
            <w:tcW w:w="1308" w:type="dxa"/>
            <w:noWrap w:val="0"/>
            <w:vAlign w:val="center"/>
          </w:tcPr>
          <w:p>
            <w:pPr>
              <w:spacing w:line="400" w:lineRule="exact"/>
              <w:jc w:val="center"/>
              <w:rPr>
                <w:rFonts w:ascii="宋体" w:hAnsi="宋体"/>
                <w:color w:val="auto"/>
                <w:highlight w:val="none"/>
              </w:rPr>
            </w:pPr>
          </w:p>
        </w:tc>
        <w:tc>
          <w:tcPr>
            <w:tcW w:w="900" w:type="dxa"/>
            <w:noWrap w:val="0"/>
            <w:vAlign w:val="center"/>
          </w:tcPr>
          <w:p>
            <w:pPr>
              <w:spacing w:line="400" w:lineRule="exact"/>
              <w:jc w:val="center"/>
              <w:rPr>
                <w:rFonts w:ascii="宋体" w:hAnsi="宋体"/>
                <w:color w:val="auto"/>
                <w:highlight w:val="none"/>
              </w:rPr>
            </w:pPr>
          </w:p>
        </w:tc>
        <w:tc>
          <w:tcPr>
            <w:tcW w:w="900" w:type="dxa"/>
            <w:noWrap w:val="0"/>
            <w:vAlign w:val="center"/>
          </w:tcPr>
          <w:p>
            <w:pPr>
              <w:spacing w:line="400" w:lineRule="exact"/>
              <w:jc w:val="center"/>
              <w:rPr>
                <w:rFonts w:ascii="宋体" w:hAnsi="宋体"/>
                <w:color w:val="auto"/>
                <w:highlight w:val="none"/>
              </w:rPr>
            </w:pPr>
          </w:p>
        </w:tc>
        <w:tc>
          <w:tcPr>
            <w:tcW w:w="953" w:type="dxa"/>
            <w:noWrap w:val="0"/>
            <w:vAlign w:val="center"/>
          </w:tcPr>
          <w:p>
            <w:pPr>
              <w:spacing w:line="400" w:lineRule="exact"/>
              <w:jc w:val="center"/>
              <w:rPr>
                <w:rFonts w:ascii="宋体" w:hAnsi="宋体"/>
                <w:color w:val="auto"/>
                <w:highlight w:val="none"/>
              </w:rPr>
            </w:pPr>
          </w:p>
        </w:tc>
      </w:tr>
    </w:tbl>
    <w:p>
      <w:pPr>
        <w:numPr>
          <w:ilvl w:val="0"/>
          <w:numId w:val="8"/>
        </w:numPr>
        <w:spacing w:line="360" w:lineRule="auto"/>
        <w:rPr>
          <w:rFonts w:hint="eastAsia"/>
          <w:color w:val="auto"/>
          <w:sz w:val="24"/>
          <w:highlight w:val="none"/>
        </w:rPr>
      </w:pPr>
      <w:r>
        <w:rPr>
          <w:rFonts w:hint="eastAsia" w:ascii="Times New Roman" w:hAnsi="Times New Roman"/>
          <w:color w:val="auto"/>
          <w:sz w:val="24"/>
          <w:highlight w:val="none"/>
        </w:rPr>
        <w:t>否决其投标的投标人及原因：</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rPr>
        <w:tab/>
      </w:r>
      <w:r>
        <w:rPr>
          <w:rFonts w:hint="eastAsia" w:ascii="Times New Roman" w:hAnsi="Times New Roman"/>
          <w:color w:val="auto"/>
          <w:sz w:val="24"/>
          <w:highlight w:val="none"/>
        </w:rPr>
        <w:t xml:space="preserve"> </w:t>
      </w:r>
    </w:p>
    <w:p>
      <w:pPr>
        <w:numPr>
          <w:ilvl w:val="0"/>
          <w:numId w:val="8"/>
        </w:numPr>
        <w:spacing w:line="360" w:lineRule="auto"/>
        <w:rPr>
          <w:rFonts w:hint="eastAsia"/>
          <w:color w:val="auto"/>
          <w:sz w:val="24"/>
          <w:highlight w:val="none"/>
        </w:rPr>
      </w:pPr>
      <w:r>
        <w:rPr>
          <w:rFonts w:hint="eastAsia" w:ascii="Times New Roman" w:hAnsi="Times New Roman"/>
          <w:color w:val="auto"/>
          <w:sz w:val="24"/>
          <w:highlight w:val="none"/>
        </w:rPr>
        <w:t>评标委员会对投标报价给予修正的原因、依据和修正结果（如有时）：</w:t>
      </w:r>
    </w:p>
    <w:p>
      <w:pPr>
        <w:numPr>
          <w:ilvl w:val="0"/>
          <w:numId w:val="8"/>
        </w:numPr>
        <w:spacing w:line="360" w:lineRule="auto"/>
        <w:rPr>
          <w:rFonts w:hint="eastAsia"/>
          <w:color w:val="auto"/>
          <w:sz w:val="24"/>
          <w:highlight w:val="none"/>
        </w:rPr>
      </w:pPr>
      <w:r>
        <w:rPr>
          <w:rFonts w:hint="eastAsia" w:ascii="Times New Roman" w:hAnsi="Times New Roman"/>
          <w:color w:val="auto"/>
          <w:sz w:val="24"/>
          <w:highlight w:val="none"/>
        </w:rPr>
        <w:t>评标委员会成员名单：</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rPr>
        <w:tab/>
      </w:r>
      <w:r>
        <w:rPr>
          <w:rFonts w:hint="eastAsia" w:ascii="Times New Roman" w:hAnsi="Times New Roman"/>
          <w:color w:val="auto"/>
          <w:sz w:val="24"/>
          <w:highlight w:val="none"/>
        </w:rPr>
        <w:t xml:space="preserve">                                                                六、公示时间：     年    月    日至     年    月    日。投标人或者其他利害关系人对评标结果有异议的，应当在公示期间书面向招标人提出。</w:t>
      </w:r>
      <w:r>
        <w:rPr>
          <w:rFonts w:hint="eastAsia" w:ascii="Times New Roman" w:hAnsi="Times New Roman"/>
          <w:color w:val="auto"/>
          <w:sz w:val="24"/>
          <w:highlight w:val="none"/>
        </w:rPr>
        <w:tab/>
      </w:r>
    </w:p>
    <w:p>
      <w:pPr>
        <w:spacing w:line="360" w:lineRule="auto"/>
        <w:rPr>
          <w:color w:val="auto"/>
          <w:sz w:val="24"/>
          <w:highlight w:val="none"/>
        </w:rPr>
      </w:pPr>
      <w:r>
        <w:rPr>
          <w:rFonts w:hint="eastAsia"/>
          <w:color w:val="auto"/>
          <w:sz w:val="24"/>
          <w:highlight w:val="none"/>
        </w:rPr>
        <w:t xml:space="preserve">七、异议的渠道和方式：                                       </w:t>
      </w: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（电子签名专用章）</w:t>
      </w:r>
      <w:r>
        <w:rPr>
          <w:rFonts w:hint="eastAsia"/>
          <w:color w:val="auto"/>
          <w:sz w:val="24"/>
          <w:highlight w:val="none"/>
        </w:rPr>
        <w:t xml:space="preserve"> 招标代理机构：</w:t>
      </w:r>
      <w:r>
        <w:rPr>
          <w:rFonts w:hint="eastAsia"/>
          <w:color w:val="auto"/>
          <w:sz w:val="24"/>
          <w:highlight w:val="none"/>
          <w:u w:val="single"/>
        </w:rPr>
        <w:t xml:space="preserve">     （电子签名专用章）</w:t>
      </w:r>
    </w:p>
    <w:p>
      <w:pPr>
        <w:spacing w:line="360" w:lineRule="auto"/>
        <w:rPr>
          <w:color w:val="auto"/>
          <w:sz w:val="24"/>
          <w:highlight w:val="none"/>
        </w:rPr>
      </w:pPr>
      <w:r>
        <w:rPr>
          <w:rFonts w:hint="eastAsia"/>
          <w:color w:val="auto"/>
          <w:sz w:val="24"/>
          <w:highlight w:val="none"/>
        </w:rPr>
        <w:t>法定代表人或                    法定代表人或</w:t>
      </w:r>
    </w:p>
    <w:p>
      <w:pPr>
        <w:spacing w:line="360" w:lineRule="auto"/>
        <w:rPr>
          <w:color w:val="auto"/>
          <w:highlight w:val="none"/>
        </w:rPr>
      </w:pPr>
      <w:r>
        <w:rPr>
          <w:rFonts w:hint="eastAsia"/>
          <w:color w:val="auto"/>
          <w:sz w:val="24"/>
          <w:highlight w:val="none"/>
        </w:rPr>
        <w:t>其委托代理人：</w:t>
      </w:r>
      <w:r>
        <w:rPr>
          <w:rFonts w:hint="eastAsia"/>
          <w:color w:val="auto"/>
          <w:sz w:val="24"/>
          <w:highlight w:val="none"/>
          <w:u w:val="single"/>
        </w:rPr>
        <w:t>（电子签名专用章）</w:t>
      </w:r>
      <w:r>
        <w:rPr>
          <w:rFonts w:hint="eastAsia"/>
          <w:color w:val="auto"/>
          <w:sz w:val="24"/>
          <w:highlight w:val="none"/>
        </w:rPr>
        <w:t xml:space="preserve"> 其委托代理人：</w:t>
      </w:r>
      <w:r>
        <w:rPr>
          <w:rFonts w:hint="eastAsia"/>
          <w:color w:val="auto"/>
          <w:sz w:val="24"/>
          <w:highlight w:val="none"/>
          <w:u w:val="single"/>
        </w:rPr>
        <w:t xml:space="preserve">     （电子签名专用章）</w:t>
      </w:r>
    </w:p>
    <w:p>
      <w:pPr>
        <w:spacing w:line="400" w:lineRule="exact"/>
        <w:rPr>
          <w:rFonts w:hint="eastAsia"/>
          <w:color w:val="auto"/>
          <w:sz w:val="24"/>
          <w:highlight w:val="none"/>
        </w:rPr>
      </w:pPr>
    </w:p>
    <w:p>
      <w:pPr>
        <w:pStyle w:val="2"/>
        <w:wordWrap w:val="0"/>
        <w:spacing w:before="0" w:after="0" w:line="240" w:lineRule="atLeast"/>
        <w:rPr>
          <w:color w:val="auto"/>
          <w:sz w:val="20"/>
          <w:szCs w:val="20"/>
          <w:highlight w:val="none"/>
        </w:rPr>
      </w:pPr>
    </w:p>
    <w:p>
      <w:pPr>
        <w:pStyle w:val="2"/>
        <w:wordWrap w:val="0"/>
        <w:spacing w:before="0" w:after="0" w:line="240" w:lineRule="atLeast"/>
        <w:rPr>
          <w:color w:val="auto"/>
          <w:sz w:val="20"/>
          <w:szCs w:val="20"/>
          <w:highlight w:val="none"/>
        </w:rPr>
      </w:pPr>
    </w:p>
    <w:p>
      <w:pPr>
        <w:pStyle w:val="2"/>
        <w:wordWrap w:val="0"/>
        <w:spacing w:before="0" w:after="0" w:line="240" w:lineRule="atLeast"/>
        <w:rPr>
          <w:rFonts w:eastAsia="黑体"/>
          <w:b w:val="0"/>
          <w:color w:val="auto"/>
          <w:sz w:val="24"/>
          <w:szCs w:val="24"/>
          <w:highlight w:val="none"/>
        </w:rPr>
        <w:sectPr>
          <w:footnotePr>
            <w:numFmt w:val="decimalEnclosedCircleChinese"/>
            <w:numRestart w:val="eachPage"/>
          </w:footnotePr>
          <w:pgSz w:w="11907" w:h="16840"/>
          <w:pgMar w:top="1588" w:right="1588" w:bottom="1474" w:left="1644" w:header="851" w:footer="851" w:gutter="0"/>
          <w:cols w:space="720" w:num="1"/>
          <w:docGrid w:linePitch="312" w:charSpace="0"/>
        </w:sectPr>
      </w:pPr>
    </w:p>
    <w:p>
      <w:pPr>
        <w:pStyle w:val="2"/>
        <w:wordWrap w:val="0"/>
        <w:spacing w:before="0" w:after="0" w:line="240" w:lineRule="atLeast"/>
        <w:rPr>
          <w:rFonts w:eastAsia="黑体"/>
          <w:b w:val="0"/>
          <w:color w:val="auto"/>
          <w:sz w:val="24"/>
          <w:szCs w:val="24"/>
          <w:highlight w:val="none"/>
        </w:rPr>
        <w:sectPr>
          <w:footnotePr>
            <w:numFmt w:val="decimalEnclosedCircleChinese"/>
            <w:numRestart w:val="eachPage"/>
          </w:footnotePr>
          <w:type w:val="continuous"/>
          <w:pgSz w:w="11907" w:h="16840"/>
          <w:pgMar w:top="1588" w:right="1588" w:bottom="1474" w:left="1644" w:header="851" w:footer="851" w:gutter="0"/>
          <w:cols w:space="720" w:num="1"/>
          <w:docGrid w:linePitch="312" w:charSpace="0"/>
        </w:sectPr>
      </w:pPr>
    </w:p>
    <w:p>
      <w:pPr>
        <w:tabs>
          <w:tab w:val="left" w:pos="1440"/>
        </w:tabs>
        <w:spacing w:line="360" w:lineRule="auto"/>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中标结果公示</w:t>
      </w:r>
    </w:p>
    <w:p>
      <w:pPr>
        <w:spacing w:line="360" w:lineRule="auto"/>
        <w:ind w:firstLine="480" w:firstLineChars="200"/>
        <w:rPr>
          <w:color w:val="auto"/>
          <w:sz w:val="24"/>
          <w:highlight w:val="none"/>
        </w:rPr>
      </w:pPr>
      <w:r>
        <w:rPr>
          <w:rFonts w:hint="eastAsia"/>
          <w:color w:val="auto"/>
          <w:sz w:val="24"/>
          <w:highlight w:val="none"/>
        </w:rPr>
        <w:t>招标编号：</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u w:val="single"/>
        </w:rPr>
        <w:t xml:space="preserve">                        </w:t>
      </w:r>
      <w:r>
        <w:rPr>
          <w:rFonts w:hint="eastAsia"/>
          <w:color w:val="auto"/>
          <w:sz w:val="24"/>
          <w:highlight w:val="none"/>
        </w:rPr>
        <w:t>建设项目的招标，招标人根据评标委员会推荐的定标候选人，于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日至</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日止，将评标结果进行了公示。公示期间结束后招标人根据定标方案确定中标人。中标人的中标情况公布如下：</w:t>
      </w:r>
    </w:p>
    <w:p>
      <w:pPr>
        <w:spacing w:line="360" w:lineRule="auto"/>
        <w:rPr>
          <w:color w:val="auto"/>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39"/>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noWrap w:val="0"/>
            <w:vAlign w:val="center"/>
          </w:tcPr>
          <w:p>
            <w:pPr>
              <w:spacing w:line="360" w:lineRule="auto"/>
              <w:jc w:val="center"/>
              <w:rPr>
                <w:color w:val="auto"/>
                <w:sz w:val="24"/>
                <w:highlight w:val="none"/>
              </w:rPr>
            </w:pPr>
            <w:r>
              <w:rPr>
                <w:rFonts w:hint="eastAsia"/>
                <w:color w:val="auto"/>
                <w:sz w:val="24"/>
                <w:highlight w:val="none"/>
              </w:rPr>
              <w:t>中标人</w:t>
            </w:r>
          </w:p>
        </w:tc>
        <w:tc>
          <w:tcPr>
            <w:tcW w:w="6421" w:type="dxa"/>
            <w:gridSpan w:val="3"/>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noWrap w:val="0"/>
            <w:vAlign w:val="center"/>
          </w:tcPr>
          <w:p>
            <w:pPr>
              <w:spacing w:line="360" w:lineRule="auto"/>
              <w:jc w:val="center"/>
              <w:rPr>
                <w:color w:val="auto"/>
                <w:sz w:val="24"/>
                <w:highlight w:val="none"/>
              </w:rPr>
            </w:pPr>
            <w:r>
              <w:rPr>
                <w:rFonts w:hint="eastAsia"/>
                <w:color w:val="auto"/>
                <w:sz w:val="24"/>
                <w:highlight w:val="none"/>
              </w:rPr>
              <w:t>监理服务费</w:t>
            </w:r>
          </w:p>
        </w:tc>
        <w:tc>
          <w:tcPr>
            <w:tcW w:w="2139" w:type="dxa"/>
            <w:noWrap w:val="0"/>
            <w:vAlign w:val="center"/>
          </w:tcPr>
          <w:p>
            <w:pPr>
              <w:spacing w:line="360" w:lineRule="auto"/>
              <w:jc w:val="center"/>
              <w:rPr>
                <w:color w:val="auto"/>
                <w:sz w:val="24"/>
                <w:highlight w:val="none"/>
              </w:rPr>
            </w:pPr>
          </w:p>
        </w:tc>
        <w:tc>
          <w:tcPr>
            <w:tcW w:w="2141" w:type="dxa"/>
            <w:noWrap w:val="0"/>
            <w:vAlign w:val="center"/>
          </w:tcPr>
          <w:p>
            <w:pPr>
              <w:spacing w:line="360" w:lineRule="auto"/>
              <w:jc w:val="center"/>
              <w:rPr>
                <w:color w:val="auto"/>
                <w:sz w:val="24"/>
                <w:highlight w:val="none"/>
              </w:rPr>
            </w:pPr>
            <w:r>
              <w:rPr>
                <w:rFonts w:hint="eastAsia"/>
                <w:color w:val="auto"/>
                <w:sz w:val="24"/>
                <w:highlight w:val="none"/>
              </w:rPr>
              <w:t>总监理工程师</w:t>
            </w:r>
          </w:p>
        </w:tc>
        <w:tc>
          <w:tcPr>
            <w:tcW w:w="2141"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noWrap w:val="0"/>
            <w:vAlign w:val="center"/>
          </w:tcPr>
          <w:p>
            <w:pPr>
              <w:spacing w:line="360" w:lineRule="auto"/>
              <w:jc w:val="center"/>
              <w:rPr>
                <w:color w:val="auto"/>
                <w:sz w:val="24"/>
                <w:highlight w:val="none"/>
              </w:rPr>
            </w:pPr>
            <w:r>
              <w:rPr>
                <w:rFonts w:hint="eastAsia"/>
                <w:color w:val="auto"/>
                <w:sz w:val="24"/>
                <w:highlight w:val="none"/>
              </w:rPr>
              <w:t>监理服务期</w:t>
            </w:r>
          </w:p>
        </w:tc>
        <w:tc>
          <w:tcPr>
            <w:tcW w:w="2139" w:type="dxa"/>
            <w:noWrap w:val="0"/>
            <w:vAlign w:val="center"/>
          </w:tcPr>
          <w:p>
            <w:pPr>
              <w:spacing w:line="360" w:lineRule="auto"/>
              <w:jc w:val="center"/>
              <w:rPr>
                <w:color w:val="auto"/>
                <w:sz w:val="24"/>
                <w:highlight w:val="none"/>
              </w:rPr>
            </w:pPr>
          </w:p>
        </w:tc>
        <w:tc>
          <w:tcPr>
            <w:tcW w:w="2141" w:type="dxa"/>
            <w:noWrap w:val="0"/>
            <w:vAlign w:val="center"/>
          </w:tcPr>
          <w:p>
            <w:pPr>
              <w:spacing w:line="360" w:lineRule="auto"/>
              <w:jc w:val="center"/>
              <w:rPr>
                <w:color w:val="auto"/>
                <w:sz w:val="24"/>
                <w:highlight w:val="none"/>
              </w:rPr>
            </w:pPr>
            <w:r>
              <w:rPr>
                <w:rFonts w:hint="eastAsia"/>
                <w:color w:val="auto"/>
                <w:sz w:val="24"/>
                <w:highlight w:val="none"/>
              </w:rPr>
              <w:t>质量标准</w:t>
            </w:r>
          </w:p>
        </w:tc>
        <w:tc>
          <w:tcPr>
            <w:tcW w:w="2141"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jc w:val="center"/>
        </w:trPr>
        <w:tc>
          <w:tcPr>
            <w:tcW w:w="2139" w:type="dxa"/>
            <w:noWrap w:val="0"/>
            <w:vAlign w:val="center"/>
          </w:tcPr>
          <w:p>
            <w:pPr>
              <w:spacing w:line="360" w:lineRule="auto"/>
              <w:jc w:val="center"/>
              <w:rPr>
                <w:rFonts w:hint="eastAsia"/>
                <w:color w:val="auto"/>
                <w:sz w:val="24"/>
                <w:highlight w:val="none"/>
              </w:rPr>
            </w:pPr>
            <w:r>
              <w:rPr>
                <w:rFonts w:hint="eastAsia" w:ascii="Calibri" w:hAnsi="Calibri"/>
                <w:snapToGrid/>
                <w:color w:val="auto"/>
                <w:kern w:val="2"/>
                <w:sz w:val="24"/>
                <w:szCs w:val="24"/>
                <w:highlight w:val="none"/>
                <w:lang w:val="en-US" w:eastAsia="zh-CN"/>
              </w:rPr>
              <w:t>企业及人员信用分享用情况（如有）</w:t>
            </w:r>
          </w:p>
        </w:tc>
        <w:tc>
          <w:tcPr>
            <w:tcW w:w="6421" w:type="dxa"/>
            <w:gridSpan w:val="3"/>
            <w:noWrap w:val="0"/>
            <w:vAlign w:val="center"/>
          </w:tcPr>
          <w:p>
            <w:pPr>
              <w:spacing w:line="360" w:lineRule="auto"/>
              <w:jc w:val="center"/>
              <w:rPr>
                <w:color w:val="auto"/>
                <w:sz w:val="24"/>
                <w:highlight w:val="none"/>
              </w:rPr>
            </w:pPr>
          </w:p>
        </w:tc>
      </w:tr>
    </w:tbl>
    <w:p>
      <w:pPr>
        <w:spacing w:line="360" w:lineRule="auto"/>
        <w:rPr>
          <w:color w:val="auto"/>
          <w:sz w:val="24"/>
          <w:highlight w:val="none"/>
        </w:rPr>
      </w:pPr>
    </w:p>
    <w:p>
      <w:pPr>
        <w:spacing w:line="360" w:lineRule="auto"/>
        <w:rPr>
          <w:color w:val="auto"/>
          <w:sz w:val="24"/>
          <w:highlight w:val="none"/>
          <w:u w:val="single"/>
        </w:rPr>
      </w:pPr>
      <w:r>
        <w:rPr>
          <w:rFonts w:hint="eastAsia"/>
          <w:color w:val="auto"/>
          <w:sz w:val="24"/>
          <w:highlight w:val="none"/>
        </w:rPr>
        <w:t>评标委员会成员名单：</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highlight w:val="none"/>
        </w:rPr>
      </w:pPr>
    </w:p>
    <w:p>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rPr>
        <w:t xml:space="preserve">  招标代理机构：</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u w:val="single"/>
        </w:rPr>
        <w:t xml:space="preserve"> </w:t>
      </w: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481" w:firstLineChars="200"/>
        <w:jc w:val="center"/>
        <w:rPr>
          <w:rFonts w:eastAsia="黑体"/>
          <w:b/>
          <w:color w:val="auto"/>
          <w:sz w:val="24"/>
          <w:highlight w:val="none"/>
        </w:rPr>
      </w:pPr>
    </w:p>
    <w:p>
      <w:pPr>
        <w:spacing w:line="360" w:lineRule="auto"/>
        <w:ind w:firstLine="642" w:firstLineChars="200"/>
        <w:jc w:val="center"/>
        <w:rPr>
          <w:rFonts w:eastAsia="黑体"/>
          <w:b/>
          <w:color w:val="auto"/>
          <w:sz w:val="32"/>
          <w:szCs w:val="32"/>
          <w:highlight w:val="none"/>
        </w:rPr>
      </w:pPr>
      <w:r>
        <w:rPr>
          <w:rFonts w:eastAsia="黑体"/>
          <w:b/>
          <w:color w:val="auto"/>
          <w:sz w:val="32"/>
          <w:szCs w:val="32"/>
          <w:highlight w:val="none"/>
        </w:rPr>
        <w:t>中标通知书</w:t>
      </w:r>
    </w:p>
    <w:p>
      <w:pPr>
        <w:spacing w:before="360" w:after="240" w:line="360" w:lineRule="auto"/>
        <w:rPr>
          <w:color w:val="auto"/>
          <w:szCs w:val="21"/>
          <w:highlight w:val="none"/>
          <w:u w:val="single"/>
        </w:rPr>
      </w:pPr>
      <w:r>
        <w:rPr>
          <w:color w:val="auto"/>
          <w:szCs w:val="21"/>
          <w:highlight w:val="none"/>
        </w:rPr>
        <w:t>致：</w:t>
      </w:r>
      <w:r>
        <w:rPr>
          <w:rFonts w:hint="eastAsia"/>
          <w:color w:val="auto"/>
          <w:szCs w:val="21"/>
          <w:highlight w:val="none"/>
          <w:u w:val="single"/>
        </w:rPr>
        <w:t xml:space="preserve">                </w:t>
      </w:r>
      <w:r>
        <w:rPr>
          <w:color w:val="auto"/>
          <w:szCs w:val="21"/>
          <w:highlight w:val="none"/>
        </w:rPr>
        <w:t>（</w:t>
      </w:r>
      <w:r>
        <w:rPr>
          <w:rFonts w:hint="eastAsia"/>
          <w:color w:val="auto"/>
          <w:szCs w:val="21"/>
          <w:highlight w:val="none"/>
        </w:rPr>
        <w:t>中</w:t>
      </w:r>
      <w:r>
        <w:rPr>
          <w:color w:val="auto"/>
          <w:szCs w:val="21"/>
          <w:highlight w:val="none"/>
        </w:rPr>
        <w:t>标人全称）</w:t>
      </w:r>
    </w:p>
    <w:p>
      <w:pPr>
        <w:spacing w:line="420" w:lineRule="exact"/>
        <w:ind w:firstLine="420" w:firstLineChars="200"/>
        <w:rPr>
          <w:color w:val="auto"/>
          <w:szCs w:val="21"/>
          <w:highlight w:val="none"/>
        </w:rPr>
      </w:pPr>
      <w:r>
        <w:rPr>
          <w:rFonts w:hint="eastAsia"/>
          <w:color w:val="auto"/>
          <w:szCs w:val="21"/>
          <w:highlight w:val="none"/>
        </w:rPr>
        <w:t>你方于</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（投标日期）所递</w:t>
      </w:r>
      <w:r>
        <w:rPr>
          <w:color w:val="auto"/>
          <w:szCs w:val="21"/>
          <w:highlight w:val="none"/>
        </w:rPr>
        <w:t>交的</w:t>
      </w:r>
      <w:r>
        <w:rPr>
          <w:rFonts w:hint="eastAsia"/>
          <w:color w:val="auto"/>
          <w:szCs w:val="21"/>
          <w:highlight w:val="none"/>
          <w:u w:val="single"/>
        </w:rPr>
        <w:t xml:space="preserve">     </w:t>
      </w:r>
      <w:r>
        <w:rPr>
          <w:rFonts w:hint="eastAsia"/>
          <w:color w:val="auto"/>
          <w:szCs w:val="21"/>
          <w:highlight w:val="none"/>
        </w:rPr>
        <w:t>（项目名称）</w:t>
      </w:r>
      <w:r>
        <w:rPr>
          <w:rFonts w:hint="eastAsia"/>
          <w:color w:val="auto"/>
          <w:szCs w:val="21"/>
          <w:highlight w:val="none"/>
          <w:u w:val="single"/>
        </w:rPr>
        <w:t xml:space="preserve">   </w:t>
      </w:r>
      <w:r>
        <w:rPr>
          <w:rFonts w:hint="eastAsia"/>
          <w:color w:val="auto"/>
          <w:szCs w:val="21"/>
          <w:highlight w:val="none"/>
        </w:rPr>
        <w:t>施工监理</w:t>
      </w:r>
      <w:r>
        <w:rPr>
          <w:color w:val="auto"/>
          <w:szCs w:val="21"/>
          <w:highlight w:val="none"/>
        </w:rPr>
        <w:t>投标文件</w:t>
      </w:r>
      <w:r>
        <w:rPr>
          <w:rFonts w:hint="eastAsia"/>
          <w:color w:val="auto"/>
          <w:szCs w:val="21"/>
          <w:highlight w:val="none"/>
        </w:rPr>
        <w:t>已被我方接受</w:t>
      </w:r>
      <w:r>
        <w:rPr>
          <w:color w:val="auto"/>
          <w:szCs w:val="21"/>
          <w:highlight w:val="none"/>
        </w:rPr>
        <w:t>，</w:t>
      </w:r>
      <w:r>
        <w:rPr>
          <w:rFonts w:hint="eastAsia"/>
          <w:color w:val="auto"/>
          <w:szCs w:val="21"/>
          <w:highlight w:val="none"/>
        </w:rPr>
        <w:t>被确定</w:t>
      </w:r>
      <w:r>
        <w:rPr>
          <w:color w:val="auto"/>
          <w:szCs w:val="21"/>
          <w:highlight w:val="none"/>
        </w:rPr>
        <w:t>为中标</w:t>
      </w:r>
      <w:r>
        <w:rPr>
          <w:rFonts w:hint="eastAsia"/>
          <w:color w:val="auto"/>
          <w:szCs w:val="21"/>
          <w:highlight w:val="none"/>
        </w:rPr>
        <w:t>人</w:t>
      </w:r>
      <w:r>
        <w:rPr>
          <w:color w:val="auto"/>
          <w:szCs w:val="21"/>
          <w:highlight w:val="none"/>
        </w:rPr>
        <w:t>。</w:t>
      </w:r>
    </w:p>
    <w:p>
      <w:pPr>
        <w:spacing w:line="420" w:lineRule="exact"/>
        <w:ind w:left="420"/>
        <w:rPr>
          <w:rFonts w:ascii="宋体" w:hAnsi="宋体"/>
          <w:color w:val="auto"/>
          <w:szCs w:val="21"/>
          <w:highlight w:val="none"/>
        </w:rPr>
      </w:pPr>
      <w:r>
        <w:rPr>
          <w:rFonts w:hint="eastAsia" w:ascii="宋体" w:hAnsi="宋体"/>
          <w:color w:val="auto"/>
          <w:szCs w:val="21"/>
          <w:highlight w:val="none"/>
        </w:rPr>
        <w:t>中标价格：</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元（人民币大写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20" w:lineRule="exact"/>
        <w:ind w:left="420"/>
        <w:rPr>
          <w:color w:val="auto"/>
          <w:szCs w:val="21"/>
          <w:highlight w:val="none"/>
        </w:rPr>
      </w:pPr>
      <w:r>
        <w:rPr>
          <w:rFonts w:hint="eastAsia"/>
          <w:color w:val="auto"/>
          <w:szCs w:val="21"/>
          <w:highlight w:val="none"/>
        </w:rPr>
        <w:t>总监理工程师：</w:t>
      </w:r>
      <w:r>
        <w:rPr>
          <w:rFonts w:hint="eastAsia"/>
          <w:color w:val="auto"/>
          <w:szCs w:val="21"/>
          <w:highlight w:val="none"/>
          <w:u w:val="single"/>
        </w:rPr>
        <w:t xml:space="preserve">                </w:t>
      </w:r>
      <w:r>
        <w:rPr>
          <w:rFonts w:hint="eastAsia"/>
          <w:color w:val="auto"/>
          <w:szCs w:val="21"/>
          <w:highlight w:val="none"/>
        </w:rPr>
        <w:t>，监理资格证书编号：</w:t>
      </w:r>
      <w:r>
        <w:rPr>
          <w:rFonts w:hint="eastAsia"/>
          <w:color w:val="auto"/>
          <w:szCs w:val="21"/>
          <w:highlight w:val="none"/>
          <w:u w:val="single"/>
        </w:rPr>
        <w:t xml:space="preserve">            </w:t>
      </w:r>
      <w:r>
        <w:rPr>
          <w:rFonts w:hint="eastAsia"/>
          <w:color w:val="auto"/>
          <w:szCs w:val="21"/>
          <w:highlight w:val="none"/>
        </w:rPr>
        <w:t>。</w:t>
      </w:r>
    </w:p>
    <w:p>
      <w:pPr>
        <w:spacing w:line="420" w:lineRule="exact"/>
        <w:ind w:firstLine="420" w:firstLineChars="200"/>
        <w:rPr>
          <w:color w:val="auto"/>
          <w:szCs w:val="21"/>
          <w:highlight w:val="none"/>
        </w:rPr>
      </w:pPr>
      <w:r>
        <w:rPr>
          <w:rFonts w:hint="eastAsia"/>
          <w:color w:val="auto"/>
          <w:szCs w:val="21"/>
          <w:highlight w:val="none"/>
        </w:rPr>
        <w:t>请你方在接到本通知书后的</w:t>
      </w:r>
      <w:r>
        <w:rPr>
          <w:rFonts w:hint="eastAsia"/>
          <w:color w:val="auto"/>
          <w:szCs w:val="21"/>
          <w:highlight w:val="none"/>
          <w:u w:val="single"/>
        </w:rPr>
        <w:t xml:space="preserve">    </w:t>
      </w:r>
      <w:r>
        <w:rPr>
          <w:rFonts w:hint="eastAsia"/>
          <w:color w:val="auto"/>
          <w:szCs w:val="21"/>
          <w:highlight w:val="none"/>
        </w:rPr>
        <w:t>日内到</w:t>
      </w:r>
      <w:r>
        <w:rPr>
          <w:rFonts w:hint="eastAsia"/>
          <w:color w:val="auto"/>
          <w:szCs w:val="21"/>
          <w:highlight w:val="none"/>
          <w:u w:val="single"/>
        </w:rPr>
        <w:t xml:space="preserve">          </w:t>
      </w:r>
      <w:r>
        <w:rPr>
          <w:rFonts w:hint="eastAsia"/>
          <w:color w:val="auto"/>
          <w:szCs w:val="21"/>
          <w:highlight w:val="none"/>
        </w:rPr>
        <w:t>（指定地点）与我方签订施工监理合同，在此之前按招标文件第二章“投标人须知”第7.3款规定向我方提交履约保证金</w:t>
      </w:r>
      <w:r>
        <w:rPr>
          <w:color w:val="auto"/>
          <w:szCs w:val="21"/>
          <w:highlight w:val="none"/>
        </w:rPr>
        <w:t>。</w:t>
      </w:r>
    </w:p>
    <w:p>
      <w:pPr>
        <w:spacing w:line="420" w:lineRule="exact"/>
        <w:ind w:firstLine="420" w:firstLineChars="200"/>
        <w:rPr>
          <w:color w:val="auto"/>
          <w:szCs w:val="21"/>
          <w:highlight w:val="none"/>
        </w:rPr>
      </w:pPr>
      <w:r>
        <w:rPr>
          <w:color w:val="auto"/>
          <w:szCs w:val="21"/>
          <w:highlight w:val="none"/>
        </w:rPr>
        <w:t>特此</w:t>
      </w:r>
      <w:r>
        <w:rPr>
          <w:rFonts w:hint="eastAsia"/>
          <w:color w:val="auto"/>
          <w:szCs w:val="21"/>
          <w:highlight w:val="none"/>
        </w:rPr>
        <w:t>通知</w:t>
      </w:r>
      <w:r>
        <w:rPr>
          <w:color w:val="auto"/>
          <w:szCs w:val="21"/>
          <w:highlight w:val="none"/>
        </w:rPr>
        <w:t>。</w:t>
      </w:r>
    </w:p>
    <w:p>
      <w:pPr>
        <w:spacing w:after="120" w:afterLines="50" w:line="360" w:lineRule="auto"/>
        <w:ind w:firstLine="440" w:firstLineChars="200"/>
        <w:rPr>
          <w:color w:val="auto"/>
          <w:sz w:val="22"/>
          <w:szCs w:val="22"/>
          <w:highlight w:val="none"/>
        </w:rPr>
      </w:pPr>
    </w:p>
    <w:p>
      <w:pPr>
        <w:spacing w:after="120" w:afterLines="50" w:line="360" w:lineRule="auto"/>
        <w:ind w:firstLine="440" w:firstLineChars="200"/>
        <w:rPr>
          <w:color w:val="auto"/>
          <w:sz w:val="22"/>
          <w:szCs w:val="22"/>
          <w:highlight w:val="none"/>
        </w:rPr>
      </w:pPr>
    </w:p>
    <w:p>
      <w:pPr>
        <w:spacing w:after="120" w:afterLines="50" w:line="360" w:lineRule="auto"/>
        <w:ind w:firstLine="440" w:firstLineChars="200"/>
        <w:rPr>
          <w:color w:val="auto"/>
          <w:sz w:val="22"/>
          <w:szCs w:val="22"/>
          <w:highlight w:val="none"/>
        </w:rPr>
      </w:pPr>
    </w:p>
    <w:p>
      <w:pPr>
        <w:spacing w:after="120" w:afterLines="50" w:line="360" w:lineRule="auto"/>
        <w:ind w:firstLine="440" w:firstLineChars="200"/>
        <w:rPr>
          <w:color w:val="auto"/>
          <w:sz w:val="22"/>
          <w:szCs w:val="22"/>
          <w:highlight w:val="none"/>
        </w:rPr>
      </w:pPr>
    </w:p>
    <w:p>
      <w:pPr>
        <w:spacing w:after="120" w:afterLines="50" w:line="360" w:lineRule="auto"/>
        <w:ind w:firstLine="1650" w:firstLineChars="750"/>
        <w:rPr>
          <w:color w:val="auto"/>
          <w:sz w:val="22"/>
          <w:szCs w:val="22"/>
          <w:highlight w:val="none"/>
        </w:rPr>
      </w:pPr>
      <w:r>
        <w:rPr>
          <w:color w:val="auto"/>
          <w:sz w:val="22"/>
          <w:szCs w:val="22"/>
          <w:highlight w:val="none"/>
        </w:rPr>
        <w:t xml:space="preserve">                     </w:t>
      </w:r>
      <w:r>
        <w:rPr>
          <w:rFonts w:hint="eastAsia"/>
          <w:color w:val="auto"/>
          <w:sz w:val="22"/>
          <w:szCs w:val="22"/>
          <w:highlight w:val="none"/>
        </w:rPr>
        <w:t xml:space="preserve">    </w:t>
      </w:r>
      <w:r>
        <w:rPr>
          <w:color w:val="auto"/>
          <w:sz w:val="22"/>
          <w:szCs w:val="22"/>
          <w:highlight w:val="none"/>
        </w:rPr>
        <w:t xml:space="preserve"> 招标人：</w:t>
      </w:r>
      <w:r>
        <w:rPr>
          <w:rFonts w:hint="eastAsia"/>
          <w:color w:val="auto"/>
          <w:sz w:val="22"/>
          <w:szCs w:val="22"/>
          <w:highlight w:val="none"/>
          <w:u w:val="single"/>
        </w:rPr>
        <w:t xml:space="preserve">               </w:t>
      </w:r>
      <w:r>
        <w:rPr>
          <w:rFonts w:hint="eastAsia"/>
          <w:color w:val="auto"/>
          <w:sz w:val="22"/>
          <w:szCs w:val="22"/>
          <w:highlight w:val="none"/>
        </w:rPr>
        <w:t xml:space="preserve">（ </w:t>
      </w:r>
      <w:r>
        <w:rPr>
          <w:color w:val="auto"/>
          <w:sz w:val="22"/>
          <w:szCs w:val="22"/>
          <w:highlight w:val="none"/>
        </w:rPr>
        <w:t>全称并盖章）</w:t>
      </w:r>
    </w:p>
    <w:p>
      <w:pPr>
        <w:spacing w:line="360" w:lineRule="auto"/>
        <w:jc w:val="center"/>
        <w:rPr>
          <w:color w:val="auto"/>
          <w:sz w:val="22"/>
          <w:szCs w:val="22"/>
          <w:highlight w:val="none"/>
        </w:rPr>
      </w:pPr>
      <w:r>
        <w:rPr>
          <w:rFonts w:hint="eastAsia"/>
          <w:color w:val="auto"/>
          <w:sz w:val="22"/>
          <w:szCs w:val="22"/>
          <w:highlight w:val="none"/>
        </w:rPr>
        <w:t xml:space="preserve">                                 法定代表人：</w:t>
      </w:r>
      <w:r>
        <w:rPr>
          <w:rFonts w:hint="eastAsia"/>
          <w:color w:val="auto"/>
          <w:sz w:val="22"/>
          <w:szCs w:val="22"/>
          <w:highlight w:val="none"/>
          <w:u w:val="single"/>
        </w:rPr>
        <w:t xml:space="preserve">                </w:t>
      </w:r>
      <w:r>
        <w:rPr>
          <w:rFonts w:hint="eastAsia"/>
          <w:color w:val="auto"/>
          <w:sz w:val="22"/>
          <w:szCs w:val="22"/>
          <w:highlight w:val="none"/>
        </w:rPr>
        <w:t>（签字）</w:t>
      </w:r>
    </w:p>
    <w:p>
      <w:pPr>
        <w:spacing w:line="360" w:lineRule="auto"/>
        <w:jc w:val="center"/>
        <w:rPr>
          <w:color w:val="auto"/>
          <w:sz w:val="22"/>
          <w:szCs w:val="22"/>
          <w:highlight w:val="none"/>
        </w:rPr>
      </w:pPr>
      <w:r>
        <w:rPr>
          <w:rFonts w:hint="eastAsia"/>
          <w:color w:val="auto"/>
          <w:sz w:val="22"/>
          <w:szCs w:val="22"/>
          <w:highlight w:val="none"/>
        </w:rPr>
        <w:t xml:space="preserve">                               日  期： </w:t>
      </w:r>
      <w:r>
        <w:rPr>
          <w:rFonts w:hint="eastAsia"/>
          <w:color w:val="auto"/>
          <w:sz w:val="22"/>
          <w:szCs w:val="22"/>
          <w:highlight w:val="none"/>
          <w:u w:val="single"/>
        </w:rPr>
        <w:t xml:space="preserve">         </w:t>
      </w:r>
      <w:r>
        <w:rPr>
          <w:rFonts w:hint="eastAsia"/>
          <w:color w:val="auto"/>
          <w:sz w:val="22"/>
          <w:szCs w:val="22"/>
          <w:highlight w:val="none"/>
        </w:rPr>
        <w:t>年</w:t>
      </w:r>
      <w:r>
        <w:rPr>
          <w:rFonts w:hint="eastAsia"/>
          <w:color w:val="auto"/>
          <w:sz w:val="22"/>
          <w:szCs w:val="22"/>
          <w:highlight w:val="none"/>
          <w:u w:val="single"/>
        </w:rPr>
        <w:t xml:space="preserve">    </w:t>
      </w:r>
      <w:r>
        <w:rPr>
          <w:rFonts w:hint="eastAsia"/>
          <w:color w:val="auto"/>
          <w:sz w:val="22"/>
          <w:szCs w:val="22"/>
          <w:highlight w:val="none"/>
        </w:rPr>
        <w:t>月</w:t>
      </w:r>
      <w:r>
        <w:rPr>
          <w:rFonts w:hint="eastAsia"/>
          <w:color w:val="auto"/>
          <w:sz w:val="22"/>
          <w:szCs w:val="22"/>
          <w:highlight w:val="none"/>
          <w:u w:val="single"/>
        </w:rPr>
        <w:t xml:space="preserve">      </w:t>
      </w:r>
      <w:r>
        <w:rPr>
          <w:rFonts w:hint="eastAsia"/>
          <w:color w:val="auto"/>
          <w:sz w:val="22"/>
          <w:szCs w:val="22"/>
          <w:highlight w:val="none"/>
        </w:rPr>
        <w:t>日</w:t>
      </w:r>
    </w:p>
    <w:p>
      <w:pPr>
        <w:spacing w:line="360" w:lineRule="auto"/>
        <w:jc w:val="center"/>
        <w:rPr>
          <w:color w:val="auto"/>
          <w:sz w:val="22"/>
          <w:szCs w:val="22"/>
          <w:highlight w:val="none"/>
        </w:rPr>
      </w:pPr>
    </w:p>
    <w:p>
      <w:pPr>
        <w:spacing w:line="360" w:lineRule="auto"/>
        <w:jc w:val="center"/>
        <w:rPr>
          <w:color w:val="auto"/>
          <w:sz w:val="22"/>
          <w:szCs w:val="22"/>
          <w:highlight w:val="none"/>
        </w:rPr>
      </w:pPr>
    </w:p>
    <w:p>
      <w:pPr>
        <w:spacing w:line="360" w:lineRule="auto"/>
        <w:jc w:val="center"/>
        <w:rPr>
          <w:color w:val="auto"/>
          <w:sz w:val="22"/>
          <w:szCs w:val="22"/>
          <w:highlight w:val="none"/>
        </w:rPr>
      </w:pPr>
    </w:p>
    <w:p>
      <w:pPr>
        <w:spacing w:line="360" w:lineRule="auto"/>
        <w:jc w:val="center"/>
        <w:rPr>
          <w:color w:val="auto"/>
          <w:sz w:val="22"/>
          <w:szCs w:val="22"/>
          <w:highlight w:val="none"/>
        </w:rPr>
      </w:pPr>
    </w:p>
    <w:p>
      <w:pPr>
        <w:spacing w:line="360" w:lineRule="auto"/>
        <w:jc w:val="center"/>
        <w:rPr>
          <w:color w:val="auto"/>
          <w:sz w:val="22"/>
          <w:szCs w:val="22"/>
          <w:highlight w:val="none"/>
        </w:rPr>
      </w:pPr>
    </w:p>
    <w:p>
      <w:pPr>
        <w:spacing w:line="360" w:lineRule="auto"/>
        <w:jc w:val="center"/>
        <w:rPr>
          <w:rFonts w:eastAsia="黑体"/>
          <w:b/>
          <w:color w:val="auto"/>
          <w:sz w:val="30"/>
          <w:szCs w:val="30"/>
          <w:highlight w:val="none"/>
        </w:rPr>
        <w:sectPr>
          <w:headerReference r:id="rId12" w:type="default"/>
          <w:footnotePr>
            <w:numRestart w:val="eachPage"/>
          </w:footnotePr>
          <w:pgSz w:w="11906" w:h="16838"/>
          <w:pgMar w:top="1418" w:right="1416" w:bottom="1418" w:left="1304" w:header="851" w:footer="992" w:gutter="0"/>
          <w:cols w:space="720" w:num="1"/>
          <w:docGrid w:linePitch="312" w:charSpace="0"/>
        </w:sectPr>
      </w:pPr>
    </w:p>
    <w:p>
      <w:pPr>
        <w:pStyle w:val="3"/>
        <w:spacing w:before="0" w:after="0" w:line="520" w:lineRule="exact"/>
        <w:rPr>
          <w:b w:val="0"/>
          <w:color w:val="auto"/>
          <w:highlight w:val="none"/>
        </w:rPr>
      </w:pPr>
      <w:bookmarkStart w:id="519" w:name="_Toc488650829"/>
      <w:r>
        <w:rPr>
          <w:rFonts w:hint="eastAsia"/>
          <w:color w:val="auto"/>
          <w:highlight w:val="none"/>
        </w:rPr>
        <w:t>第三章 评标办法</w:t>
      </w:r>
      <w:bookmarkEnd w:id="519"/>
    </w:p>
    <w:p>
      <w:pPr>
        <w:pStyle w:val="4"/>
        <w:spacing w:before="0" w:after="0" w:line="520" w:lineRule="exact"/>
        <w:jc w:val="center"/>
        <w:rPr>
          <w:color w:val="auto"/>
          <w:highlight w:val="none"/>
        </w:rPr>
      </w:pPr>
      <w:bookmarkStart w:id="520" w:name="_Toc487291509"/>
      <w:bookmarkStart w:id="521" w:name="_Toc488650830"/>
      <w:r>
        <w:rPr>
          <w:rFonts w:hint="eastAsia"/>
          <w:color w:val="auto"/>
          <w:highlight w:val="none"/>
        </w:rPr>
        <w:t>评标办法前附表</w:t>
      </w:r>
      <w:bookmarkEnd w:id="520"/>
      <w:bookmarkEnd w:id="521"/>
    </w:p>
    <w:tbl>
      <w:tblPr>
        <w:tblStyle w:val="43"/>
        <w:tblW w:w="9498"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851"/>
        <w:gridCol w:w="2126"/>
        <w:gridCol w:w="5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702" w:type="dxa"/>
            <w:gridSpan w:val="2"/>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条款号</w:t>
            </w:r>
          </w:p>
        </w:tc>
        <w:tc>
          <w:tcPr>
            <w:tcW w:w="2126" w:type="dxa"/>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评审因素</w:t>
            </w:r>
          </w:p>
        </w:tc>
        <w:tc>
          <w:tcPr>
            <w:tcW w:w="5670" w:type="dxa"/>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3" w:hRule="atLeast"/>
        </w:trPr>
        <w:tc>
          <w:tcPr>
            <w:tcW w:w="1702" w:type="dxa"/>
            <w:gridSpan w:val="2"/>
            <w:noWrap w:val="0"/>
            <w:vAlign w:val="center"/>
          </w:tcPr>
          <w:p>
            <w:pPr>
              <w:wordWrap w:val="0"/>
              <w:spacing w:before="120" w:beforeLines="50" w:line="300" w:lineRule="auto"/>
              <w:jc w:val="center"/>
              <w:rPr>
                <w:rFonts w:hint="eastAsia" w:ascii="宋体" w:hAnsi="宋体" w:cs="宋体"/>
                <w:color w:val="auto"/>
                <w:sz w:val="22"/>
                <w:szCs w:val="22"/>
                <w:highlight w:val="none"/>
              </w:rPr>
            </w:pPr>
            <w:r>
              <w:rPr>
                <w:rFonts w:hint="eastAsia" w:ascii="宋体" w:hAnsi="宋体" w:cs="宋体"/>
                <w:color w:val="auto"/>
                <w:szCs w:val="21"/>
                <w:highlight w:val="none"/>
              </w:rPr>
              <w:t>1</w:t>
            </w:r>
          </w:p>
        </w:tc>
        <w:tc>
          <w:tcPr>
            <w:tcW w:w="2126" w:type="dxa"/>
            <w:noWrap w:val="0"/>
            <w:vAlign w:val="center"/>
          </w:tcPr>
          <w:p>
            <w:pPr>
              <w:wordWrap w:val="0"/>
              <w:spacing w:before="120" w:beforeLines="50" w:line="300" w:lineRule="auto"/>
              <w:jc w:val="center"/>
              <w:rPr>
                <w:rFonts w:hint="eastAsia" w:ascii="宋体" w:hAnsi="宋体" w:cs="宋体"/>
                <w:color w:val="auto"/>
                <w:sz w:val="22"/>
                <w:szCs w:val="22"/>
                <w:highlight w:val="none"/>
              </w:rPr>
            </w:pPr>
            <w:r>
              <w:rPr>
                <w:rFonts w:hint="eastAsia" w:ascii="宋体" w:hAnsi="宋体" w:cs="宋体"/>
                <w:color w:val="auto"/>
                <w:szCs w:val="21"/>
                <w:highlight w:val="none"/>
              </w:rPr>
              <w:t>确定入围投标人</w:t>
            </w:r>
          </w:p>
        </w:tc>
        <w:tc>
          <w:tcPr>
            <w:tcW w:w="5670" w:type="dxa"/>
            <w:noWrap w:val="0"/>
            <w:vAlign w:val="center"/>
          </w:tcPr>
          <w:p>
            <w:pPr>
              <w:pStyle w:val="17"/>
              <w:wordWrap w:val="0"/>
              <w:spacing w:after="0" w:line="300" w:lineRule="exact"/>
              <w:ind w:right="-61" w:rightChars="-2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1.当投标人数量小于等于10家的，所有投标人均为入围投标人；</w:t>
            </w:r>
          </w:p>
          <w:p>
            <w:pPr>
              <w:pStyle w:val="17"/>
              <w:wordWrap w:val="0"/>
              <w:spacing w:after="0" w:line="300" w:lineRule="exact"/>
              <w:ind w:right="-61" w:rightChars="-2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2.当投标人数量大于10家的，应当采用以下方式确定入围的投标人：</w:t>
            </w:r>
          </w:p>
          <w:p>
            <w:pPr>
              <w:pStyle w:val="17"/>
              <w:wordWrap w:val="0"/>
              <w:spacing w:after="0" w:line="300" w:lineRule="exact"/>
              <w:ind w:right="-61" w:rightChars="-2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按投标人</w:t>
            </w:r>
            <w:r>
              <w:rPr>
                <w:rFonts w:hint="eastAsia" w:ascii="宋体" w:hAnsi="宋体" w:cs="宋体"/>
                <w:color w:val="auto"/>
                <w:szCs w:val="21"/>
                <w:highlight w:val="none"/>
                <w:lang w:val="en-US" w:eastAsia="zh-CN"/>
              </w:rPr>
              <w:t>《企业信用声明》中填报的“评标使用的等级”</w:t>
            </w:r>
            <w:r>
              <w:rPr>
                <w:rFonts w:hint="eastAsia" w:ascii="宋体" w:hAnsi="宋体" w:cs="宋体"/>
                <w:color w:val="auto"/>
                <w:szCs w:val="21"/>
                <w:highlight w:val="none"/>
              </w:rPr>
              <w:t>由高到低排序，从信用等级A及以上等级的投标人中随机抽取10家入围（信用等级A及以上等级的投标人不足10家全部入围）；</w:t>
            </w:r>
          </w:p>
          <w:p>
            <w:pPr>
              <w:pStyle w:val="17"/>
              <w:wordWrap w:val="0"/>
              <w:spacing w:after="0" w:line="300" w:lineRule="exact"/>
              <w:ind w:right="-61" w:rightChars="-29" w:firstLine="420" w:firstLineChars="200"/>
              <w:jc w:val="left"/>
              <w:rPr>
                <w:rFonts w:hint="eastAsia" w:ascii="宋体" w:hAnsi="宋体" w:cs="宋体"/>
                <w:color w:val="auto"/>
                <w:sz w:val="22"/>
                <w:szCs w:val="22"/>
                <w:highlight w:val="none"/>
              </w:rPr>
            </w:pPr>
            <w:r>
              <w:rPr>
                <w:rFonts w:hint="eastAsia" w:ascii="宋体" w:hAnsi="宋体" w:cs="宋体"/>
                <w:color w:val="auto"/>
                <w:szCs w:val="21"/>
                <w:highlight w:val="none"/>
                <w:lang w:val="en-US" w:eastAsia="zh-CN"/>
              </w:rPr>
              <w:t>抽取规则：投标人代表号即为投标人代表球号，由资格审查委员会在抽取机中放入信用等级A及以上等级的投标人代表球号，分10次进行随机抽取入围投标人。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restart"/>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851" w:type="dxa"/>
            <w:vMerge w:val="restart"/>
            <w:noWrap w:val="0"/>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资格评审标准</w:t>
            </w:r>
          </w:p>
        </w:tc>
        <w:tc>
          <w:tcPr>
            <w:tcW w:w="2126"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营业执照</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资质</w:t>
            </w:r>
            <w:r>
              <w:rPr>
                <w:rFonts w:hint="eastAsia"/>
                <w:color w:val="auto"/>
                <w:szCs w:val="21"/>
                <w:highlight w:val="none"/>
              </w:rPr>
              <w:t>条件</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业绩</w:t>
            </w:r>
            <w:r>
              <w:rPr>
                <w:rFonts w:hint="eastAsia"/>
                <w:color w:val="auto"/>
                <w:szCs w:val="21"/>
                <w:highlight w:val="none"/>
              </w:rPr>
              <w:t>要求</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信誉</w:t>
            </w:r>
            <w:r>
              <w:rPr>
                <w:rFonts w:hint="eastAsia"/>
                <w:color w:val="auto"/>
                <w:szCs w:val="21"/>
                <w:highlight w:val="none"/>
              </w:rPr>
              <w:t>要求</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rFonts w:hint="eastAsia"/>
                <w:color w:val="auto"/>
                <w:szCs w:val="21"/>
                <w:highlight w:val="none"/>
              </w:rPr>
              <w:t>主要人员资格</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符合第二章“投标人须知”第1.4.1</w:t>
            </w:r>
            <w:r>
              <w:rPr>
                <w:rFonts w:hint="eastAsia"/>
                <w:color w:val="auto"/>
                <w:szCs w:val="21"/>
                <w:highlight w:val="none"/>
              </w:rPr>
              <w:t>项</w:t>
            </w:r>
            <w:r>
              <w:rPr>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财务</w:t>
            </w:r>
            <w:r>
              <w:rPr>
                <w:rFonts w:hint="eastAsia"/>
                <w:color w:val="auto"/>
                <w:szCs w:val="21"/>
                <w:highlight w:val="none"/>
              </w:rPr>
              <w:t>能力</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rFonts w:hint="eastAsia"/>
                <w:color w:val="auto"/>
                <w:szCs w:val="21"/>
                <w:highlight w:val="none"/>
              </w:rPr>
              <w:t>其他要求</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联合体投标人</w:t>
            </w:r>
            <w:r>
              <w:rPr>
                <w:rFonts w:hint="eastAsia"/>
                <w:color w:val="auto"/>
                <w:szCs w:val="21"/>
                <w:highlight w:val="none"/>
              </w:rPr>
              <w:t>（如有）</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符合第二章“投标人须知”第1.4.2项规定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adjustRightInd w:val="0"/>
              <w:snapToGrid w:val="0"/>
              <w:jc w:val="center"/>
              <w:rPr>
                <w:color w:val="auto"/>
                <w:szCs w:val="21"/>
                <w:highlight w:val="none"/>
              </w:rPr>
            </w:pPr>
            <w:r>
              <w:rPr>
                <w:rFonts w:hint="eastAsia" w:ascii="宋体" w:hAnsi="宋体"/>
                <w:color w:val="auto"/>
                <w:szCs w:val="21"/>
                <w:highlight w:val="none"/>
              </w:rPr>
              <w:t>投标文件软硬件信息不得出现的情形</w:t>
            </w:r>
          </w:p>
        </w:tc>
        <w:tc>
          <w:tcPr>
            <w:tcW w:w="5670" w:type="dxa"/>
            <w:noWrap w:val="0"/>
            <w:vAlign w:val="center"/>
          </w:tcPr>
          <w:p>
            <w:pPr>
              <w:spacing w:line="300" w:lineRule="auto"/>
              <w:rPr>
                <w:color w:val="auto"/>
                <w:szCs w:val="21"/>
                <w:highlight w:val="none"/>
              </w:rPr>
            </w:pPr>
            <w:r>
              <w:rPr>
                <w:rFonts w:hint="eastAsia" w:ascii="Times New Roman" w:hAnsi="Times New Roman"/>
                <w:color w:val="auto"/>
                <w:highlight w:val="none"/>
              </w:rPr>
              <w:t>电子投标文件记录的计算机硬件信息中，不得存在一条及以上的计算机的MAC地址、CPU序列号、硬盘序列号空值的情形。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restart"/>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w:t>
            </w:r>
          </w:p>
          <w:p>
            <w:pPr>
              <w:rPr>
                <w:rFonts w:ascii="宋体" w:hAnsi="宋体" w:cs="宋体"/>
                <w:color w:val="auto"/>
                <w:sz w:val="22"/>
                <w:szCs w:val="22"/>
                <w:highlight w:val="none"/>
              </w:rPr>
            </w:pPr>
          </w:p>
        </w:tc>
        <w:tc>
          <w:tcPr>
            <w:tcW w:w="851" w:type="dxa"/>
            <w:vMerge w:val="restart"/>
            <w:noWrap w:val="0"/>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形式评审标准</w:t>
            </w:r>
          </w:p>
        </w:tc>
        <w:tc>
          <w:tcPr>
            <w:tcW w:w="2126" w:type="dxa"/>
            <w:noWrap w:val="0"/>
            <w:vAlign w:val="center"/>
          </w:tcPr>
          <w:p>
            <w:pPr>
              <w:spacing w:line="400" w:lineRule="exact"/>
              <w:jc w:val="center"/>
              <w:rPr>
                <w:color w:val="auto"/>
                <w:szCs w:val="21"/>
                <w:highlight w:val="none"/>
              </w:rPr>
            </w:pPr>
            <w:r>
              <w:rPr>
                <w:color w:val="auto"/>
                <w:szCs w:val="21"/>
                <w:highlight w:val="none"/>
              </w:rPr>
              <w:t>投标人名称</w:t>
            </w:r>
          </w:p>
        </w:tc>
        <w:tc>
          <w:tcPr>
            <w:tcW w:w="5670" w:type="dxa"/>
            <w:noWrap w:val="0"/>
            <w:vAlign w:val="center"/>
          </w:tcPr>
          <w:p>
            <w:pPr>
              <w:spacing w:line="400" w:lineRule="exact"/>
              <w:jc w:val="center"/>
              <w:rPr>
                <w:color w:val="auto"/>
                <w:szCs w:val="21"/>
                <w:highlight w:val="none"/>
              </w:rPr>
            </w:pPr>
            <w:r>
              <w:rPr>
                <w:color w:val="auto"/>
                <w:szCs w:val="21"/>
                <w:highlight w:val="none"/>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color w:val="auto"/>
                <w:szCs w:val="21"/>
                <w:highlight w:val="none"/>
              </w:rPr>
            </w:pPr>
            <w:r>
              <w:rPr>
                <w:color w:val="auto"/>
                <w:szCs w:val="21"/>
                <w:highlight w:val="none"/>
              </w:rPr>
              <w:t>投标函签字盖章</w:t>
            </w:r>
          </w:p>
        </w:tc>
        <w:tc>
          <w:tcPr>
            <w:tcW w:w="5670" w:type="dxa"/>
            <w:noWrap w:val="0"/>
            <w:vAlign w:val="center"/>
          </w:tcPr>
          <w:p>
            <w:pPr>
              <w:spacing w:line="400" w:lineRule="exact"/>
              <w:jc w:val="center"/>
              <w:rPr>
                <w:color w:val="auto"/>
                <w:szCs w:val="21"/>
                <w:highlight w:val="none"/>
              </w:rPr>
            </w:pPr>
            <w:r>
              <w:rPr>
                <w:rFonts w:hint="eastAsia"/>
                <w:color w:val="auto"/>
                <w:szCs w:val="21"/>
                <w:highlight w:val="none"/>
              </w:rPr>
              <w:t>加盖单位电子公章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color w:val="auto"/>
                <w:szCs w:val="21"/>
                <w:highlight w:val="none"/>
              </w:rPr>
            </w:pPr>
            <w:r>
              <w:rPr>
                <w:color w:val="auto"/>
                <w:szCs w:val="21"/>
                <w:highlight w:val="none"/>
              </w:rPr>
              <w:t>投标文件格式</w:t>
            </w:r>
          </w:p>
        </w:tc>
        <w:tc>
          <w:tcPr>
            <w:tcW w:w="5670" w:type="dxa"/>
            <w:noWrap w:val="0"/>
            <w:vAlign w:val="center"/>
          </w:tcPr>
          <w:p>
            <w:pPr>
              <w:spacing w:line="400" w:lineRule="exact"/>
              <w:jc w:val="center"/>
              <w:rPr>
                <w:color w:val="auto"/>
                <w:szCs w:val="21"/>
                <w:highlight w:val="none"/>
              </w:rPr>
            </w:pPr>
            <w:r>
              <w:rPr>
                <w:color w:val="auto"/>
                <w:szCs w:val="21"/>
                <w:highlight w:val="none"/>
              </w:rPr>
              <w:t>符合</w:t>
            </w:r>
            <w:r>
              <w:rPr>
                <w:rFonts w:hint="eastAsia"/>
                <w:color w:val="auto"/>
                <w:szCs w:val="21"/>
                <w:highlight w:val="none"/>
              </w:rPr>
              <w:t>招标文件</w:t>
            </w:r>
            <w:r>
              <w:rPr>
                <w:color w:val="auto"/>
                <w:szCs w:val="21"/>
                <w:highlight w:val="none"/>
              </w:rPr>
              <w:t>第</w:t>
            </w:r>
            <w:r>
              <w:rPr>
                <w:rFonts w:hint="eastAsia"/>
                <w:color w:val="auto"/>
                <w:szCs w:val="21"/>
                <w:highlight w:val="none"/>
                <w:lang w:eastAsia="zh-CN"/>
              </w:rPr>
              <w:t>九</w:t>
            </w:r>
            <w:r>
              <w:rPr>
                <w:color w:val="auto"/>
                <w:szCs w:val="21"/>
                <w:highlight w:val="none"/>
              </w:rPr>
              <w:t>章“投标文件格式”的要求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color w:val="auto"/>
                <w:szCs w:val="21"/>
                <w:highlight w:val="none"/>
              </w:rPr>
            </w:pPr>
            <w:r>
              <w:rPr>
                <w:color w:val="auto"/>
                <w:szCs w:val="21"/>
                <w:highlight w:val="none"/>
              </w:rPr>
              <w:t>联合体投标人</w:t>
            </w:r>
            <w:r>
              <w:rPr>
                <w:rFonts w:hint="eastAsia"/>
                <w:color w:val="auto"/>
                <w:szCs w:val="21"/>
                <w:highlight w:val="none"/>
              </w:rPr>
              <w:t>（如有）</w:t>
            </w:r>
          </w:p>
        </w:tc>
        <w:tc>
          <w:tcPr>
            <w:tcW w:w="5670" w:type="dxa"/>
            <w:noWrap w:val="0"/>
            <w:vAlign w:val="center"/>
          </w:tcPr>
          <w:p>
            <w:pPr>
              <w:spacing w:line="400" w:lineRule="exact"/>
              <w:jc w:val="center"/>
              <w:rPr>
                <w:color w:val="auto"/>
                <w:szCs w:val="21"/>
                <w:highlight w:val="none"/>
              </w:rPr>
            </w:pPr>
            <w:r>
              <w:rPr>
                <w:color w:val="auto"/>
                <w:szCs w:val="21"/>
                <w:highlight w:val="none"/>
              </w:rPr>
              <w:t>提交联合体协议书，并明确联合体牵头人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color w:val="auto"/>
                <w:szCs w:val="21"/>
                <w:highlight w:val="none"/>
              </w:rPr>
            </w:pPr>
            <w:r>
              <w:rPr>
                <w:color w:val="auto"/>
                <w:szCs w:val="21"/>
                <w:highlight w:val="none"/>
              </w:rPr>
              <w:t>报价唯一</w:t>
            </w:r>
          </w:p>
        </w:tc>
        <w:tc>
          <w:tcPr>
            <w:tcW w:w="5670" w:type="dxa"/>
            <w:noWrap w:val="0"/>
            <w:vAlign w:val="center"/>
          </w:tcPr>
          <w:p>
            <w:pPr>
              <w:spacing w:line="400" w:lineRule="exact"/>
              <w:jc w:val="center"/>
              <w:rPr>
                <w:color w:val="auto"/>
                <w:szCs w:val="21"/>
                <w:highlight w:val="none"/>
              </w:rPr>
            </w:pPr>
            <w:r>
              <w:rPr>
                <w:color w:val="auto"/>
                <w:szCs w:val="21"/>
                <w:highlight w:val="none"/>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restart"/>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2.3</w:t>
            </w:r>
          </w:p>
        </w:tc>
        <w:tc>
          <w:tcPr>
            <w:tcW w:w="851" w:type="dxa"/>
            <w:vMerge w:val="restart"/>
            <w:noWrap w:val="0"/>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响应性评审标准</w:t>
            </w:r>
          </w:p>
        </w:tc>
        <w:tc>
          <w:tcPr>
            <w:tcW w:w="2126"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投标内容</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rFonts w:hint="eastAsia"/>
                <w:color w:val="auto"/>
                <w:szCs w:val="21"/>
                <w:highlight w:val="none"/>
              </w:rPr>
              <w:t>监理服务阶段</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符合第二章“投标人须知”第1.3.2项规定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rFonts w:hint="eastAsia"/>
                <w:color w:val="auto"/>
                <w:szCs w:val="21"/>
                <w:highlight w:val="none"/>
              </w:rPr>
              <w:t>监理工作范围</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符合第二章“投标人须知”第1.3.3项规定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rFonts w:hint="eastAsia"/>
                <w:color w:val="auto"/>
                <w:szCs w:val="21"/>
                <w:highlight w:val="none"/>
              </w:rPr>
              <w:t>监理服务期</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符合第二章“投标人须知”第1.3.</w:t>
            </w:r>
            <w:r>
              <w:rPr>
                <w:rFonts w:hint="eastAsia"/>
                <w:color w:val="auto"/>
                <w:szCs w:val="21"/>
                <w:highlight w:val="none"/>
              </w:rPr>
              <w:t>4</w:t>
            </w:r>
            <w:r>
              <w:rPr>
                <w:color w:val="auto"/>
                <w:szCs w:val="21"/>
                <w:highlight w:val="none"/>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投标保证金</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符合第二章“投标人须知”第3.4</w:t>
            </w:r>
            <w:r>
              <w:rPr>
                <w:rFonts w:hint="eastAsia"/>
                <w:color w:val="auto"/>
                <w:szCs w:val="21"/>
                <w:highlight w:val="none"/>
              </w:rPr>
              <w:t>.1项</w:t>
            </w:r>
            <w:r>
              <w:rPr>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rFonts w:hint="eastAsia"/>
                <w:color w:val="auto"/>
                <w:szCs w:val="21"/>
                <w:highlight w:val="none"/>
              </w:rPr>
              <w:t>投标有效期</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符合第二章“投标人须知”第</w:t>
            </w:r>
            <w:r>
              <w:rPr>
                <w:rFonts w:hint="eastAsia"/>
                <w:color w:val="auto"/>
                <w:szCs w:val="21"/>
                <w:highlight w:val="none"/>
              </w:rPr>
              <w:t>3</w:t>
            </w:r>
            <w:r>
              <w:rPr>
                <w:color w:val="auto"/>
                <w:szCs w:val="21"/>
                <w:highlight w:val="none"/>
              </w:rPr>
              <w:t>.</w:t>
            </w:r>
            <w:r>
              <w:rPr>
                <w:rFonts w:hint="eastAsia"/>
                <w:color w:val="auto"/>
                <w:szCs w:val="21"/>
                <w:highlight w:val="none"/>
              </w:rPr>
              <w:t>3</w:t>
            </w:r>
            <w:r>
              <w:rPr>
                <w:color w:val="auto"/>
                <w:szCs w:val="21"/>
                <w:highlight w:val="none"/>
              </w:rPr>
              <w:t>.</w:t>
            </w:r>
            <w:r>
              <w:rPr>
                <w:rFonts w:hint="eastAsia"/>
                <w:color w:val="auto"/>
                <w:szCs w:val="21"/>
                <w:highlight w:val="none"/>
              </w:rPr>
              <w:t>1</w:t>
            </w:r>
            <w:r>
              <w:rPr>
                <w:color w:val="auto"/>
                <w:szCs w:val="21"/>
                <w:highlight w:val="none"/>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权利义务</w:t>
            </w:r>
          </w:p>
        </w:tc>
        <w:tc>
          <w:tcPr>
            <w:tcW w:w="5670" w:type="dxa"/>
            <w:noWrap w:val="0"/>
            <w:vAlign w:val="center"/>
          </w:tcPr>
          <w:p>
            <w:pPr>
              <w:spacing w:line="400" w:lineRule="exact"/>
              <w:jc w:val="center"/>
              <w:rPr>
                <w:rFonts w:ascii="宋体" w:hAnsi="宋体" w:cs="宋体"/>
                <w:color w:val="auto"/>
                <w:sz w:val="22"/>
                <w:szCs w:val="22"/>
                <w:highlight w:val="none"/>
              </w:rPr>
            </w:pPr>
            <w:r>
              <w:rPr>
                <w:color w:val="auto"/>
                <w:szCs w:val="21"/>
                <w:highlight w:val="none"/>
              </w:rPr>
              <w:t>符合</w:t>
            </w:r>
            <w:r>
              <w:rPr>
                <w:rFonts w:hint="eastAsia"/>
                <w:color w:val="auto"/>
                <w:szCs w:val="21"/>
                <w:highlight w:val="none"/>
              </w:rPr>
              <w:t>招标文件</w:t>
            </w:r>
            <w:r>
              <w:rPr>
                <w:color w:val="auto"/>
                <w:szCs w:val="21"/>
                <w:highlight w:val="none"/>
              </w:rPr>
              <w:t>第</w:t>
            </w:r>
            <w:r>
              <w:rPr>
                <w:rFonts w:hint="eastAsia"/>
                <w:color w:val="auto"/>
                <w:szCs w:val="21"/>
                <w:highlight w:val="none"/>
              </w:rPr>
              <w:t>五</w:t>
            </w:r>
            <w:r>
              <w:rPr>
                <w:color w:val="auto"/>
                <w:szCs w:val="21"/>
                <w:highlight w:val="none"/>
              </w:rPr>
              <w:t>章</w:t>
            </w:r>
            <w:r>
              <w:rPr>
                <w:rFonts w:hint="eastAsia"/>
                <w:color w:val="auto"/>
                <w:szCs w:val="21"/>
                <w:highlight w:val="none"/>
              </w:rPr>
              <w:t>“监理合同条款及格式”</w:t>
            </w:r>
            <w:r>
              <w:rPr>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color w:val="auto"/>
                <w:szCs w:val="21"/>
                <w:highlight w:val="none"/>
              </w:rPr>
            </w:pPr>
            <w:r>
              <w:rPr>
                <w:rFonts w:hint="eastAsia"/>
                <w:color w:val="auto"/>
                <w:szCs w:val="21"/>
                <w:highlight w:val="none"/>
              </w:rPr>
              <w:t>技术标准</w:t>
            </w:r>
          </w:p>
        </w:tc>
        <w:tc>
          <w:tcPr>
            <w:tcW w:w="5670" w:type="dxa"/>
            <w:noWrap w:val="0"/>
            <w:vAlign w:val="center"/>
          </w:tcPr>
          <w:p>
            <w:pPr>
              <w:spacing w:line="400" w:lineRule="exact"/>
              <w:jc w:val="center"/>
              <w:rPr>
                <w:color w:val="auto"/>
                <w:szCs w:val="21"/>
                <w:highlight w:val="none"/>
              </w:rPr>
            </w:pPr>
            <w:r>
              <w:rPr>
                <w:rFonts w:hint="eastAsia"/>
                <w:color w:val="auto"/>
                <w:szCs w:val="21"/>
                <w:highlight w:val="none"/>
              </w:rPr>
              <w:t xml:space="preserve">符合招标文件第八章“技术标准”规定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851" w:type="dxa"/>
            <w:vMerge w:val="continue"/>
            <w:noWrap w:val="0"/>
            <w:vAlign w:val="center"/>
          </w:tcPr>
          <w:p>
            <w:pPr>
              <w:spacing w:line="380" w:lineRule="exact"/>
              <w:jc w:val="center"/>
              <w:rPr>
                <w:rFonts w:ascii="宋体" w:hAnsi="宋体" w:cs="宋体"/>
                <w:color w:val="auto"/>
                <w:sz w:val="22"/>
                <w:szCs w:val="22"/>
                <w:highlight w:val="none"/>
              </w:rPr>
            </w:pPr>
          </w:p>
        </w:tc>
        <w:tc>
          <w:tcPr>
            <w:tcW w:w="2126" w:type="dxa"/>
            <w:noWrap w:val="0"/>
            <w:vAlign w:val="center"/>
          </w:tcPr>
          <w:p>
            <w:pPr>
              <w:spacing w:line="400" w:lineRule="exact"/>
              <w:jc w:val="center"/>
              <w:rPr>
                <w:rFonts w:ascii="宋体" w:hAnsi="宋体" w:cs="宋体"/>
                <w:color w:val="auto"/>
                <w:sz w:val="22"/>
                <w:szCs w:val="22"/>
                <w:highlight w:val="none"/>
              </w:rPr>
            </w:pPr>
            <w:r>
              <w:rPr>
                <w:rFonts w:hint="eastAsia"/>
                <w:color w:val="auto"/>
                <w:szCs w:val="21"/>
                <w:highlight w:val="none"/>
              </w:rPr>
              <w:t>重大偏差</w:t>
            </w:r>
          </w:p>
        </w:tc>
        <w:tc>
          <w:tcPr>
            <w:tcW w:w="5670" w:type="dxa"/>
            <w:noWrap w:val="0"/>
            <w:vAlign w:val="center"/>
          </w:tcPr>
          <w:p>
            <w:pPr>
              <w:spacing w:line="400" w:lineRule="exact"/>
              <w:jc w:val="center"/>
              <w:rPr>
                <w:rFonts w:ascii="宋体" w:hAnsi="宋体" w:cs="宋体"/>
                <w:color w:val="auto"/>
                <w:sz w:val="22"/>
                <w:szCs w:val="22"/>
                <w:highlight w:val="none"/>
              </w:rPr>
            </w:pPr>
            <w:r>
              <w:rPr>
                <w:rFonts w:hint="eastAsia"/>
                <w:color w:val="auto"/>
                <w:szCs w:val="21"/>
                <w:highlight w:val="none"/>
              </w:rPr>
              <w:t>见</w:t>
            </w:r>
            <w:r>
              <w:rPr>
                <w:color w:val="auto"/>
                <w:szCs w:val="21"/>
                <w:highlight w:val="none"/>
              </w:rPr>
              <w:t>第二章“投标人须知”第</w:t>
            </w:r>
            <w:r>
              <w:rPr>
                <w:rFonts w:hint="eastAsia"/>
                <w:color w:val="auto"/>
                <w:szCs w:val="21"/>
                <w:highlight w:val="none"/>
              </w:rPr>
              <w:t>1.12</w:t>
            </w:r>
            <w:r>
              <w:rPr>
                <w:color w:val="auto"/>
                <w:szCs w:val="21"/>
                <w:highlight w:val="none"/>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2" w:type="dxa"/>
            <w:gridSpan w:val="2"/>
            <w:noWrap w:val="0"/>
            <w:vAlign w:val="center"/>
          </w:tcPr>
          <w:p>
            <w:pPr>
              <w:wordWrap w:val="0"/>
              <w:spacing w:before="120" w:beforeLines="50" w:line="300" w:lineRule="auto"/>
              <w:jc w:val="center"/>
              <w:rPr>
                <w:rFonts w:ascii="宋体" w:hAnsi="宋体" w:cs="宋体"/>
                <w:color w:val="auto"/>
                <w:sz w:val="22"/>
                <w:szCs w:val="22"/>
                <w:highlight w:val="none"/>
              </w:rPr>
            </w:pPr>
            <w:bookmarkStart w:id="522" w:name="_Toc330384443"/>
            <w:bookmarkStart w:id="523" w:name="_Toc341805194"/>
            <w:bookmarkStart w:id="524" w:name="_Toc144974567"/>
            <w:bookmarkStart w:id="525" w:name="_Toc152045600"/>
            <w:bookmarkStart w:id="526" w:name="_Toc152042377"/>
            <w:r>
              <w:rPr>
                <w:rFonts w:hint="eastAsia" w:ascii="宋体" w:hAnsi="宋体" w:cs="宋体"/>
                <w:color w:val="auto"/>
                <w:szCs w:val="21"/>
                <w:highlight w:val="none"/>
              </w:rPr>
              <w:t>4</w:t>
            </w:r>
          </w:p>
        </w:tc>
        <w:tc>
          <w:tcPr>
            <w:tcW w:w="2126" w:type="dxa"/>
            <w:noWrap w:val="0"/>
            <w:vAlign w:val="center"/>
          </w:tcPr>
          <w:p>
            <w:pPr>
              <w:wordWrap w:val="0"/>
              <w:spacing w:before="120" w:beforeLines="50" w:line="300" w:lineRule="auto"/>
              <w:jc w:val="left"/>
              <w:rPr>
                <w:rFonts w:hint="eastAsia"/>
                <w:color w:val="auto"/>
                <w:szCs w:val="21"/>
                <w:highlight w:val="none"/>
              </w:rPr>
            </w:pPr>
            <w:r>
              <w:rPr>
                <w:rFonts w:hint="eastAsia" w:ascii="宋体" w:hAnsi="宋体" w:cs="宋体"/>
                <w:color w:val="auto"/>
                <w:szCs w:val="21"/>
                <w:highlight w:val="none"/>
              </w:rPr>
              <w:t>投标人回复澄清、说明、补正的时限</w:t>
            </w:r>
          </w:p>
        </w:tc>
        <w:tc>
          <w:tcPr>
            <w:tcW w:w="5670" w:type="dxa"/>
            <w:noWrap w:val="0"/>
            <w:vAlign w:val="center"/>
          </w:tcPr>
          <w:p>
            <w:pPr>
              <w:wordWrap w:val="0"/>
              <w:spacing w:before="120" w:beforeLines="50" w:line="300" w:lineRule="auto"/>
              <w:ind w:firstLine="420" w:firstLineChars="200"/>
              <w:rPr>
                <w:rFonts w:hint="eastAsia"/>
                <w:color w:val="auto"/>
                <w:szCs w:val="21"/>
                <w:highlight w:val="none"/>
              </w:rPr>
            </w:pPr>
            <w:r>
              <w:rPr>
                <w:rFonts w:hint="eastAsia" w:ascii="宋体" w:hAnsi="宋体" w:cs="宋体"/>
                <w:color w:val="auto"/>
                <w:szCs w:val="21"/>
                <w:highlight w:val="none"/>
              </w:rPr>
              <w:t>评标委员会通过电子交易平台发出通知后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分钟内</w:t>
            </w:r>
          </w:p>
        </w:tc>
      </w:tr>
    </w:tbl>
    <w:p>
      <w:pPr>
        <w:ind w:firstLine="3216" w:firstLineChars="1340"/>
        <w:rPr>
          <w:rFonts w:ascii="宋体" w:hAnsi="宋体" w:cs="宋体"/>
          <w:color w:val="auto"/>
          <w:sz w:val="24"/>
          <w:highlight w:val="none"/>
        </w:rPr>
      </w:pPr>
      <w:r>
        <w:rPr>
          <w:rFonts w:hint="eastAsia"/>
          <w:color w:val="auto"/>
          <w:sz w:val="24"/>
          <w:highlight w:val="none"/>
        </w:rPr>
        <w:br w:type="page"/>
      </w:r>
      <w:r>
        <w:rPr>
          <w:rFonts w:ascii="宋体" w:hAnsi="宋体" w:cs="宋体"/>
          <w:color w:val="auto"/>
          <w:sz w:val="24"/>
          <w:highlight w:val="none"/>
        </w:rPr>
        <w:t xml:space="preserve"> </w:t>
      </w:r>
    </w:p>
    <w:p>
      <w:pPr>
        <w:pStyle w:val="4"/>
        <w:wordWrap w:val="0"/>
        <w:spacing w:before="0" w:after="120" w:afterLines="50" w:line="240" w:lineRule="auto"/>
        <w:jc w:val="center"/>
        <w:rPr>
          <w:color w:val="auto"/>
          <w:sz w:val="30"/>
          <w:szCs w:val="30"/>
          <w:highlight w:val="none"/>
        </w:rPr>
      </w:pPr>
      <w:bookmarkStart w:id="527" w:name="_Toc368320231"/>
      <w:bookmarkStart w:id="528" w:name="_Toc6678"/>
      <w:bookmarkStart w:id="529" w:name="_Toc19593"/>
      <w:bookmarkStart w:id="530" w:name="_Toc3037"/>
      <w:bookmarkStart w:id="531" w:name="_Toc361993607"/>
      <w:bookmarkStart w:id="532" w:name="_Toc8201"/>
      <w:bookmarkStart w:id="533" w:name="_Toc362613881"/>
      <w:bookmarkStart w:id="534" w:name="_Toc368338558"/>
      <w:bookmarkStart w:id="535" w:name="_Toc245379330"/>
      <w:bookmarkStart w:id="536" w:name="_Toc362614253"/>
      <w:bookmarkStart w:id="537" w:name="_Toc362617992"/>
      <w:bookmarkStart w:id="538" w:name="_Toc10428"/>
      <w:bookmarkStart w:id="539" w:name="_Toc18371"/>
      <w:bookmarkStart w:id="540" w:name="_Toc503235807"/>
      <w:bookmarkStart w:id="541" w:name="_Toc19484"/>
      <w:bookmarkStart w:id="542" w:name="_Toc487653399"/>
      <w:bookmarkStart w:id="543" w:name="_Toc487619481"/>
      <w:bookmarkStart w:id="544" w:name="_Toc487291510"/>
      <w:bookmarkStart w:id="545" w:name="_Toc488650831"/>
      <w:r>
        <w:rPr>
          <w:rFonts w:hint="eastAsia"/>
          <w:color w:val="auto"/>
          <w:sz w:val="30"/>
          <w:szCs w:val="30"/>
          <w:highlight w:val="none"/>
        </w:rPr>
        <w:t>评标办法正文</w:t>
      </w:r>
      <w:bookmarkEnd w:id="527"/>
      <w:bookmarkEnd w:id="528"/>
      <w:bookmarkEnd w:id="529"/>
      <w:bookmarkEnd w:id="530"/>
      <w:bookmarkEnd w:id="531"/>
      <w:bookmarkEnd w:id="532"/>
      <w:bookmarkEnd w:id="533"/>
      <w:bookmarkEnd w:id="534"/>
      <w:bookmarkEnd w:id="535"/>
      <w:bookmarkEnd w:id="536"/>
      <w:bookmarkEnd w:id="537"/>
    </w:p>
    <w:p>
      <w:pPr>
        <w:wordWrap w:val="0"/>
        <w:spacing w:line="360" w:lineRule="exact"/>
        <w:ind w:firstLine="480" w:firstLineChars="200"/>
        <w:rPr>
          <w:rFonts w:hint="eastAsia" w:ascii="宋体" w:hAnsi="宋体" w:cs="宋体"/>
          <w:color w:val="auto"/>
          <w:sz w:val="24"/>
          <w:highlight w:val="none"/>
        </w:rPr>
      </w:pPr>
      <w:bookmarkStart w:id="546" w:name="_评标办法正文"/>
      <w:bookmarkEnd w:id="546"/>
      <w:bookmarkStart w:id="547" w:name="_Toc49"/>
      <w:bookmarkStart w:id="548" w:name="_Toc26863"/>
      <w:bookmarkStart w:id="549" w:name="_Toc1888"/>
      <w:bookmarkStart w:id="550" w:name="_Toc16608"/>
      <w:bookmarkStart w:id="551" w:name="_Toc7449"/>
      <w:r>
        <w:rPr>
          <w:rFonts w:hint="eastAsia" w:ascii="宋体" w:hAnsi="宋体" w:cs="宋体"/>
          <w:color w:val="auto"/>
          <w:sz w:val="24"/>
          <w:highlight w:val="none"/>
        </w:rPr>
        <w:t>本评标办法正文若有与本范本评标办法前附表不一致之处，以评标办法前附表为准。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评标方法</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本次评标采用定性评审法。</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 招标人分别组建资格审查委员会与评标委员会，资格审查委员会与评标委员会分工实施评标工作。资格审查委员会在开标后实施资格审查，确定入围投标人。评标委员会对入围投标人的投标文件进行定性评审，将未被否决投标的入围投标人确定为定标候选人，并为后续招标人定标、签订合同提供意见。</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评标程序和标准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评标按以下程序进行。</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资格审查及确定入围投标人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（1）组建资格审查委员会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（2）资格审查前的准备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（4）资格审查</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（5）澄清</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（6）结果确认</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定性评审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（1）组建评标委员会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（2）评审前的准备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（3）形式评审与响应性评审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（4）投标文件的澄清、说明和补正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（5）投标文件的修正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（6）确定定标候选人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资格审查与确定入围投标人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组建资格审查委员会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资格审查委员会由招标人代表（包括招标人委托的招标代理机构代表）组成，成员人数为 3 人及以上单数。资格审查与确定入围投标人工作由资格审查委员会负责并组织实施。</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资格审查前的准备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资格审查委员会在资格审查前应当认真研究招标文件，了解和熟悉资格审查程序、标准和审查过程中考虑的相关因素。</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资格审查委员会依据评标办法附表第1 项规定的标准确定入围投标人。投标人数量大于10 家时，资格审查委员会依据评标办法附表第 1 项规定的标准在开标时公开随机抽取入围投标人。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3.4资格审查</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资格审查委员会依据评标办法前附表第2.1项规定的标准对投标人进行资格审查，有一项不符合评审标准的，资格审查不合格，不得确定为定标候选人，且不再补充入围投标人。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资格审查合格的投标人数量少于 3 家的，招标人应当重新招标。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 澄清</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资格审查委员会认为需要对投标人的资格文件进行澄清的，应当通过电子交易平台要求投标人对所提交的资格文件中不明确的内容进行书面澄清。投标人不按资格审查委员会要求澄清的，资格审查不合格。</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澄清不得改变投标文件的实质性内容，投标人的书面澄清属于资格文件的组成部分。资格审查委员会不接受投标人主动提出的澄清。</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 结果确认</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资格审查委员会根据规定的程序和标准完成评审后，编制资格审查报告，向评标委员会告知评审结果。</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 资格审查委员会未按照招标文件规定的程序或标准进行评审且影响入围投标人确定结果的，应当按照招标文件规定的程序或标准进行纠正。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定性评审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4.1定性评审工作规则</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4.1.1评标委员会应当按照本章规定的方法、评审因素、标准和程序，客观、公正地对投标文件提出评审意见。本章没有规定的方法、评审因素和标准，不得作为评标的依据。</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4.1.2招标人应当根据项目规模和技术复杂程度等因素合理确定评标时间。超过三分之一的评标委员会成员认为评标时间不够的，招标人应当适当延长。</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4.1.3评标过程中，评标委员会成员有回避事由、擅离职守或者因健康等原因不能继续评标的，应当及时更换。被更换的评标委员会成员作出的评审结论无效，由更换后的评标委员会成员重新进行评审。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4.1.4招标文件条款存在含义不清或者相互矛盾的，评标委员会应当针对相应条款作出有利于相应投标人的结论。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4.1.5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4.1.6对否决的投标或不采信投标人说明的情况，评标委员会应当在评标报告中作详细说明。</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4.1.7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4.1.8评标结束后，由招标人向评标委员会成员支付劳务费。除此之外，评标委员会成员不得接受该项目招投标相关单位和个人的任何其他礼物、现金或者有价证券等财物。</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4.2组建评标委员会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（1）评标委员会由有关技术、经济等方面的专家组成，成员人数见第二章“投标人须知”。技术、经济等方面专家全部从福建省综合性评标专家库中抽取。</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（2）评标委员会成员有下列情形之一的，应当回避：</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①招标人或投标人的主要负责人的近亲属；</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②项目主管部门或者行政监督部门的人员；</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③与投标人有利害关系的；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④与投标人有经济利益关系，可能影响对投标公正评审的；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⑤曾因在招标、评标以及其他与招标投标有关活动中从事违法行为而受过行政处罚或刑事处罚的。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 评审前的准备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 形式评审与响应性评审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评标委员会依据评标办法前附表第2.2及2.3项规定的标准对入围投标人的投标文件进行形式评审与响应性评审，有一项不符合评审标准的，评标委员会应当否决其投标。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投标文件的澄清、说明和补正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评标过程中，评标委员会可以通过电子交易平台要求投标人对所提交的投标文件中不明确的内容进行书面澄清或说明，或者对细微偏差进行补正。投标人通过电子交易平台回复澄清、说明、补正，时限要求详见评标办法前附表第 4 项，评标委员会不接受投标人主动提出的澄清、说明或补正。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（2）澄清、说明和补正不得改变投标文件的实质性内容。投标人的书面澄清、说明和补正属于投标文件的组成部分。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（3）评标委员会对投标人提交的澄清、说明或补正有疑问的，可以要求投标人进一步澄清、说明或补正，直至满足评标委员会的要求。不按评标委员会要求澄清、说明或补正的，评标委员会应当否决其投标。</w:t>
      </w:r>
    </w:p>
    <w:p>
      <w:pPr>
        <w:spacing w:line="360" w:lineRule="exact"/>
        <w:ind w:firstLine="420" w:firstLineChars="1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4.6投标文件的修正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投标报价有算术错误的，评标委员会按以下原则对投标报价进行修正，修正的价格经投标人书面确认后具有约束力。投标人不接受修正价格的，其投标作废标处理。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（1）投标文件中的大写金额与小写金额不一致的，以大写金额为准；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（2）总价金额与依据单项计算出的结果不一致的，以单项金额为准修正总价，但单项金额小数点有明显错误的除外。</w:t>
      </w:r>
    </w:p>
    <w:p>
      <w:pPr>
        <w:wordWrap w:val="0"/>
        <w:spacing w:before="0" w:after="0" w:line="36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投标文件相关信息的核查</w:t>
      </w:r>
      <w:bookmarkEnd w:id="547"/>
      <w:bookmarkEnd w:id="548"/>
      <w:bookmarkEnd w:id="549"/>
      <w:bookmarkEnd w:id="550"/>
      <w:bookmarkEnd w:id="551"/>
    </w:p>
    <w:p>
      <w:pPr>
        <w:wordWrap w:val="0"/>
        <w:spacing w:after="0" w:line="360" w:lineRule="exact"/>
        <w:ind w:right="17"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 在评标过程中，评标委员会应查询交通运输主管部门“</w:t>
      </w:r>
      <w:r>
        <w:rPr>
          <w:rFonts w:hint="eastAsia" w:ascii="宋体" w:hAnsi="宋体" w:cs="宋体"/>
          <w:color w:val="auto"/>
          <w:sz w:val="24"/>
          <w:highlight w:val="none"/>
          <w:lang w:eastAsia="zh-CN"/>
        </w:rPr>
        <w:t>全国水运建设市场信用信息管理系统</w:t>
      </w:r>
      <w:r>
        <w:rPr>
          <w:rFonts w:hint="eastAsia" w:ascii="宋体" w:hAnsi="宋体" w:eastAsia="宋体" w:cs="宋体"/>
          <w:color w:val="auto"/>
          <w:sz w:val="24"/>
          <w:highlight w:val="none"/>
        </w:rPr>
        <w:t>”，对投标人的资质、业绩、主要人员资历和目前在岗情况、信用等级等信息进行核实。若投标文件载明的信息与交通运输主管部门“</w:t>
      </w:r>
      <w:r>
        <w:rPr>
          <w:rFonts w:hint="eastAsia" w:ascii="宋体" w:hAnsi="宋体" w:cs="宋体"/>
          <w:color w:val="auto"/>
          <w:sz w:val="24"/>
          <w:highlight w:val="none"/>
          <w:lang w:eastAsia="zh-CN"/>
        </w:rPr>
        <w:t>全国水运建设市场信用信息管理系统</w:t>
      </w:r>
      <w:r>
        <w:rPr>
          <w:rFonts w:hint="eastAsia" w:ascii="宋体" w:hAnsi="宋体" w:eastAsia="宋体" w:cs="宋体"/>
          <w:color w:val="auto"/>
          <w:sz w:val="24"/>
          <w:highlight w:val="none"/>
        </w:rPr>
        <w:t>”发布的信息不符，使得投标人的资格条件不符合招标文件规定的，评标委员会应否决其投标。</w:t>
      </w:r>
    </w:p>
    <w:p>
      <w:pPr>
        <w:pStyle w:val="17"/>
        <w:wordWrap w:val="0"/>
        <w:spacing w:after="0" w:line="312" w:lineRule="auto"/>
        <w:ind w:right="17" w:firstLine="480" w:firstLineChars="200"/>
        <w:rPr>
          <w:rFonts w:hint="eastAsia"/>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.2 </w:t>
      </w:r>
      <w:r>
        <w:rPr>
          <w:rFonts w:hint="eastAsia"/>
          <w:color w:val="auto"/>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（1）有下列情形之一的，属于投标人相互串通投标：</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a.投标人之间协商投标报价等投标文件的实质性内容；</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b.投标人之间约定中标人；</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C.投标人之间约定部分投标人放弃投标或中标；</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d.属于同一集团、协会、商会等组织成员的投标人按照该组织要求协同投标；</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e.投标人之间为谋取中标或排斥特定投标人而采取的其他联合行动。</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（2）有下列情形之一的，视为投标人相互串通投标；</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a.不同投标人的投标文件由同一单位或个人编制；</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b.不同投标人委托同一单位或个人办理投标事宜；</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C.不同投标人的投标文件载明的项目管理成员为同一人；</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d.不同投标人的投标文件异常一致或投标报价呈规律性差异；</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e.不同投标人的投标文件相互混装；</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f.不同投标人的投标保证金从同一单位或个人的账户转出。</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（3）有下列情形之一的 ，属于招标人与投标人串通投标：</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a.招标人在开标前开启投标文件并将有关信息泄露给其他投标人；</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b招标人直接或间接向投标人泄露标底、评标委员会成员等信息；</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c招标人明示或暗示投标人压低或抬高投标报价；</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d.招标人授意投标人撤换、修改投标文件；</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e.招标人明示或暗示投标人为特定投标人中标提供方便；</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f.招标人与投标人为谋求特定投标人中标而采取的其他串通行为。</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（4）投标人有下列情形之一的，属于弄虚作假的行为：</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a.使用通过受让或租借等方式获取的资格、资质证书投标；</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b.使用伪造、变造的许可证件；</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c.提供虚假的业绩；</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d.提供虚假的项目负责人或主要技术人员简历、劳动关系证明；</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e.提供虚假的信用状况；</w:t>
      </w:r>
    </w:p>
    <w:p>
      <w:pPr>
        <w:pStyle w:val="17"/>
        <w:wordWrap w:val="0"/>
        <w:spacing w:after="0" w:line="312" w:lineRule="auto"/>
        <w:ind w:right="17" w:firstLine="480" w:firstLineChars="200"/>
        <w:rPr>
          <w:rFonts w:hint="eastAsia"/>
          <w:color w:val="auto"/>
          <w:sz w:val="24"/>
          <w:highlight w:val="none"/>
        </w:rPr>
      </w:pPr>
      <w:r>
        <w:rPr>
          <w:rFonts w:hint="eastAsia"/>
          <w:color w:val="auto"/>
          <w:sz w:val="24"/>
          <w:highlight w:val="none"/>
        </w:rPr>
        <w:t>f.其他弄虚作假的行为。</w:t>
      </w:r>
    </w:p>
    <w:bookmarkEnd w:id="538"/>
    <w:bookmarkEnd w:id="539"/>
    <w:bookmarkEnd w:id="540"/>
    <w:bookmarkEnd w:id="541"/>
    <w:p>
      <w:pPr>
        <w:wordWrap w:val="0"/>
        <w:spacing w:line="300" w:lineRule="auto"/>
        <w:ind w:firstLine="480" w:firstLineChars="200"/>
        <w:rPr>
          <w:rFonts w:hint="eastAsia" w:ascii="Times New Roman" w:hAnsi="Times New Roman" w:eastAsia="黑体"/>
          <w:color w:val="auto"/>
          <w:sz w:val="24"/>
          <w:highlight w:val="none"/>
        </w:rPr>
      </w:pPr>
      <w:r>
        <w:rPr>
          <w:rFonts w:hint="eastAsia" w:ascii="Times New Roman" w:hAnsi="Times New Roman" w:eastAsia="黑体"/>
          <w:color w:val="auto"/>
          <w:sz w:val="24"/>
          <w:highlight w:val="none"/>
        </w:rPr>
        <w:t>5. 确定定标候选人</w:t>
      </w:r>
    </w:p>
    <w:p>
      <w:pPr>
        <w:wordWrap w:val="0"/>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评标委员会根据评标程序和标准完成评标后，将所有投标未被否决的入围投标人确定为定标候选人。</w:t>
      </w:r>
      <w:r>
        <w:rPr>
          <w:rFonts w:hint="eastAsia" w:ascii="宋体" w:hAnsi="宋体" w:cs="宋体"/>
          <w:color w:val="auto"/>
          <w:sz w:val="24"/>
          <w:highlight w:val="none"/>
          <w:lang w:eastAsia="zh-CN"/>
        </w:rPr>
        <w:t>因评标委员会纠正评标结果导致个别定标候选人被否决，定标候选人不再增补推荐。</w:t>
      </w:r>
      <w:r>
        <w:rPr>
          <w:rFonts w:hint="eastAsia" w:ascii="宋体" w:hAnsi="宋体" w:cs="宋体"/>
          <w:color w:val="auto"/>
          <w:sz w:val="24"/>
          <w:highlight w:val="none"/>
        </w:rPr>
        <w:t>投标未被否决的入围投标人少于 3 家，评标委员会认为投标明显缺乏竞争的，可以否决全部投标。</w:t>
      </w:r>
    </w:p>
    <w:p>
      <w:pPr>
        <w:wordWrap w:val="0"/>
        <w:spacing w:line="30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 提交资格审查报告和评标报告</w:t>
      </w:r>
    </w:p>
    <w:p>
      <w:pPr>
        <w:wordWrap w:val="0"/>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 资格审查委员会和评标委员会按照本章规定的程序和评审标准完成全部评审工作后，应当向招标人提交资格审查报告和评标报告。</w:t>
      </w:r>
    </w:p>
    <w:p>
      <w:pPr>
        <w:wordWrap w:val="0"/>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 评标委员会决定否决所有投标的，应当在评标报告中说明具体理由。</w:t>
      </w:r>
    </w:p>
    <w:p>
      <w:pPr>
        <w:wordWrap w:val="0"/>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 评标报告中应当列明投标文件雷同情况.</w:t>
      </w:r>
    </w:p>
    <w:bookmarkEnd w:id="522"/>
    <w:bookmarkEnd w:id="523"/>
    <w:bookmarkEnd w:id="524"/>
    <w:bookmarkEnd w:id="525"/>
    <w:bookmarkEnd w:id="526"/>
    <w:bookmarkEnd w:id="542"/>
    <w:bookmarkEnd w:id="543"/>
    <w:bookmarkEnd w:id="544"/>
    <w:bookmarkEnd w:id="545"/>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numPr>
          <w:ilvl w:val="0"/>
          <w:numId w:val="9"/>
        </w:numPr>
        <w:wordWrap w:val="0"/>
        <w:spacing w:before="400" w:after="400"/>
        <w:rPr>
          <w:rFonts w:hint="eastAsia" w:ascii="黑体" w:hAnsi="黑体" w:cs="宋体"/>
          <w:color w:val="auto"/>
          <w:kern w:val="1"/>
          <w:sz w:val="44"/>
          <w:szCs w:val="44"/>
          <w:highlight w:val="none"/>
        </w:rPr>
      </w:pPr>
      <w:bookmarkStart w:id="552" w:name="_Toc330384450"/>
      <w:bookmarkStart w:id="553" w:name="_Toc341805203"/>
      <w:bookmarkStart w:id="554" w:name="_Toc307991202"/>
      <w:bookmarkStart w:id="555" w:name="_Toc184635098"/>
      <w:r>
        <w:rPr>
          <w:rFonts w:hint="eastAsia"/>
          <w:color w:val="auto"/>
          <w:highlight w:val="none"/>
        </w:rPr>
        <w:br w:type="page"/>
      </w:r>
      <w:bookmarkStart w:id="556" w:name="_Toc6164"/>
      <w:bookmarkStart w:id="557" w:name="_Toc488650840"/>
      <w:r>
        <w:rPr>
          <w:rFonts w:hint="eastAsia" w:ascii="黑体" w:hAnsi="黑体" w:cs="宋体"/>
          <w:color w:val="auto"/>
          <w:kern w:val="1"/>
          <w:sz w:val="44"/>
          <w:szCs w:val="44"/>
          <w:highlight w:val="none"/>
        </w:rPr>
        <w:t>定标办法</w:t>
      </w:r>
      <w:bookmarkEnd w:id="556"/>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tabs>
          <w:tab w:val="left" w:pos="1920"/>
        </w:tabs>
        <w:spacing w:before="108"/>
        <w:jc w:val="center"/>
        <w:rPr>
          <w:rFonts w:hint="eastAsia" w:ascii="黑体" w:hAnsi="黑体" w:eastAsia="黑体" w:cs="宋体"/>
          <w:color w:val="auto"/>
          <w:sz w:val="32"/>
          <w:szCs w:val="32"/>
          <w:highlight w:val="none"/>
          <w:lang w:val="zh-CN" w:bidi="zh-CN"/>
        </w:rPr>
      </w:pPr>
      <w:r>
        <w:rPr>
          <w:rFonts w:hint="eastAsia" w:ascii="黑体" w:hAnsi="黑体" w:eastAsia="黑体" w:cs="宋体"/>
          <w:color w:val="auto"/>
          <w:sz w:val="32"/>
          <w:szCs w:val="32"/>
          <w:highlight w:val="none"/>
          <w:lang w:val="zh-CN" w:bidi="zh-CN"/>
        </w:rPr>
        <w:t>定标办法</w:t>
      </w:r>
    </w:p>
    <w:p>
      <w:pPr>
        <w:autoSpaceDE w:val="0"/>
        <w:autoSpaceDN w:val="0"/>
        <w:jc w:val="left"/>
        <w:rPr>
          <w:rFonts w:hint="eastAsia" w:ascii="黑体" w:hAnsi="黑体" w:eastAsia="黑体" w:cs="宋体"/>
          <w:b/>
          <w:color w:val="auto"/>
          <w:kern w:val="1"/>
          <w:sz w:val="24"/>
          <w:szCs w:val="24"/>
          <w:highlight w:val="none"/>
          <w:lang w:val="zh-CN"/>
        </w:rPr>
      </w:pPr>
      <w:r>
        <w:rPr>
          <w:rFonts w:hint="eastAsia" w:ascii="黑体" w:hAnsi="黑体" w:eastAsia="黑体" w:cs="宋体"/>
          <w:b/>
          <w:color w:val="auto"/>
          <w:kern w:val="1"/>
          <w:sz w:val="24"/>
          <w:szCs w:val="24"/>
          <w:highlight w:val="none"/>
          <w:lang w:val="zh-CN"/>
        </w:rPr>
        <w:t>定标办法前附表</w:t>
      </w:r>
    </w:p>
    <w:p>
      <w:pPr>
        <w:autoSpaceDE w:val="0"/>
        <w:autoSpaceDN w:val="0"/>
        <w:jc w:val="left"/>
        <w:rPr>
          <w:rFonts w:hint="eastAsia" w:ascii="黑体" w:hAnsi="黑体" w:eastAsia="黑体" w:cs="宋体"/>
          <w:b/>
          <w:color w:val="auto"/>
          <w:kern w:val="1"/>
          <w:szCs w:val="21"/>
          <w:highlight w:val="none"/>
          <w:lang w:val="zh-CN"/>
        </w:rPr>
      </w:pP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852"/>
        <w:gridCol w:w="1700"/>
        <w:gridCol w:w="6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708" w:type="dxa"/>
            <w:tcBorders>
              <w:bottom w:val="single" w:color="000000" w:sz="6" w:space="0"/>
              <w:right w:val="single" w:color="000000" w:sz="6" w:space="0"/>
            </w:tcBorders>
            <w:noWrap w:val="0"/>
            <w:vAlign w:val="top"/>
          </w:tcPr>
          <w:p>
            <w:pPr>
              <w:pStyle w:val="115"/>
              <w:spacing w:line="268" w:lineRule="exact"/>
              <w:ind w:left="121" w:right="112"/>
              <w:jc w:val="center"/>
              <w:rPr>
                <w:b/>
                <w:color w:val="auto"/>
                <w:highlight w:val="none"/>
              </w:rPr>
            </w:pPr>
            <w:r>
              <w:rPr>
                <w:b/>
                <w:color w:val="auto"/>
                <w:highlight w:val="none"/>
              </w:rPr>
              <w:t>项号</w:t>
            </w:r>
          </w:p>
        </w:tc>
        <w:tc>
          <w:tcPr>
            <w:tcW w:w="852" w:type="dxa"/>
            <w:tcBorders>
              <w:left w:val="single" w:color="000000" w:sz="6" w:space="0"/>
              <w:bottom w:val="single" w:color="000000" w:sz="6" w:space="0"/>
              <w:right w:val="single" w:color="000000" w:sz="6" w:space="0"/>
            </w:tcBorders>
            <w:noWrap w:val="0"/>
            <w:vAlign w:val="top"/>
          </w:tcPr>
          <w:p>
            <w:pPr>
              <w:pStyle w:val="115"/>
              <w:spacing w:line="268" w:lineRule="exact"/>
              <w:ind w:right="96"/>
              <w:jc w:val="right"/>
              <w:rPr>
                <w:b/>
                <w:color w:val="auto"/>
                <w:highlight w:val="none"/>
              </w:rPr>
            </w:pPr>
            <w:r>
              <w:rPr>
                <w:b/>
                <w:color w:val="auto"/>
                <w:w w:val="95"/>
                <w:highlight w:val="none"/>
              </w:rPr>
              <w:t>条款号</w:t>
            </w:r>
          </w:p>
        </w:tc>
        <w:tc>
          <w:tcPr>
            <w:tcW w:w="1700" w:type="dxa"/>
            <w:tcBorders>
              <w:left w:val="single" w:color="000000" w:sz="6" w:space="0"/>
              <w:bottom w:val="single" w:color="000000" w:sz="6" w:space="0"/>
              <w:right w:val="single" w:color="000000" w:sz="6" w:space="0"/>
            </w:tcBorders>
            <w:noWrap w:val="0"/>
            <w:vAlign w:val="top"/>
          </w:tcPr>
          <w:p>
            <w:pPr>
              <w:pStyle w:val="115"/>
              <w:spacing w:line="268" w:lineRule="exact"/>
              <w:ind w:left="85" w:right="78"/>
              <w:jc w:val="center"/>
              <w:rPr>
                <w:b/>
                <w:color w:val="auto"/>
                <w:highlight w:val="none"/>
              </w:rPr>
            </w:pPr>
            <w:r>
              <w:rPr>
                <w:b/>
                <w:color w:val="auto"/>
                <w:highlight w:val="none"/>
              </w:rPr>
              <w:t>定标规则</w:t>
            </w:r>
          </w:p>
        </w:tc>
        <w:tc>
          <w:tcPr>
            <w:tcW w:w="6519" w:type="dxa"/>
            <w:tcBorders>
              <w:left w:val="single" w:color="000000" w:sz="6" w:space="0"/>
              <w:bottom w:val="single" w:color="000000" w:sz="6" w:space="0"/>
            </w:tcBorders>
            <w:noWrap w:val="0"/>
            <w:vAlign w:val="top"/>
          </w:tcPr>
          <w:p>
            <w:pPr>
              <w:pStyle w:val="115"/>
              <w:spacing w:line="268" w:lineRule="exact"/>
              <w:ind w:left="2987" w:right="2636"/>
              <w:jc w:val="center"/>
              <w:rPr>
                <w:b/>
                <w:color w:val="auto"/>
                <w:highlight w:val="none"/>
              </w:rPr>
            </w:pPr>
            <w:r>
              <w:rPr>
                <w:b/>
                <w:color w:val="auto"/>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1" w:hRule="atLeast"/>
          <w:jc w:val="center"/>
        </w:trPr>
        <w:tc>
          <w:tcPr>
            <w:tcW w:w="708" w:type="dxa"/>
            <w:tcBorders>
              <w:top w:val="single" w:color="000000" w:sz="6" w:space="0"/>
              <w:bottom w:val="single" w:color="000000" w:sz="6" w:space="0"/>
              <w:right w:val="single" w:color="000000" w:sz="6" w:space="0"/>
            </w:tcBorders>
            <w:noWrap w:val="0"/>
            <w:vAlign w:val="top"/>
          </w:tcPr>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spacing w:before="7"/>
              <w:rPr>
                <w:rFonts w:ascii="黑体"/>
                <w:color w:val="auto"/>
                <w:sz w:val="15"/>
                <w:highlight w:val="none"/>
              </w:rPr>
            </w:pPr>
          </w:p>
          <w:p>
            <w:pPr>
              <w:pStyle w:val="115"/>
              <w:ind w:left="11"/>
              <w:jc w:val="center"/>
              <w:rPr>
                <w:color w:val="auto"/>
                <w:highlight w:val="none"/>
              </w:rPr>
            </w:pPr>
            <w:r>
              <w:rPr>
                <w:color w:val="auto"/>
                <w:highlight w:val="none"/>
              </w:rPr>
              <w:t>1</w:t>
            </w:r>
          </w:p>
        </w:tc>
        <w:tc>
          <w:tcPr>
            <w:tcW w:w="852" w:type="dxa"/>
            <w:tcBorders>
              <w:top w:val="single" w:color="000000" w:sz="6" w:space="0"/>
              <w:left w:val="single" w:color="000000" w:sz="6" w:space="0"/>
              <w:bottom w:val="single" w:color="000000" w:sz="6" w:space="0"/>
              <w:right w:val="single" w:color="000000" w:sz="6" w:space="0"/>
            </w:tcBorders>
            <w:noWrap w:val="0"/>
            <w:vAlign w:val="top"/>
          </w:tcPr>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spacing w:before="7"/>
              <w:rPr>
                <w:rFonts w:ascii="黑体"/>
                <w:color w:val="auto"/>
                <w:sz w:val="15"/>
                <w:highlight w:val="none"/>
              </w:rPr>
            </w:pPr>
          </w:p>
          <w:p>
            <w:pPr>
              <w:pStyle w:val="115"/>
              <w:ind w:right="149"/>
              <w:jc w:val="right"/>
              <w:rPr>
                <w:color w:val="auto"/>
                <w:highlight w:val="none"/>
              </w:rPr>
            </w:pPr>
            <w:r>
              <w:rPr>
                <w:color w:val="auto"/>
                <w:highlight w:val="none"/>
              </w:rPr>
              <w:t>3.2.1</w:t>
            </w:r>
          </w:p>
        </w:tc>
        <w:tc>
          <w:tcPr>
            <w:tcW w:w="1700" w:type="dxa"/>
            <w:tcBorders>
              <w:top w:val="single" w:color="000000" w:sz="6" w:space="0"/>
              <w:left w:val="single" w:color="000000" w:sz="6" w:space="0"/>
              <w:bottom w:val="single" w:color="000000" w:sz="6" w:space="0"/>
              <w:right w:val="single" w:color="000000" w:sz="6" w:space="0"/>
            </w:tcBorders>
            <w:noWrap w:val="0"/>
            <w:vAlign w:val="top"/>
          </w:tcPr>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rPr>
                <w:rFonts w:ascii="黑体"/>
                <w:color w:val="auto"/>
                <w:sz w:val="20"/>
                <w:highlight w:val="none"/>
              </w:rPr>
            </w:pPr>
          </w:p>
          <w:p>
            <w:pPr>
              <w:pStyle w:val="115"/>
              <w:spacing w:before="7"/>
              <w:rPr>
                <w:rFonts w:ascii="黑体"/>
                <w:color w:val="auto"/>
                <w:sz w:val="15"/>
                <w:highlight w:val="none"/>
              </w:rPr>
            </w:pPr>
          </w:p>
          <w:p>
            <w:pPr>
              <w:pStyle w:val="115"/>
              <w:ind w:left="85" w:right="79"/>
              <w:jc w:val="center"/>
              <w:rPr>
                <w:color w:val="auto"/>
                <w:highlight w:val="none"/>
              </w:rPr>
            </w:pPr>
            <w:r>
              <w:rPr>
                <w:color w:val="auto"/>
                <w:highlight w:val="none"/>
              </w:rPr>
              <w:t>定标要素</w:t>
            </w:r>
          </w:p>
        </w:tc>
        <w:tc>
          <w:tcPr>
            <w:tcW w:w="6519" w:type="dxa"/>
            <w:tcBorders>
              <w:top w:val="single" w:color="000000" w:sz="6" w:space="0"/>
              <w:left w:val="single" w:color="000000" w:sz="6" w:space="0"/>
              <w:bottom w:val="single" w:color="000000" w:sz="6" w:space="0"/>
            </w:tcBorders>
            <w:noWrap w:val="0"/>
            <w:vAlign w:val="top"/>
          </w:tcPr>
          <w:p>
            <w:pPr>
              <w:pStyle w:val="115"/>
              <w:spacing w:line="269" w:lineRule="exact"/>
              <w:ind w:left="105"/>
              <w:rPr>
                <w:color w:val="auto"/>
                <w:highlight w:val="none"/>
              </w:rPr>
            </w:pPr>
            <w:r>
              <w:rPr>
                <w:color w:val="auto"/>
                <w:spacing w:val="-1"/>
                <w:highlight w:val="none"/>
              </w:rPr>
              <w:t>1、信用，包括以下子要素</w:t>
            </w:r>
            <w:r>
              <w:rPr>
                <w:color w:val="auto"/>
                <w:spacing w:val="1"/>
                <w:w w:val="103"/>
                <w:position w:val="11"/>
                <w:sz w:val="10"/>
                <w:highlight w:val="none"/>
              </w:rPr>
              <w:t>①</w:t>
            </w:r>
            <w:r>
              <w:rPr>
                <w:color w:val="auto"/>
                <w:highlight w:val="none"/>
              </w:rPr>
              <w:t>：</w:t>
            </w:r>
          </w:p>
          <w:p>
            <w:pPr>
              <w:pStyle w:val="115"/>
              <w:numPr>
                <w:ilvl w:val="0"/>
                <w:numId w:val="10"/>
              </w:numPr>
              <w:tabs>
                <w:tab w:val="left" w:pos="632"/>
                <w:tab w:val="left" w:pos="5460"/>
              </w:tabs>
              <w:spacing w:before="139" w:line="364" w:lineRule="auto"/>
              <w:ind w:right="1044" w:hanging="420"/>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子要素证明材料要求：</w:t>
            </w:r>
            <w:r>
              <w:rPr>
                <w:color w:val="auto"/>
                <w:spacing w:val="-1"/>
                <w:highlight w:val="none"/>
              </w:rPr>
              <w:t xml:space="preserve"> </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15"/>
              <w:numPr>
                <w:ilvl w:val="0"/>
                <w:numId w:val="10"/>
              </w:numPr>
              <w:tabs>
                <w:tab w:val="left" w:pos="632"/>
                <w:tab w:val="left" w:pos="5460"/>
              </w:tabs>
              <w:spacing w:line="214" w:lineRule="exact"/>
              <w:ind w:left="631" w:hanging="527"/>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15"/>
              <w:tabs>
                <w:tab w:val="left" w:pos="5460"/>
              </w:tabs>
              <w:spacing w:before="139"/>
              <w:ind w:left="525"/>
              <w:rPr>
                <w:rFonts w:ascii="Times New Roman" w:eastAsia="Times New Roman"/>
                <w:color w:val="auto"/>
                <w:highlight w:val="none"/>
              </w:rPr>
            </w:pPr>
            <w:r>
              <w:rPr>
                <w:color w:val="auto"/>
                <w:highlight w:val="none"/>
              </w:rPr>
              <w:t>子要素证明材料要求：</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15"/>
              <w:numPr>
                <w:ilvl w:val="0"/>
                <w:numId w:val="10"/>
              </w:numPr>
              <w:spacing w:before="140" w:line="364" w:lineRule="auto"/>
              <w:ind w:left="631" w:right="3668" w:hanging="527"/>
              <w:rPr>
                <w:color w:val="auto"/>
                <w:highlight w:val="none"/>
              </w:rPr>
            </w:pPr>
            <w:r>
              <w:rPr>
                <w:color w:val="auto"/>
                <w:highlight w:val="none"/>
              </w:rPr>
              <w:t xml:space="preserve">…… </w:t>
            </w:r>
          </w:p>
          <w:p>
            <w:pPr>
              <w:pStyle w:val="115"/>
              <w:spacing w:before="140" w:line="364" w:lineRule="auto"/>
              <w:ind w:left="104" w:right="3668"/>
              <w:rPr>
                <w:color w:val="auto"/>
                <w:highlight w:val="none"/>
              </w:rPr>
            </w:pPr>
            <w:r>
              <w:rPr>
                <w:color w:val="auto"/>
                <w:highlight w:val="none"/>
              </w:rPr>
              <w:t>2、实力，包括以下子要素</w:t>
            </w:r>
            <w:r>
              <w:rPr>
                <w:color w:val="auto"/>
                <w:w w:val="103"/>
                <w:position w:val="11"/>
                <w:sz w:val="10"/>
                <w:highlight w:val="none"/>
              </w:rPr>
              <w:t>②</w:t>
            </w:r>
            <w:r>
              <w:rPr>
                <w:color w:val="auto"/>
                <w:highlight w:val="none"/>
              </w:rPr>
              <w:t>：</w:t>
            </w:r>
          </w:p>
          <w:p>
            <w:pPr>
              <w:pStyle w:val="115"/>
              <w:numPr>
                <w:ilvl w:val="0"/>
                <w:numId w:val="11"/>
              </w:numPr>
              <w:tabs>
                <w:tab w:val="left" w:pos="632"/>
                <w:tab w:val="left" w:pos="5460"/>
              </w:tabs>
              <w:spacing w:line="364" w:lineRule="auto"/>
              <w:ind w:right="1044" w:hanging="420"/>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子要素证明材料要求：</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15"/>
              <w:numPr>
                <w:ilvl w:val="0"/>
                <w:numId w:val="11"/>
              </w:numPr>
              <w:tabs>
                <w:tab w:val="left" w:pos="632"/>
                <w:tab w:val="left" w:pos="5460"/>
              </w:tabs>
              <w:spacing w:line="364" w:lineRule="auto"/>
              <w:ind w:right="1044" w:hanging="420"/>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子要素证明材料要求：</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15"/>
              <w:spacing w:line="364" w:lineRule="auto"/>
              <w:ind w:left="105" w:right="5454"/>
              <w:rPr>
                <w:color w:val="auto"/>
                <w:highlight w:val="none"/>
              </w:rPr>
            </w:pPr>
            <w:r>
              <w:rPr>
                <w:color w:val="auto"/>
                <w:highlight w:val="none"/>
              </w:rPr>
              <w:t>（3）…… 3、报价</w:t>
            </w:r>
          </w:p>
          <w:p>
            <w:pPr>
              <w:pStyle w:val="115"/>
              <w:numPr>
                <w:ilvl w:val="1"/>
                <w:numId w:val="11"/>
              </w:numPr>
              <w:tabs>
                <w:tab w:val="left" w:pos="1052"/>
                <w:tab w:val="left" w:pos="5460"/>
              </w:tabs>
              <w:spacing w:line="268" w:lineRule="exact"/>
              <w:ind w:hanging="527"/>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15"/>
              <w:numPr>
                <w:ilvl w:val="1"/>
                <w:numId w:val="11"/>
              </w:numPr>
              <w:tabs>
                <w:tab w:val="left" w:pos="1052"/>
                <w:tab w:val="left" w:pos="5460"/>
              </w:tabs>
              <w:spacing w:before="135"/>
              <w:ind w:hanging="527"/>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15"/>
              <w:spacing w:line="410" w:lineRule="atLeast"/>
              <w:ind w:left="105" w:right="4194" w:firstLine="420"/>
              <w:jc w:val="left"/>
              <w:rPr>
                <w:color w:val="auto"/>
                <w:highlight w:val="none"/>
              </w:rPr>
            </w:pPr>
            <w:r>
              <w:rPr>
                <w:color w:val="auto"/>
                <w:highlight w:val="none"/>
              </w:rPr>
              <w:t>（</w:t>
            </w:r>
            <w:r>
              <w:rPr>
                <w:rFonts w:hint="eastAsia"/>
                <w:color w:val="auto"/>
                <w:highlight w:val="none"/>
              </w:rPr>
              <w:t>3</w:t>
            </w:r>
            <w:r>
              <w:rPr>
                <w:color w:val="auto"/>
                <w:highlight w:val="none"/>
              </w:rPr>
              <w:t xml:space="preserve">）……        </w:t>
            </w:r>
            <w:r>
              <w:rPr>
                <w:color w:val="auto"/>
                <w:spacing w:val="-1"/>
                <w:highlight w:val="none"/>
              </w:rPr>
              <w:t>4、评标委员会评审意见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708" w:type="dxa"/>
            <w:tcBorders>
              <w:top w:val="single" w:color="000000" w:sz="6" w:space="0"/>
              <w:right w:val="single" w:color="000000" w:sz="6" w:space="0"/>
            </w:tcBorders>
            <w:noWrap w:val="0"/>
            <w:vAlign w:val="top"/>
          </w:tcPr>
          <w:p>
            <w:pPr>
              <w:pStyle w:val="115"/>
              <w:spacing w:line="268" w:lineRule="exact"/>
              <w:ind w:left="11"/>
              <w:jc w:val="center"/>
              <w:rPr>
                <w:color w:val="auto"/>
                <w:highlight w:val="none"/>
              </w:rPr>
            </w:pPr>
            <w:r>
              <w:rPr>
                <w:color w:val="auto"/>
                <w:highlight w:val="none"/>
              </w:rPr>
              <w:t>2</w:t>
            </w:r>
          </w:p>
        </w:tc>
        <w:tc>
          <w:tcPr>
            <w:tcW w:w="852" w:type="dxa"/>
            <w:tcBorders>
              <w:top w:val="single" w:color="000000" w:sz="6" w:space="0"/>
              <w:left w:val="single" w:color="000000" w:sz="6" w:space="0"/>
              <w:right w:val="single" w:color="000000" w:sz="6" w:space="0"/>
            </w:tcBorders>
            <w:noWrap w:val="0"/>
            <w:vAlign w:val="top"/>
          </w:tcPr>
          <w:p>
            <w:pPr>
              <w:pStyle w:val="115"/>
              <w:spacing w:line="268" w:lineRule="exact"/>
              <w:ind w:right="149"/>
              <w:jc w:val="right"/>
              <w:rPr>
                <w:color w:val="auto"/>
                <w:highlight w:val="none"/>
              </w:rPr>
            </w:pPr>
            <w:r>
              <w:rPr>
                <w:color w:val="auto"/>
                <w:highlight w:val="none"/>
              </w:rPr>
              <w:t>3.3.4</w:t>
            </w:r>
          </w:p>
        </w:tc>
        <w:tc>
          <w:tcPr>
            <w:tcW w:w="1700" w:type="dxa"/>
            <w:tcBorders>
              <w:top w:val="single" w:color="000000" w:sz="6" w:space="0"/>
              <w:left w:val="single" w:color="000000" w:sz="6" w:space="0"/>
              <w:right w:val="single" w:color="000000" w:sz="6" w:space="0"/>
            </w:tcBorders>
            <w:noWrap w:val="0"/>
            <w:vAlign w:val="top"/>
          </w:tcPr>
          <w:p>
            <w:pPr>
              <w:pStyle w:val="115"/>
              <w:spacing w:line="268" w:lineRule="exact"/>
              <w:ind w:left="85" w:right="79"/>
              <w:jc w:val="center"/>
              <w:rPr>
                <w:color w:val="auto"/>
                <w:highlight w:val="none"/>
              </w:rPr>
            </w:pPr>
            <w:r>
              <w:rPr>
                <w:color w:val="auto"/>
                <w:highlight w:val="none"/>
              </w:rPr>
              <w:t>定标票决办法</w:t>
            </w:r>
          </w:p>
        </w:tc>
        <w:tc>
          <w:tcPr>
            <w:tcW w:w="6519" w:type="dxa"/>
            <w:tcBorders>
              <w:top w:val="single" w:color="000000" w:sz="6" w:space="0"/>
              <w:left w:val="single" w:color="000000" w:sz="6" w:space="0"/>
            </w:tcBorders>
            <w:noWrap w:val="0"/>
            <w:vAlign w:val="top"/>
          </w:tcPr>
          <w:p>
            <w:pPr>
              <w:pStyle w:val="115"/>
              <w:spacing w:line="268" w:lineRule="exact"/>
              <w:ind w:left="525"/>
              <w:rPr>
                <w:color w:val="auto"/>
                <w:highlight w:val="none"/>
              </w:rPr>
            </w:pPr>
            <w:r>
              <w:rPr>
                <w:color w:val="auto"/>
                <w:highlight w:val="none"/>
              </w:rPr>
              <w:t>见投标人须知前附表</w:t>
            </w:r>
          </w:p>
        </w:tc>
      </w:tr>
    </w:tbl>
    <w:p>
      <w:pPr>
        <w:autoSpaceDE w:val="0"/>
        <w:autoSpaceDN w:val="0"/>
        <w:jc w:val="left"/>
        <w:rPr>
          <w:rFonts w:hint="eastAsia" w:ascii="黑体" w:hAnsi="黑体" w:eastAsia="黑体" w:cs="宋体"/>
          <w:b/>
          <w:color w:val="auto"/>
          <w:kern w:val="1"/>
          <w:szCs w:val="21"/>
          <w:highlight w:val="none"/>
          <w:lang w:val="zh-CN"/>
        </w:rPr>
      </w:pPr>
    </w:p>
    <w:p>
      <w:pPr>
        <w:autoSpaceDE w:val="0"/>
        <w:autoSpaceDN w:val="0"/>
        <w:jc w:val="left"/>
        <w:rPr>
          <w:rFonts w:hint="eastAsia" w:ascii="黑体" w:hAnsi="黑体" w:eastAsia="黑体" w:cs="宋体"/>
          <w:b/>
          <w:color w:val="auto"/>
          <w:kern w:val="1"/>
          <w:szCs w:val="21"/>
          <w:highlight w:val="none"/>
          <w:lang w:val="zh-CN"/>
        </w:rPr>
      </w:pPr>
      <w:r>
        <w:rPr>
          <w:rStyle w:val="52"/>
          <w:rFonts w:hint="eastAsia" w:ascii="黑体" w:hAnsi="黑体" w:eastAsia="黑体" w:cs="宋体"/>
          <w:b/>
          <w:color w:val="auto"/>
          <w:kern w:val="1"/>
          <w:szCs w:val="21"/>
          <w:highlight w:val="none"/>
          <w:lang w:val="zh-CN"/>
        </w:rPr>
        <w:footnoteReference w:id="1"/>
      </w:r>
    </w:p>
    <w:p>
      <w:pPr>
        <w:autoSpaceDE w:val="0"/>
        <w:autoSpaceDN w:val="0"/>
        <w:jc w:val="left"/>
        <w:rPr>
          <w:rFonts w:hint="eastAsia" w:ascii="黑体" w:hAnsi="黑体" w:eastAsia="黑体" w:cs="宋体"/>
          <w:b/>
          <w:color w:val="auto"/>
          <w:kern w:val="1"/>
          <w:szCs w:val="21"/>
          <w:highlight w:val="none"/>
          <w:lang w:val="zh-CN"/>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tbl>
      <w:tblPr>
        <w:tblStyle w:val="43"/>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852"/>
        <w:gridCol w:w="1700"/>
        <w:gridCol w:w="6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4" w:hRule="atLeast"/>
          <w:jc w:val="center"/>
        </w:trPr>
        <w:tc>
          <w:tcPr>
            <w:tcW w:w="708" w:type="dxa"/>
            <w:tcBorders>
              <w:right w:val="single" w:color="000000" w:sz="6" w:space="0"/>
            </w:tcBorders>
            <w:noWrap w:val="0"/>
            <w:vAlign w:val="top"/>
          </w:tcPr>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spacing w:before="163"/>
              <w:ind w:left="11"/>
              <w:jc w:val="center"/>
              <w:rPr>
                <w:color w:val="auto"/>
                <w:highlight w:val="none"/>
              </w:rPr>
            </w:pPr>
            <w:r>
              <w:rPr>
                <w:color w:val="auto"/>
                <w:highlight w:val="none"/>
              </w:rPr>
              <w:t>3</w:t>
            </w:r>
          </w:p>
        </w:tc>
        <w:tc>
          <w:tcPr>
            <w:tcW w:w="852" w:type="dxa"/>
            <w:tcBorders>
              <w:left w:val="single" w:color="000000" w:sz="6" w:space="0"/>
              <w:right w:val="single" w:color="000000" w:sz="6" w:space="0"/>
            </w:tcBorders>
            <w:noWrap w:val="0"/>
            <w:vAlign w:val="top"/>
          </w:tcPr>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spacing w:before="6"/>
              <w:rPr>
                <w:color w:val="auto"/>
                <w:sz w:val="19"/>
                <w:highlight w:val="none"/>
              </w:rPr>
            </w:pPr>
          </w:p>
          <w:p>
            <w:pPr>
              <w:pStyle w:val="115"/>
              <w:ind w:left="160"/>
              <w:rPr>
                <w:color w:val="auto"/>
                <w:highlight w:val="none"/>
              </w:rPr>
            </w:pPr>
          </w:p>
          <w:p>
            <w:pPr>
              <w:pStyle w:val="115"/>
              <w:ind w:left="160"/>
              <w:rPr>
                <w:rFonts w:hint="eastAsia"/>
                <w:color w:val="auto"/>
                <w:highlight w:val="none"/>
              </w:rPr>
            </w:pPr>
            <w:r>
              <w:rPr>
                <w:color w:val="auto"/>
                <w:highlight w:val="none"/>
              </w:rPr>
              <w:t>3.3.5</w:t>
            </w:r>
          </w:p>
          <w:p>
            <w:pPr>
              <w:pStyle w:val="115"/>
              <w:ind w:left="160"/>
              <w:rPr>
                <w:color w:val="auto"/>
                <w:highlight w:val="none"/>
              </w:rPr>
            </w:pPr>
            <w:r>
              <w:rPr>
                <w:color w:val="auto"/>
                <w:highlight w:val="none"/>
              </w:rPr>
              <w:t>（</w:t>
            </w:r>
            <w:r>
              <w:rPr>
                <w:rFonts w:hint="eastAsia"/>
                <w:color w:val="auto"/>
                <w:highlight w:val="none"/>
              </w:rPr>
              <w:t>1</w:t>
            </w:r>
            <w:r>
              <w:rPr>
                <w:color w:val="auto"/>
                <w:highlight w:val="none"/>
              </w:rPr>
              <w:t>）</w:t>
            </w:r>
          </w:p>
        </w:tc>
        <w:tc>
          <w:tcPr>
            <w:tcW w:w="1700" w:type="dxa"/>
            <w:tcBorders>
              <w:left w:val="single" w:color="000000" w:sz="6" w:space="0"/>
              <w:right w:val="single" w:color="000000" w:sz="6" w:space="0"/>
            </w:tcBorders>
            <w:noWrap w:val="0"/>
            <w:vAlign w:val="top"/>
          </w:tcPr>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spacing w:before="163"/>
              <w:ind w:left="85" w:right="78"/>
              <w:jc w:val="center"/>
              <w:rPr>
                <w:color w:val="auto"/>
                <w:highlight w:val="none"/>
              </w:rPr>
            </w:pPr>
            <w:r>
              <w:rPr>
                <w:color w:val="auto"/>
                <w:highlight w:val="none"/>
              </w:rPr>
              <w:t>票决定标法</w:t>
            </w:r>
          </w:p>
        </w:tc>
        <w:tc>
          <w:tcPr>
            <w:tcW w:w="6519" w:type="dxa"/>
            <w:tcBorders>
              <w:left w:val="single" w:color="000000" w:sz="6" w:space="0"/>
            </w:tcBorders>
            <w:noWrap w:val="0"/>
            <w:vAlign w:val="top"/>
          </w:tcPr>
          <w:p>
            <w:pPr>
              <w:pStyle w:val="115"/>
              <w:spacing w:before="4"/>
              <w:ind w:left="525"/>
              <w:rPr>
                <w:b/>
                <w:color w:val="auto"/>
                <w:highlight w:val="none"/>
              </w:rPr>
            </w:pPr>
            <w:r>
              <w:rPr>
                <w:b/>
                <w:color w:val="auto"/>
                <w:highlight w:val="none"/>
              </w:rPr>
              <w:t>1、直接票决法</w:t>
            </w:r>
          </w:p>
          <w:p>
            <w:pPr>
              <w:pStyle w:val="115"/>
              <w:spacing w:before="72" w:line="302" w:lineRule="auto"/>
              <w:ind w:left="105" w:right="98" w:firstLine="420"/>
              <w:rPr>
                <w:color w:val="auto"/>
                <w:highlight w:val="none"/>
              </w:rPr>
            </w:pPr>
            <w:r>
              <w:rPr>
                <w:color w:val="auto"/>
                <w:spacing w:val="-1"/>
                <w:highlight w:val="none"/>
              </w:rPr>
              <w:t>定标委员会在进入票决范围的定标候选人中，以每人投票支持一家候选人的方式，将得票数最多且得票数超过定标委员会总人数半数</w:t>
            </w:r>
            <w:r>
              <w:rPr>
                <w:color w:val="auto"/>
                <w:highlight w:val="none"/>
              </w:rPr>
              <w:t>的候选人确定为中标人。</w:t>
            </w:r>
          </w:p>
          <w:p>
            <w:pPr>
              <w:pStyle w:val="115"/>
              <w:spacing w:before="4" w:line="304" w:lineRule="auto"/>
              <w:ind w:left="105" w:right="98" w:firstLine="420"/>
              <w:rPr>
                <w:color w:val="auto"/>
                <w:highlight w:val="none"/>
              </w:rPr>
            </w:pPr>
            <w:r>
              <w:rPr>
                <w:color w:val="auto"/>
                <w:spacing w:val="-1"/>
                <w:highlight w:val="none"/>
              </w:rPr>
              <w:t>当没有候选人得票数超过定标委员会总人数半数时，选择得票数排序在前的2家候选人</w:t>
            </w:r>
            <w:r>
              <w:rPr>
                <w:color w:val="auto"/>
                <w:highlight w:val="none"/>
              </w:rPr>
              <w:t xml:space="preserve">（按上一轮得票数多少的顺序选择，在选择第2 </w:t>
            </w:r>
            <w:r>
              <w:rPr>
                <w:color w:val="auto"/>
                <w:spacing w:val="-1"/>
                <w:highlight w:val="none"/>
              </w:rPr>
              <w:t>家候选人时出现同票的候选人时，所有同票候选人一并纳入下一轮的</w:t>
            </w:r>
            <w:r>
              <w:rPr>
                <w:color w:val="auto"/>
                <w:highlight w:val="none"/>
              </w:rPr>
              <w:t>投票范围）</w:t>
            </w:r>
            <w:r>
              <w:rPr>
                <w:color w:val="auto"/>
                <w:spacing w:val="-1"/>
                <w:highlight w:val="none"/>
              </w:rPr>
              <w:t>作为再次投票的范围，直至出现得票数超过定标委员会总</w:t>
            </w:r>
            <w:r>
              <w:rPr>
                <w:color w:val="auto"/>
                <w:highlight w:val="none"/>
              </w:rPr>
              <w:t>人数半数的候选人为止。</w:t>
            </w:r>
          </w:p>
          <w:p>
            <w:pPr>
              <w:pStyle w:val="115"/>
              <w:spacing w:line="262" w:lineRule="exact"/>
              <w:ind w:left="525"/>
              <w:rPr>
                <w:b/>
                <w:color w:val="auto"/>
                <w:highlight w:val="none"/>
              </w:rPr>
            </w:pPr>
            <w:r>
              <w:rPr>
                <w:b/>
                <w:color w:val="auto"/>
                <w:highlight w:val="none"/>
              </w:rPr>
              <w:t>2、逐轮票决法</w:t>
            </w:r>
          </w:p>
          <w:p>
            <w:pPr>
              <w:pStyle w:val="115"/>
              <w:spacing w:before="72" w:line="304" w:lineRule="auto"/>
              <w:ind w:left="105" w:right="98" w:firstLine="420"/>
              <w:rPr>
                <w:color w:val="auto"/>
                <w:highlight w:val="none"/>
              </w:rPr>
            </w:pPr>
            <w:r>
              <w:rPr>
                <w:color w:val="auto"/>
                <w:highlight w:val="none"/>
              </w:rPr>
              <w:t>定标委员会在进入票决范围的定标候选人中，先以每人投票支持3家候选人的方式，将得票数排序在前的3家候选人进入下一轮的淘汰投票。如果出现得票数相同的情形，则得票数相同的候选人一并进入下一轮的淘汰投票。</w:t>
            </w:r>
          </w:p>
          <w:p>
            <w:pPr>
              <w:pStyle w:val="115"/>
              <w:spacing w:line="302" w:lineRule="auto"/>
              <w:ind w:left="105" w:right="98" w:firstLine="420"/>
              <w:rPr>
                <w:color w:val="auto"/>
                <w:highlight w:val="none"/>
              </w:rPr>
            </w:pPr>
            <w:r>
              <w:rPr>
                <w:color w:val="auto"/>
                <w:highlight w:val="none"/>
              </w:rPr>
              <w:t>原则上每轮淘汰1家候选人。各轮投票时，每人投1家淘汰单位， 该轮得票最多的投标人被淘汰。得票最多的候选人不止1家时，一并加以淘汰，但必须确保第一次淘汰之后剩余的候选人不少于2家，否则在得票最多的几家候选人中按前述规则进行二次淘汰，剩余的候选人进入下一轮淘汰投票。</w:t>
            </w:r>
          </w:p>
          <w:p>
            <w:pPr>
              <w:pStyle w:val="115"/>
              <w:spacing w:before="2"/>
              <w:ind w:left="525"/>
              <w:rPr>
                <w:color w:val="auto"/>
                <w:highlight w:val="none"/>
              </w:rPr>
            </w:pPr>
            <w:r>
              <w:rPr>
                <w:color w:val="auto"/>
                <w:highlight w:val="none"/>
              </w:rPr>
              <w:t>根据前述规则，直至剩余1家候选人为中标人。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1" w:hRule="atLeast"/>
          <w:jc w:val="center"/>
        </w:trPr>
        <w:tc>
          <w:tcPr>
            <w:tcW w:w="708" w:type="dxa"/>
            <w:tcBorders>
              <w:bottom w:val="single" w:color="000000" w:sz="6" w:space="0"/>
              <w:right w:val="single" w:color="000000" w:sz="6" w:space="0"/>
            </w:tcBorders>
            <w:noWrap w:val="0"/>
            <w:vAlign w:val="center"/>
          </w:tcPr>
          <w:p>
            <w:pPr>
              <w:pStyle w:val="115"/>
              <w:jc w:val="center"/>
              <w:rPr>
                <w:color w:val="auto"/>
                <w:sz w:val="20"/>
                <w:highlight w:val="none"/>
              </w:rPr>
            </w:pPr>
            <w:r>
              <w:rPr>
                <w:rFonts w:hint="eastAsia"/>
                <w:color w:val="auto"/>
                <w:sz w:val="20"/>
                <w:highlight w:val="none"/>
              </w:rPr>
              <w:t>4</w:t>
            </w:r>
          </w:p>
        </w:tc>
        <w:tc>
          <w:tcPr>
            <w:tcW w:w="852" w:type="dxa"/>
            <w:tcBorders>
              <w:left w:val="single" w:color="000000" w:sz="6" w:space="0"/>
              <w:bottom w:val="single" w:color="000000" w:sz="6" w:space="0"/>
              <w:right w:val="single" w:color="000000" w:sz="6" w:space="0"/>
            </w:tcBorders>
            <w:noWrap w:val="0"/>
            <w:vAlign w:val="top"/>
          </w:tcPr>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spacing w:before="164"/>
              <w:ind w:left="160"/>
              <w:rPr>
                <w:color w:val="auto"/>
                <w:highlight w:val="none"/>
              </w:rPr>
            </w:pPr>
            <w:r>
              <w:rPr>
                <w:color w:val="auto"/>
                <w:highlight w:val="none"/>
              </w:rPr>
              <w:t>3.3.5</w:t>
            </w:r>
          </w:p>
          <w:p>
            <w:pPr>
              <w:pStyle w:val="115"/>
              <w:rPr>
                <w:color w:val="auto"/>
                <w:sz w:val="20"/>
                <w:highlight w:val="none"/>
              </w:rPr>
            </w:pPr>
            <w:r>
              <w:rPr>
                <w:color w:val="auto"/>
                <w:highlight w:val="none"/>
              </w:rPr>
              <w:t>（2）</w:t>
            </w:r>
          </w:p>
        </w:tc>
        <w:tc>
          <w:tcPr>
            <w:tcW w:w="1700" w:type="dxa"/>
            <w:tcBorders>
              <w:left w:val="single" w:color="000000" w:sz="6" w:space="0"/>
              <w:bottom w:val="single" w:color="000000" w:sz="6" w:space="0"/>
              <w:right w:val="single" w:color="000000" w:sz="6" w:space="0"/>
            </w:tcBorders>
            <w:noWrap w:val="0"/>
            <w:vAlign w:val="top"/>
          </w:tcPr>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spacing w:before="12"/>
              <w:rPr>
                <w:color w:val="auto"/>
                <w:sz w:val="25"/>
                <w:highlight w:val="none"/>
              </w:rPr>
            </w:pPr>
          </w:p>
          <w:p>
            <w:pPr>
              <w:pStyle w:val="115"/>
              <w:rPr>
                <w:color w:val="auto"/>
                <w:sz w:val="20"/>
                <w:highlight w:val="none"/>
              </w:rPr>
            </w:pPr>
            <w:r>
              <w:rPr>
                <w:color w:val="auto"/>
                <w:highlight w:val="none"/>
              </w:rPr>
              <w:t>票决抽签定标法</w:t>
            </w:r>
          </w:p>
        </w:tc>
        <w:tc>
          <w:tcPr>
            <w:tcW w:w="6519" w:type="dxa"/>
            <w:tcBorders>
              <w:left w:val="single" w:color="000000" w:sz="6" w:space="0"/>
              <w:bottom w:val="single" w:color="000000" w:sz="6" w:space="0"/>
            </w:tcBorders>
            <w:noWrap w:val="0"/>
            <w:vAlign w:val="top"/>
          </w:tcPr>
          <w:p>
            <w:pPr>
              <w:pStyle w:val="115"/>
              <w:spacing w:line="302" w:lineRule="auto"/>
              <w:ind w:left="105" w:right="98" w:firstLine="420"/>
              <w:rPr>
                <w:color w:val="auto"/>
                <w:highlight w:val="none"/>
              </w:rPr>
            </w:pPr>
            <w:r>
              <w:rPr>
                <w:color w:val="auto"/>
                <w:highlight w:val="none"/>
              </w:rPr>
              <w:t>1、定标委员会在进入票决范围的定标候选人中，以每人投票支持3家候选人的方式，将得票数排序在前的3家候选人进入随机抽取环节。如果出现得票数相同的情形导致影响确定进入随机抽取环节候选人的，则对得票数相同的候选人按直接票决法的原则进行票决选择， 直至选择出3家候选人为止。</w:t>
            </w:r>
          </w:p>
          <w:p>
            <w:pPr>
              <w:pStyle w:val="115"/>
              <w:spacing w:before="6" w:line="302" w:lineRule="auto"/>
              <w:ind w:left="105" w:right="308" w:firstLine="420"/>
              <w:rPr>
                <w:color w:val="auto"/>
                <w:highlight w:val="none"/>
              </w:rPr>
            </w:pPr>
            <w:r>
              <w:rPr>
                <w:color w:val="auto"/>
                <w:highlight w:val="none"/>
              </w:rPr>
              <w:t>2、按照上述标准选择的3家候选人采用随机抽取方式确定中标人，随机抽取规则如下：</w:t>
            </w:r>
          </w:p>
          <w:p>
            <w:pPr>
              <w:pStyle w:val="115"/>
              <w:spacing w:before="2" w:line="302" w:lineRule="auto"/>
              <w:ind w:left="105" w:right="98" w:firstLine="420"/>
              <w:rPr>
                <w:color w:val="auto"/>
                <w:highlight w:val="none"/>
              </w:rPr>
            </w:pPr>
            <w:r>
              <w:rPr>
                <w:rFonts w:hint="eastAsia"/>
                <w:color w:val="auto"/>
                <w:highlight w:val="none"/>
                <w:lang w:val="zh-CN"/>
              </w:rPr>
              <w:t>候选人的投标人代表号即为候选人代表球号，由建设单位派出代表（除定标委员会成员以外人员）在市公共资源交易中心开标区抽取机中放入所有候选人代表球号，第1次抽取出的球号对应的候选人为中标人。</w:t>
            </w:r>
          </w:p>
          <w:p>
            <w:pPr>
              <w:pStyle w:val="115"/>
              <w:spacing w:before="3" w:line="304" w:lineRule="auto"/>
              <w:ind w:left="105" w:right="98" w:firstLine="420"/>
              <w:rPr>
                <w:color w:val="auto"/>
                <w:highlight w:val="none"/>
              </w:rPr>
            </w:pPr>
            <w:r>
              <w:rPr>
                <w:color w:val="auto"/>
                <w:highlight w:val="none"/>
              </w:rPr>
              <w:t>在抽取入围投标人过程中，如出现由于定标委员会的工作失误或设备故障影响抽取结果的，抽取中标人无效，应当重新抽取。</w:t>
            </w:r>
          </w:p>
          <w:p>
            <w:pPr>
              <w:pStyle w:val="115"/>
              <w:spacing w:before="4"/>
              <w:ind w:left="525"/>
              <w:rPr>
                <w:b/>
                <w:color w:val="auto"/>
                <w:highlight w:val="none"/>
              </w:rPr>
            </w:pPr>
            <w:r>
              <w:rPr>
                <w:color w:val="auto"/>
                <w:highlight w:val="none"/>
              </w:rPr>
              <w:t>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8" w:hRule="atLeast"/>
          <w:jc w:val="center"/>
        </w:trPr>
        <w:tc>
          <w:tcPr>
            <w:tcW w:w="708" w:type="dxa"/>
            <w:tcBorders>
              <w:bottom w:val="single" w:color="000000" w:sz="6" w:space="0"/>
              <w:right w:val="single" w:color="000000" w:sz="6" w:space="0"/>
            </w:tcBorders>
            <w:noWrap w:val="0"/>
            <w:vAlign w:val="center"/>
          </w:tcPr>
          <w:p>
            <w:pPr>
              <w:pStyle w:val="115"/>
              <w:jc w:val="center"/>
              <w:rPr>
                <w:rFonts w:hint="eastAsia"/>
                <w:color w:val="auto"/>
                <w:sz w:val="20"/>
                <w:highlight w:val="none"/>
              </w:rPr>
            </w:pPr>
            <w:r>
              <w:rPr>
                <w:rFonts w:hint="eastAsia"/>
                <w:color w:val="auto"/>
                <w:sz w:val="20"/>
                <w:highlight w:val="none"/>
              </w:rPr>
              <w:t>5</w:t>
            </w:r>
          </w:p>
        </w:tc>
        <w:tc>
          <w:tcPr>
            <w:tcW w:w="852" w:type="dxa"/>
            <w:tcBorders>
              <w:left w:val="single" w:color="000000" w:sz="6" w:space="0"/>
              <w:bottom w:val="single" w:color="000000" w:sz="6" w:space="0"/>
              <w:right w:val="single" w:color="000000" w:sz="6" w:space="0"/>
            </w:tcBorders>
            <w:noWrap w:val="0"/>
            <w:vAlign w:val="top"/>
          </w:tcPr>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spacing w:before="7"/>
              <w:rPr>
                <w:color w:val="auto"/>
                <w:sz w:val="19"/>
                <w:highlight w:val="none"/>
              </w:rPr>
            </w:pPr>
          </w:p>
          <w:p>
            <w:pPr>
              <w:pStyle w:val="115"/>
              <w:ind w:left="160"/>
              <w:rPr>
                <w:color w:val="auto"/>
                <w:highlight w:val="none"/>
              </w:rPr>
            </w:pPr>
            <w:r>
              <w:rPr>
                <w:color w:val="auto"/>
                <w:highlight w:val="none"/>
              </w:rPr>
              <w:t>3.3.5</w:t>
            </w:r>
          </w:p>
          <w:p>
            <w:pPr>
              <w:pStyle w:val="115"/>
              <w:rPr>
                <w:color w:val="auto"/>
                <w:sz w:val="20"/>
                <w:highlight w:val="none"/>
              </w:rPr>
            </w:pPr>
            <w:r>
              <w:rPr>
                <w:color w:val="auto"/>
                <w:highlight w:val="none"/>
              </w:rPr>
              <w:t>（3）</w:t>
            </w:r>
          </w:p>
        </w:tc>
        <w:tc>
          <w:tcPr>
            <w:tcW w:w="1700" w:type="dxa"/>
            <w:tcBorders>
              <w:left w:val="single" w:color="000000" w:sz="6" w:space="0"/>
              <w:bottom w:val="single" w:color="000000" w:sz="6" w:space="0"/>
              <w:right w:val="single" w:color="000000" w:sz="6" w:space="0"/>
            </w:tcBorders>
            <w:noWrap w:val="0"/>
            <w:vAlign w:val="top"/>
          </w:tcPr>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p>
          <w:p>
            <w:pPr>
              <w:pStyle w:val="115"/>
              <w:rPr>
                <w:color w:val="auto"/>
                <w:sz w:val="20"/>
                <w:highlight w:val="none"/>
              </w:rPr>
            </w:pPr>
            <w:r>
              <w:rPr>
                <w:color w:val="auto"/>
                <w:highlight w:val="none"/>
              </w:rPr>
              <w:t>票决低价定标法</w:t>
            </w:r>
          </w:p>
        </w:tc>
        <w:tc>
          <w:tcPr>
            <w:tcW w:w="6519" w:type="dxa"/>
            <w:tcBorders>
              <w:left w:val="single" w:color="000000" w:sz="6" w:space="0"/>
              <w:bottom w:val="single" w:color="000000" w:sz="6" w:space="0"/>
            </w:tcBorders>
            <w:noWrap w:val="0"/>
            <w:vAlign w:val="top"/>
          </w:tcPr>
          <w:p>
            <w:pPr>
              <w:pStyle w:val="115"/>
              <w:spacing w:before="0" w:line="304" w:lineRule="auto"/>
              <w:ind w:left="105" w:right="98" w:firstLine="420"/>
              <w:rPr>
                <w:color w:val="auto"/>
                <w:highlight w:val="none"/>
              </w:rPr>
            </w:pPr>
            <w:r>
              <w:rPr>
                <w:rFonts w:hint="eastAsia"/>
                <w:color w:val="auto"/>
                <w:highlight w:val="none"/>
              </w:rPr>
              <w:t>定标委员会在综合得分（或综合等级）最高的三家定标候选人〔与上述三家中综合得分（或综合等级）最低的定标候选人的综合得分（或综合等级）相同的定标候选人，一并进入低价选择范围〕中确定投标报价最低（投标报价如有修正，以修正后投标报价为准）的定标候选人为中标人。</w:t>
            </w:r>
          </w:p>
          <w:p>
            <w:pPr>
              <w:pStyle w:val="115"/>
              <w:spacing w:before="0" w:line="304" w:lineRule="auto"/>
              <w:ind w:left="105" w:right="98" w:firstLine="420"/>
              <w:rPr>
                <w:color w:val="auto"/>
                <w:highlight w:val="none"/>
              </w:rPr>
            </w:pPr>
            <w:r>
              <w:rPr>
                <w:rFonts w:hint="eastAsia"/>
                <w:color w:val="auto"/>
                <w:highlight w:val="none"/>
              </w:rPr>
              <w:t>如综合得分（或综合等级）最高的三家定标候选人中出现最低投标报价相同情形时，则在最低投标报价相同的候选人中，采用随机抽取方式确定中标人，随机抽取规则如下：</w:t>
            </w:r>
          </w:p>
          <w:p>
            <w:pPr>
              <w:pStyle w:val="115"/>
              <w:spacing w:before="0" w:line="304" w:lineRule="auto"/>
              <w:ind w:left="105" w:right="98" w:firstLine="420"/>
              <w:rPr>
                <w:color w:val="auto"/>
                <w:highlight w:val="none"/>
                <w:lang w:val="zh-CN"/>
              </w:rPr>
            </w:pPr>
            <w:r>
              <w:rPr>
                <w:rFonts w:hint="eastAsia"/>
                <w:color w:val="auto"/>
                <w:highlight w:val="none"/>
                <w:lang w:val="zh-CN"/>
              </w:rPr>
              <w:t>候选人的投标人代表号即为候选人代表球号，由建设单位派出代表（除定标委员会成员以外人员）在市公共资源交易中心开标区抽取机中放入所有候选人代表球号，第1次抽取出的球号对应的候选人为中标人。</w:t>
            </w:r>
          </w:p>
          <w:p>
            <w:pPr>
              <w:pStyle w:val="115"/>
              <w:spacing w:before="0" w:line="304" w:lineRule="auto"/>
              <w:ind w:left="105" w:right="98" w:firstLine="420"/>
              <w:rPr>
                <w:color w:val="auto"/>
                <w:highlight w:val="none"/>
                <w:lang w:val="zh-CN"/>
              </w:rPr>
            </w:pPr>
            <w:r>
              <w:rPr>
                <w:rFonts w:hint="eastAsia"/>
                <w:color w:val="auto"/>
                <w:highlight w:val="none"/>
                <w:lang w:val="zh-CN"/>
              </w:rPr>
              <w:t>在抽取过程中，如出现由于建设单位的工作失误</w:t>
            </w:r>
            <w:r>
              <w:rPr>
                <w:color w:val="auto"/>
                <w:highlight w:val="none"/>
                <w:lang w:val="zh-CN"/>
              </w:rPr>
              <w:t>或设备故障</w:t>
            </w:r>
            <w:r>
              <w:rPr>
                <w:rFonts w:hint="eastAsia"/>
                <w:color w:val="auto"/>
                <w:highlight w:val="none"/>
                <w:lang w:val="zh-CN"/>
              </w:rPr>
              <w:t>影响抽取结果的，抽取中标人无效，应当重新抽取。</w:t>
            </w:r>
          </w:p>
          <w:p>
            <w:pPr>
              <w:pStyle w:val="115"/>
              <w:spacing w:before="0" w:line="304" w:lineRule="auto"/>
              <w:ind w:left="105" w:right="98" w:firstLine="420"/>
              <w:rPr>
                <w:b/>
                <w:color w:val="auto"/>
                <w:highlight w:val="none"/>
              </w:rPr>
            </w:pPr>
            <w:r>
              <w:rPr>
                <w:color w:val="auto"/>
                <w:highlight w:val="none"/>
                <w:lang w:val="zh-CN"/>
              </w:rPr>
              <w:t>所有抽球过程实行全程录音录像监控。</w:t>
            </w:r>
          </w:p>
        </w:tc>
      </w:tr>
    </w:tbl>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560" w:firstLineChars="200"/>
        <w:jc w:val="center"/>
        <w:rPr>
          <w:rFonts w:hint="eastAsia" w:ascii="黑体" w:hAnsi="黑体" w:eastAsia="黑体" w:cs="黑体"/>
          <w:color w:val="auto"/>
          <w:sz w:val="28"/>
          <w:szCs w:val="28"/>
          <w:highlight w:val="none"/>
        </w:rPr>
        <w:sectPr>
          <w:footerReference r:id="rId14" w:type="default"/>
          <w:headerReference r:id="rId13" w:type="even"/>
          <w:footerReference r:id="rId15" w:type="even"/>
          <w:footnotePr>
            <w:numFmt w:val="decimalEnclosedCircleChinese"/>
            <w:numRestart w:val="eachPage"/>
          </w:footnotePr>
          <w:pgSz w:w="11907" w:h="16840"/>
          <w:pgMar w:top="1588" w:right="1588" w:bottom="1474" w:left="1644" w:header="851" w:footer="851" w:gutter="0"/>
          <w:cols w:space="720" w:num="1"/>
          <w:docGrid w:linePitch="312" w:charSpace="0"/>
        </w:sectPr>
      </w:pPr>
    </w:p>
    <w:p>
      <w:pPr>
        <w:widowControl/>
        <w:adjustRightInd w:val="0"/>
        <w:snapToGrid w:val="0"/>
        <w:spacing w:line="360" w:lineRule="auto"/>
        <w:ind w:firstLine="560" w:firstLineChars="20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定标办法正文</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highlight w:val="none"/>
          <w:lang w:val="zh-CN"/>
        </w:rPr>
      </w:pPr>
      <w:bookmarkStart w:id="558" w:name="_Toc17150"/>
      <w:bookmarkStart w:id="559" w:name="_Toc5297"/>
      <w:bookmarkStart w:id="560" w:name="_Toc11606"/>
      <w:bookmarkStart w:id="561" w:name="_Toc61877313"/>
      <w:bookmarkStart w:id="562" w:name="_Toc68778567"/>
      <w:bookmarkStart w:id="563" w:name="_Toc70273129"/>
      <w:bookmarkStart w:id="564" w:name="_Toc9316"/>
      <w:bookmarkStart w:id="565" w:name="_Toc79608089"/>
      <w:r>
        <w:rPr>
          <w:rFonts w:hint="eastAsia" w:ascii="黑体" w:hAnsi="宋体" w:eastAsia="黑体" w:cs="黑体"/>
          <w:color w:val="auto"/>
          <w:kern w:val="1"/>
          <w:sz w:val="28"/>
          <w:szCs w:val="28"/>
          <w:highlight w:val="none"/>
          <w:lang w:val="zh-CN"/>
        </w:rPr>
        <w:t>1.定标方法</w:t>
      </w:r>
      <w:bookmarkEnd w:id="558"/>
      <w:bookmarkEnd w:id="559"/>
      <w:bookmarkEnd w:id="560"/>
      <w:bookmarkEnd w:id="561"/>
      <w:bookmarkEnd w:id="562"/>
      <w:bookmarkEnd w:id="563"/>
      <w:bookmarkEnd w:id="564"/>
      <w:bookmarkEnd w:id="565"/>
    </w:p>
    <w:p>
      <w:pPr>
        <w:autoSpaceDE w:val="0"/>
        <w:autoSpaceDN w:val="0"/>
        <w:spacing w:line="360" w:lineRule="auto"/>
        <w:ind w:firstLine="394" w:firstLineChars="188"/>
        <w:jc w:val="left"/>
        <w:rPr>
          <w:rFonts w:ascii="宋体" w:hAnsi="宋体" w:cs="宋体"/>
          <w:color w:val="auto"/>
          <w:sz w:val="22"/>
          <w:szCs w:val="22"/>
          <w:highlight w:val="none"/>
        </w:rPr>
      </w:pPr>
      <w:r>
        <w:rPr>
          <w:rFonts w:hint="eastAsia" w:ascii="宋体" w:hAnsi="宋体" w:cs="宋体"/>
          <w:color w:val="auto"/>
          <w:szCs w:val="21"/>
          <w:highlight w:val="none"/>
        </w:rPr>
        <w:t>1.1定标应当坚持择优与竞价相结合，择优为主。定标过程应严格按照定标规则和定标方案相关规定执行，不得临时改变既定的定标规则和定标方案。</w:t>
      </w:r>
    </w:p>
    <w:p>
      <w:pPr>
        <w:autoSpaceDE w:val="0"/>
        <w:autoSpaceDN w:val="0"/>
        <w:spacing w:line="360" w:lineRule="auto"/>
        <w:ind w:firstLine="394" w:firstLineChars="188"/>
        <w:jc w:val="left"/>
        <w:rPr>
          <w:rFonts w:ascii="宋体" w:hAnsi="宋体" w:cs="宋体"/>
          <w:color w:val="auto"/>
          <w:szCs w:val="21"/>
          <w:highlight w:val="none"/>
        </w:rPr>
      </w:pPr>
      <w:r>
        <w:rPr>
          <w:rFonts w:hint="eastAsia" w:ascii="宋体" w:hAnsi="宋体" w:cs="宋体"/>
          <w:color w:val="auto"/>
          <w:szCs w:val="21"/>
          <w:highlight w:val="none"/>
        </w:rPr>
        <w:t>1.2定标规则包括定标委员会的组建、清标、定标时限、定标票决办法、定标要素（包括子要素）。</w:t>
      </w:r>
    </w:p>
    <w:p>
      <w:pPr>
        <w:autoSpaceDE w:val="0"/>
        <w:autoSpaceDN w:val="0"/>
        <w:spacing w:line="360" w:lineRule="auto"/>
        <w:ind w:firstLine="394" w:firstLineChars="188"/>
        <w:jc w:val="left"/>
        <w:rPr>
          <w:rFonts w:ascii="宋体" w:hAnsi="宋体" w:cs="宋体"/>
          <w:color w:val="auto"/>
          <w:szCs w:val="21"/>
          <w:highlight w:val="none"/>
        </w:rPr>
      </w:pPr>
      <w:r>
        <w:rPr>
          <w:rFonts w:hint="eastAsia" w:ascii="宋体" w:hAnsi="宋体" w:cs="宋体"/>
          <w:color w:val="auto"/>
          <w:szCs w:val="21"/>
          <w:highlight w:val="none"/>
        </w:rPr>
        <w:t>1.3定标方案由建设单位按照《厦门市建设局关于印发建设工程招投标“评定分离”办法（试行）的通知》（厦建筑〔2022〕51号）有关规定，根据定标规则结合项目具体情况编制并作为定标依据。</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定标方案包括定标规则、各定标要素定性评级标准或定量评审标准、定标候选人进入票决范围应达到的综合等级或综合得分以及票决规程。</w:t>
      </w:r>
    </w:p>
    <w:p>
      <w:pPr>
        <w:spacing w:line="360" w:lineRule="auto"/>
        <w:ind w:firstLine="420"/>
        <w:rPr>
          <w:rFonts w:ascii="Times New Roman" w:hAnsi="Times New Roman"/>
          <w:color w:val="auto"/>
          <w:kern w:val="1"/>
          <w:highlight w:val="none"/>
        </w:rPr>
      </w:pPr>
      <w:r>
        <w:rPr>
          <w:rFonts w:hint="eastAsia" w:ascii="宋体" w:hAnsi="宋体" w:cs="宋体"/>
          <w:color w:val="auto"/>
          <w:szCs w:val="21"/>
          <w:highlight w:val="none"/>
        </w:rPr>
        <w:t>投标截止时间前，定标方案经建设单位“三重一大”决策程序研究确定后，应当加密上传电子交易平台。</w:t>
      </w:r>
    </w:p>
    <w:p>
      <w:pPr>
        <w:autoSpaceDE w:val="0"/>
        <w:autoSpaceDN w:val="0"/>
        <w:spacing w:line="360" w:lineRule="auto"/>
        <w:ind w:firstLine="394" w:firstLineChars="188"/>
        <w:jc w:val="left"/>
        <w:rPr>
          <w:rFonts w:ascii="宋体" w:hAnsi="宋体" w:cs="宋体"/>
          <w:color w:val="auto"/>
          <w:szCs w:val="21"/>
          <w:highlight w:val="none"/>
        </w:rPr>
      </w:pPr>
      <w:r>
        <w:rPr>
          <w:rFonts w:hint="eastAsia" w:ascii="宋体" w:hAnsi="宋体" w:cs="宋体"/>
          <w:color w:val="auto"/>
          <w:szCs w:val="21"/>
          <w:highlight w:val="none"/>
        </w:rPr>
        <w:t>1.4定标方案中的定标票决办法和定标要素（包括子要素）应当与定标规则中的定标票决办法和定标要素（包括子要素）一致。</w:t>
      </w:r>
    </w:p>
    <w:p>
      <w:pPr>
        <w:autoSpaceDE w:val="0"/>
        <w:autoSpaceDN w:val="0"/>
        <w:spacing w:line="360" w:lineRule="auto"/>
        <w:ind w:firstLine="394" w:firstLineChars="188"/>
        <w:jc w:val="left"/>
        <w:rPr>
          <w:rFonts w:ascii="宋体" w:hAnsi="宋体" w:cs="宋体"/>
          <w:color w:val="auto"/>
          <w:szCs w:val="21"/>
          <w:highlight w:val="none"/>
        </w:rPr>
      </w:pPr>
      <w:r>
        <w:rPr>
          <w:rFonts w:hint="eastAsia" w:ascii="宋体" w:hAnsi="宋体" w:cs="宋体"/>
          <w:color w:val="auto"/>
          <w:szCs w:val="21"/>
          <w:highlight w:val="none"/>
        </w:rPr>
        <w:t>1.5定标委员会根据定标规则和定标方案在进入票决范围的定标候选人中进行定标，确定中标人。</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highlight w:val="none"/>
          <w:lang w:val="zh-CN"/>
        </w:rPr>
      </w:pPr>
      <w:bookmarkStart w:id="566" w:name="_Toc20163"/>
      <w:bookmarkStart w:id="567" w:name="_Toc61877314"/>
      <w:bookmarkStart w:id="568" w:name="_Toc70273130"/>
      <w:bookmarkStart w:id="569" w:name="_Toc79608090"/>
      <w:bookmarkStart w:id="570" w:name="_Toc11258"/>
      <w:bookmarkStart w:id="571" w:name="_Toc27078"/>
      <w:bookmarkStart w:id="572" w:name="_Toc68778568"/>
      <w:r>
        <w:rPr>
          <w:rFonts w:hint="eastAsia" w:ascii="黑体" w:hAnsi="宋体" w:eastAsia="黑体" w:cs="黑体"/>
          <w:color w:val="auto"/>
          <w:kern w:val="1"/>
          <w:sz w:val="28"/>
          <w:szCs w:val="28"/>
          <w:highlight w:val="none"/>
          <w:lang w:val="zh-CN"/>
        </w:rPr>
        <w:t>2.定标程序</w:t>
      </w:r>
      <w:bookmarkEnd w:id="566"/>
      <w:bookmarkEnd w:id="567"/>
      <w:bookmarkEnd w:id="568"/>
      <w:bookmarkEnd w:id="569"/>
      <w:bookmarkEnd w:id="570"/>
      <w:bookmarkEnd w:id="571"/>
      <w:bookmarkEnd w:id="572"/>
    </w:p>
    <w:p>
      <w:pPr>
        <w:spacing w:beforeLines="50" w:after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2.1定标按以下程序进行。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rPr>
        <w:t>组建定标委员会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（2）清标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（3）票决定标，确定中标人</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highlight w:val="none"/>
          <w:lang w:val="zh-CN"/>
        </w:rPr>
      </w:pPr>
      <w:bookmarkStart w:id="573" w:name="_Toc7320"/>
      <w:bookmarkStart w:id="574" w:name="_Toc2024"/>
      <w:bookmarkStart w:id="575" w:name="_Toc28372"/>
      <w:bookmarkStart w:id="576" w:name="_Toc68778569"/>
      <w:bookmarkStart w:id="577" w:name="_Toc70273131"/>
      <w:bookmarkStart w:id="578" w:name="_Toc28881"/>
      <w:bookmarkStart w:id="579" w:name="_Toc61877315"/>
      <w:bookmarkStart w:id="580" w:name="_Toc79608091"/>
      <w:r>
        <w:rPr>
          <w:rFonts w:hint="eastAsia" w:ascii="黑体" w:hAnsi="宋体" w:eastAsia="黑体" w:cs="黑体"/>
          <w:color w:val="auto"/>
          <w:kern w:val="1"/>
          <w:sz w:val="28"/>
          <w:szCs w:val="28"/>
          <w:highlight w:val="none"/>
          <w:lang w:val="zh-CN"/>
        </w:rPr>
        <w:t>3.定标规则</w:t>
      </w:r>
      <w:bookmarkEnd w:id="573"/>
      <w:bookmarkEnd w:id="574"/>
      <w:bookmarkEnd w:id="575"/>
      <w:bookmarkEnd w:id="576"/>
      <w:bookmarkEnd w:id="577"/>
      <w:bookmarkEnd w:id="578"/>
      <w:bookmarkEnd w:id="579"/>
      <w:bookmarkEnd w:id="580"/>
    </w:p>
    <w:p>
      <w:pPr>
        <w:autoSpaceDE w:val="0"/>
        <w:autoSpaceDN w:val="0"/>
        <w:spacing w:beforeLines="50" w:afterLines="50" w:line="360" w:lineRule="auto"/>
        <w:ind w:firstLine="394" w:firstLineChars="188"/>
        <w:jc w:val="left"/>
        <w:rPr>
          <w:rFonts w:ascii="宋体" w:hAnsi="宋体" w:cs="宋体"/>
          <w:color w:val="auto"/>
          <w:szCs w:val="21"/>
          <w:highlight w:val="none"/>
        </w:rPr>
      </w:pPr>
      <w:r>
        <w:rPr>
          <w:rFonts w:hint="eastAsia" w:ascii="宋体" w:hAnsi="宋体" w:cs="宋体"/>
          <w:color w:val="auto"/>
          <w:szCs w:val="21"/>
          <w:highlight w:val="none"/>
        </w:rPr>
        <w:t>3.1组建定标委员会</w:t>
      </w:r>
    </w:p>
    <w:p>
      <w:pPr>
        <w:autoSpaceDE w:val="0"/>
        <w:autoSpaceDN w:val="0"/>
        <w:spacing w:line="360" w:lineRule="auto"/>
        <w:ind w:firstLine="394" w:firstLineChars="188"/>
        <w:jc w:val="left"/>
        <w:rPr>
          <w:rFonts w:ascii="宋体" w:hAnsi="宋体" w:cs="宋体"/>
          <w:color w:val="auto"/>
          <w:szCs w:val="21"/>
          <w:highlight w:val="none"/>
        </w:rPr>
      </w:pPr>
      <w:r>
        <w:rPr>
          <w:rFonts w:hint="eastAsia" w:ascii="宋体" w:hAnsi="宋体" w:cs="宋体"/>
          <w:color w:val="auto"/>
          <w:szCs w:val="21"/>
          <w:highlight w:val="none"/>
        </w:rPr>
        <w:t>3.1.1定标委员会需由建设单位的法定代表人负责组建。项目实行代建的且代建单位作为招标人的，建设单位可以委托代建单位的法定代表人组建，代建单位应将定标委员会组建方案报建设单位批准同意。</w:t>
      </w:r>
    </w:p>
    <w:p>
      <w:pPr>
        <w:autoSpaceDE w:val="0"/>
        <w:autoSpaceDN w:val="0"/>
        <w:spacing w:line="360" w:lineRule="auto"/>
        <w:ind w:firstLine="394" w:firstLineChars="188"/>
        <w:jc w:val="left"/>
        <w:rPr>
          <w:rFonts w:ascii="宋体" w:hAnsi="宋体" w:cs="宋体"/>
          <w:color w:val="auto"/>
          <w:szCs w:val="21"/>
          <w:highlight w:val="none"/>
        </w:rPr>
      </w:pPr>
      <w:r>
        <w:rPr>
          <w:rFonts w:hint="eastAsia" w:ascii="宋体" w:hAnsi="宋体" w:cs="宋体"/>
          <w:color w:val="auto"/>
          <w:szCs w:val="21"/>
          <w:highlight w:val="none"/>
        </w:rPr>
        <w:t>3.1.2定标委员会成员原则上从建设单位（代建单位）的领导班子成员、经营管理人员、具有工程建设类中级及以上技术职称或注册执业资格的人员中产生，成员总数为五人及以上单数。本单位人员不足的，也可以从主管部门、下属单位或关联企业中选取符合条件的人员作为定标委员会成员。招标项目对技术、商务有特别要求的，也可以邀请与投标人无利害关系的专家参与定标，专家人数为1～2名且不超过定标委员会成员总数的1/3。</w:t>
      </w:r>
    </w:p>
    <w:p>
      <w:pPr>
        <w:autoSpaceDE w:val="0"/>
        <w:autoSpaceDN w:val="0"/>
        <w:spacing w:line="360" w:lineRule="auto"/>
        <w:ind w:firstLine="394" w:firstLineChars="188"/>
        <w:jc w:val="left"/>
        <w:rPr>
          <w:rFonts w:ascii="宋体" w:hAnsi="宋体" w:cs="宋体"/>
          <w:color w:val="auto"/>
          <w:szCs w:val="21"/>
          <w:highlight w:val="none"/>
        </w:rPr>
      </w:pPr>
      <w:r>
        <w:rPr>
          <w:rFonts w:hint="eastAsia" w:ascii="宋体" w:hAnsi="宋体" w:cs="宋体"/>
          <w:color w:val="auto"/>
          <w:szCs w:val="21"/>
          <w:highlight w:val="none"/>
        </w:rPr>
        <w:t>3.1.3各区、各行业主管部门及有条件的建设单位建立定标委员会成员名录库的，建设单位可以在相应的定标委员会成员名录库中采取随机抽签的方式组建定标委员会。</w:t>
      </w:r>
    </w:p>
    <w:p>
      <w:pPr>
        <w:widowControl/>
        <w:spacing w:beforeLines="50" w:after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3.2清标</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w:t>
      </w:r>
      <w:r>
        <w:rPr>
          <w:rFonts w:hint="eastAsia" w:cs="宋体"/>
          <w:color w:val="auto"/>
          <w:szCs w:val="21"/>
          <w:highlight w:val="none"/>
        </w:rPr>
        <w:t>定标候选人公示期满后，招标人进行清标工作。清标小组通过电子交易平台下载并解密定标方案</w:t>
      </w:r>
      <w:r>
        <w:rPr>
          <w:rFonts w:hint="eastAsia" w:cs="宋体"/>
          <w:color w:val="auto"/>
          <w:sz w:val="20"/>
          <w:szCs w:val="21"/>
          <w:highlight w:val="none"/>
        </w:rPr>
        <w:t>（清标版，只包括定标子要素评审标准），并按其</w:t>
      </w:r>
      <w:r>
        <w:rPr>
          <w:rFonts w:hint="eastAsia" w:cs="宋体"/>
          <w:color w:val="auto"/>
          <w:szCs w:val="21"/>
          <w:highlight w:val="none"/>
        </w:rPr>
        <w:t>中确定的各定标要素定性评级标准或定量评审标准，</w:t>
      </w:r>
      <w:r>
        <w:rPr>
          <w:rFonts w:hint="eastAsia" w:cs="宋体"/>
          <w:color w:val="auto"/>
          <w:sz w:val="20"/>
          <w:szCs w:val="21"/>
          <w:highlight w:val="none"/>
        </w:rPr>
        <w:t>整理各定标候选人的清标等级或清标得分</w:t>
      </w:r>
      <w:r>
        <w:rPr>
          <w:rFonts w:hint="eastAsia" w:cs="宋体"/>
          <w:color w:val="auto"/>
          <w:szCs w:val="21"/>
          <w:highlight w:val="none"/>
        </w:rPr>
        <w:t>，定标要素见定标办法前附表第1项。</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3.2.2招标人应编制清标报告，清标报告内容应当客观公正、真实有效。</w:t>
      </w:r>
    </w:p>
    <w:p>
      <w:pPr>
        <w:widowControl/>
        <w:adjustRightInd w:val="0"/>
        <w:snapToGrid w:val="0"/>
        <w:spacing w:beforeLines="100" w:after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3.3票决定标，确定中标人</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w:t>
      </w:r>
      <w:bookmarkStart w:id="581" w:name="_Hlk62562936"/>
      <w:r>
        <w:rPr>
          <w:rFonts w:hint="eastAsia" w:ascii="宋体" w:hAnsi="宋体" w:cs="宋体"/>
          <w:color w:val="auto"/>
          <w:szCs w:val="21"/>
          <w:highlight w:val="none"/>
        </w:rPr>
        <w:t>招标人应当自定标候选人公示期满后7日内组织定标委员会进入市公共资源交易中心进行定标。不能按时定标的，应当通过市公共资源交易网公示延期原因和定标时间。</w:t>
      </w:r>
      <w:bookmarkEnd w:id="581"/>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定标委员会通过电子交易平台下载并解密定标方案（完整版本）。</w:t>
      </w:r>
    </w:p>
    <w:p>
      <w:pPr>
        <w:widowControl/>
        <w:spacing w:line="360" w:lineRule="auto"/>
        <w:ind w:firstLine="420" w:firstLineChars="200"/>
        <w:jc w:val="left"/>
        <w:rPr>
          <w:rFonts w:ascii="宋体" w:hAnsi="宋体" w:cs="宋体"/>
          <w:color w:val="auto"/>
          <w:sz w:val="20"/>
          <w:szCs w:val="21"/>
          <w:highlight w:val="none"/>
        </w:rPr>
      </w:pPr>
      <w:r>
        <w:rPr>
          <w:rFonts w:hint="eastAsia" w:ascii="宋体" w:hAnsi="宋体" w:cs="宋体"/>
          <w:color w:val="auto"/>
          <w:szCs w:val="21"/>
          <w:highlight w:val="none"/>
        </w:rPr>
        <w:t>3.3.2</w:t>
      </w:r>
      <w:r>
        <w:rPr>
          <w:rFonts w:hint="eastAsia" w:ascii="宋体" w:hAnsi="宋体" w:cs="宋体"/>
          <w:color w:val="auto"/>
          <w:sz w:val="20"/>
          <w:szCs w:val="21"/>
          <w:highlight w:val="none"/>
        </w:rPr>
        <w:t>定标委员会按照清标报告中各定标候选人的清标等级或清标得分，根据定标方案（完整版本）中各定标要素权重计算定标候选人的综合等级或综合得分。</w:t>
      </w:r>
    </w:p>
    <w:p>
      <w:pPr>
        <w:widowControl/>
        <w:spacing w:line="360" w:lineRule="auto"/>
        <w:ind w:firstLine="400" w:firstLineChars="200"/>
        <w:jc w:val="left"/>
        <w:rPr>
          <w:rFonts w:ascii="宋体" w:hAnsi="宋体" w:cs="宋体"/>
          <w:color w:val="auto"/>
          <w:sz w:val="20"/>
          <w:szCs w:val="21"/>
          <w:highlight w:val="none"/>
        </w:rPr>
      </w:pPr>
      <w:r>
        <w:rPr>
          <w:rFonts w:hint="eastAsia" w:ascii="宋体" w:hAnsi="宋体" w:cs="宋体"/>
          <w:color w:val="auto"/>
          <w:sz w:val="20"/>
          <w:szCs w:val="21"/>
          <w:highlight w:val="none"/>
        </w:rPr>
        <w:t>3.3.3定标委员会根据定标方案规定的进入票决范围应达到的综合等级或综合得分，以及定标方案其他规定，确定进入票决范围的定标候选人。</w:t>
      </w:r>
    </w:p>
    <w:p>
      <w:pPr>
        <w:widowControl/>
        <w:spacing w:line="360" w:lineRule="auto"/>
        <w:ind w:firstLine="400" w:firstLineChars="200"/>
        <w:jc w:val="left"/>
        <w:rPr>
          <w:rFonts w:ascii="宋体" w:hAnsi="宋体" w:cs="宋体"/>
          <w:color w:val="auto"/>
          <w:szCs w:val="21"/>
          <w:highlight w:val="none"/>
        </w:rPr>
      </w:pPr>
      <w:r>
        <w:rPr>
          <w:rFonts w:hint="eastAsia" w:ascii="宋体" w:hAnsi="宋体" w:cs="宋体"/>
          <w:color w:val="auto"/>
          <w:sz w:val="20"/>
          <w:szCs w:val="21"/>
          <w:highlight w:val="none"/>
        </w:rPr>
        <w:t>3.3.4定标委员会</w:t>
      </w:r>
      <w:r>
        <w:rPr>
          <w:rFonts w:hint="eastAsia" w:ascii="宋体" w:hAnsi="宋体" w:cs="宋体"/>
          <w:color w:val="auto"/>
          <w:szCs w:val="21"/>
          <w:highlight w:val="none"/>
        </w:rPr>
        <w:t>在进入票决范围的定标候选人中，按照定标方案中的定标票决规程和定标办法前附表第2项选择的定标票决办法确定中标人。</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3.3.5定标票决办法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定标票决办法种类包括票决定标法、票决抽签定标法和票决低价定标法：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（1）票决定标法是由定标委员会以直接票决或者逐轮票决等方式确定中标人，具体标准详见定标办法前附表第3项。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（2）票决抽签定标法是由定标委员会从进入票决定标的投标人中，先以投票表决方式确定3家投标人，再以建设单位随机抽签方式确定中标人，具体标准详见定标办法前附表第4项。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（3）票决低价法是由定标委员会在综合得分（或综合等级）最高的三家定标候选人中，确定投标报价最低定标候选人为中标人，具体标准详见定标办法前附表第 5 项。</w:t>
      </w:r>
    </w:p>
    <w:p>
      <w:pPr>
        <w:widowControl/>
        <w:adjustRightInd w:val="0"/>
        <w:snapToGrid w:val="0"/>
        <w:spacing w:line="360" w:lineRule="auto"/>
        <w:ind w:firstLine="420" w:firstLineChars="200"/>
        <w:jc w:val="left"/>
        <w:rPr>
          <w:rFonts w:ascii="宋体" w:hAnsi="宋体" w:cs="宋体"/>
          <w:color w:val="auto"/>
          <w:szCs w:val="21"/>
          <w:highlight w:val="none"/>
        </w:rPr>
      </w:pPr>
      <w:bookmarkStart w:id="582" w:name="_Hlk62033781"/>
      <w:r>
        <w:rPr>
          <w:rFonts w:hint="eastAsia" w:ascii="宋体" w:hAnsi="宋体" w:cs="宋体"/>
          <w:color w:val="auto"/>
          <w:szCs w:val="21"/>
          <w:highlight w:val="none"/>
        </w:rPr>
        <w:t>3.3.</w:t>
      </w:r>
      <w:bookmarkEnd w:id="582"/>
      <w:r>
        <w:rPr>
          <w:rFonts w:hint="eastAsia" w:ascii="宋体" w:hAnsi="宋体" w:cs="宋体"/>
          <w:color w:val="auto"/>
          <w:szCs w:val="21"/>
          <w:highlight w:val="none"/>
        </w:rPr>
        <w:t>6</w:t>
      </w:r>
      <w:r>
        <w:rPr>
          <w:rFonts w:hint="eastAsia" w:ascii="宋体" w:hAnsi="宋体" w:cs="宋体"/>
          <w:color w:val="auto"/>
          <w:sz w:val="20"/>
          <w:szCs w:val="21"/>
          <w:highlight w:val="none"/>
        </w:rPr>
        <w:t>每一次投票，定标委员会成员应当独立进行并说明投票理由。定标完成后，定标委员会应当编制定标报告，定标报告完整载明定标过程。</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highlight w:val="none"/>
          <w:lang w:val="zh-CN"/>
        </w:rPr>
      </w:pPr>
      <w:bookmarkStart w:id="583" w:name="_Toc11344"/>
      <w:bookmarkStart w:id="584" w:name="_Toc68778570"/>
      <w:bookmarkStart w:id="585" w:name="_Toc61877316"/>
      <w:bookmarkStart w:id="586" w:name="_Toc79608092"/>
      <w:bookmarkStart w:id="587" w:name="_Toc21865"/>
      <w:bookmarkStart w:id="588" w:name="_Toc7037"/>
      <w:bookmarkStart w:id="589" w:name="_Toc70273132"/>
      <w:bookmarkStart w:id="590" w:name="_Toc12744"/>
      <w:r>
        <w:rPr>
          <w:rFonts w:hint="eastAsia" w:ascii="黑体" w:hAnsi="宋体" w:eastAsia="黑体" w:cs="黑体"/>
          <w:color w:val="auto"/>
          <w:kern w:val="1"/>
          <w:sz w:val="28"/>
          <w:szCs w:val="28"/>
          <w:highlight w:val="none"/>
          <w:lang w:val="zh-CN"/>
        </w:rPr>
        <w:t>4.重新定标</w:t>
      </w:r>
      <w:bookmarkEnd w:id="583"/>
      <w:bookmarkEnd w:id="584"/>
      <w:bookmarkEnd w:id="585"/>
      <w:bookmarkEnd w:id="586"/>
      <w:bookmarkEnd w:id="587"/>
      <w:bookmarkEnd w:id="588"/>
      <w:bookmarkEnd w:id="589"/>
      <w:bookmarkEnd w:id="590"/>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定标后有下列情形之一的，建设单位可从进入定标票决范围的其他定标候选人中采用原定标方案规定的票决方式，由原定标委员会重新确定中标人：</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（1）中标人放弃中标或者拒不签订合同的；</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（2）中标人不按照招标文件要求提交履约担保的；</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（3）被查实存在影响中标结果的违法行为的；</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（4）法律法规规定的其他情形。</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highlight w:val="none"/>
          <w:lang w:val="zh-CN"/>
        </w:rPr>
      </w:pPr>
      <w:bookmarkStart w:id="591" w:name="_Toc11350"/>
      <w:bookmarkStart w:id="592" w:name="_Toc27538"/>
      <w:bookmarkStart w:id="593" w:name="_Toc79608093"/>
      <w:bookmarkStart w:id="594" w:name="_Toc70273133"/>
      <w:bookmarkStart w:id="595" w:name="_Toc4591"/>
      <w:bookmarkStart w:id="596" w:name="_Toc61877317"/>
      <w:bookmarkStart w:id="597" w:name="_Toc29106"/>
      <w:bookmarkStart w:id="598" w:name="_Toc68778571"/>
      <w:r>
        <w:rPr>
          <w:rFonts w:hint="eastAsia" w:ascii="黑体" w:hAnsi="宋体" w:eastAsia="黑体" w:cs="黑体"/>
          <w:color w:val="auto"/>
          <w:kern w:val="1"/>
          <w:sz w:val="28"/>
          <w:szCs w:val="28"/>
          <w:highlight w:val="none"/>
          <w:lang w:val="zh-CN"/>
        </w:rPr>
        <w:t>5.监督</w:t>
      </w:r>
      <w:bookmarkEnd w:id="591"/>
      <w:bookmarkEnd w:id="592"/>
      <w:bookmarkEnd w:id="593"/>
      <w:bookmarkEnd w:id="594"/>
      <w:bookmarkEnd w:id="595"/>
      <w:bookmarkEnd w:id="596"/>
      <w:bookmarkEnd w:id="597"/>
      <w:bookmarkEnd w:id="598"/>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建设单位负责组建监督小组，对“评定分离”招投标活动全过程进行监督，重点监督建设单位是否按照确定的定标方案定标。监督小组应当在招投标工作结束后书面向单位党组织报告监督工作情况。</w:t>
      </w:r>
    </w:p>
    <w:p>
      <w:pPr>
        <w:keepNext/>
        <w:keepLines/>
        <w:widowControl/>
        <w:numPr>
          <w:ilvl w:val="1"/>
          <w:numId w:val="0"/>
        </w:numPr>
        <w:spacing w:beforeLines="100" w:afterLines="100" w:line="360" w:lineRule="auto"/>
        <w:outlineLvl w:val="1"/>
        <w:rPr>
          <w:rFonts w:ascii="黑体" w:hAnsi="宋体" w:eastAsia="黑体" w:cs="黑体"/>
          <w:color w:val="auto"/>
          <w:kern w:val="1"/>
          <w:sz w:val="28"/>
          <w:szCs w:val="28"/>
          <w:highlight w:val="none"/>
          <w:lang w:val="zh-CN"/>
        </w:rPr>
      </w:pPr>
      <w:bookmarkStart w:id="599" w:name="_Toc28096"/>
      <w:bookmarkStart w:id="600" w:name="_Toc7086"/>
      <w:bookmarkStart w:id="601" w:name="_Toc70273134"/>
      <w:bookmarkStart w:id="602" w:name="_Toc79608094"/>
      <w:bookmarkStart w:id="603" w:name="_Toc245"/>
      <w:bookmarkStart w:id="604" w:name="_Toc21118"/>
      <w:bookmarkStart w:id="605" w:name="_Toc61877318"/>
      <w:bookmarkStart w:id="606" w:name="_Toc68778572"/>
      <w:r>
        <w:rPr>
          <w:rFonts w:hint="eastAsia" w:ascii="黑体" w:hAnsi="宋体" w:eastAsia="黑体" w:cs="黑体"/>
          <w:color w:val="auto"/>
          <w:kern w:val="1"/>
          <w:sz w:val="28"/>
          <w:szCs w:val="28"/>
          <w:highlight w:val="none"/>
          <w:lang w:val="zh-CN"/>
        </w:rPr>
        <w:t>6.附则</w:t>
      </w:r>
      <w:bookmarkEnd w:id="599"/>
      <w:bookmarkEnd w:id="600"/>
      <w:bookmarkEnd w:id="601"/>
      <w:bookmarkEnd w:id="602"/>
      <w:bookmarkEnd w:id="603"/>
      <w:bookmarkEnd w:id="604"/>
      <w:bookmarkEnd w:id="605"/>
      <w:bookmarkEnd w:id="606"/>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6.1招标人不承诺将合同授予投标报价最低的投标人。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6.2中标人确定后，招标人无义务向未中标的投标人就其未中标的原因作出解释。未中标的投标人不得向定标委员会组成人员或招标人询问定标过程的情况或索要相关材料。</w:t>
      </w:r>
    </w:p>
    <w:p>
      <w:pPr>
        <w:spacing w:line="360" w:lineRule="auto"/>
        <w:ind w:firstLine="420" w:firstLineChars="200"/>
        <w:rPr>
          <w:rFonts w:ascii="宋体" w:hAnsi="宋体" w:cs="宋体"/>
          <w:color w:val="auto"/>
          <w:kern w:val="1"/>
          <w:highlight w:val="none"/>
        </w:rPr>
      </w:pPr>
      <w:r>
        <w:rPr>
          <w:rFonts w:ascii="宋体" w:hAnsi="宋体" w:cs="宋体"/>
          <w:color w:val="auto"/>
          <w:szCs w:val="21"/>
          <w:highlight w:val="none"/>
        </w:rPr>
        <w:br w:type="page"/>
      </w:r>
    </w:p>
    <w:p>
      <w:pPr>
        <w:pStyle w:val="3"/>
        <w:rPr>
          <w:color w:val="auto"/>
          <w:highlight w:val="none"/>
        </w:rPr>
      </w:pPr>
      <w:r>
        <w:rPr>
          <w:rFonts w:hint="eastAsia"/>
          <w:color w:val="auto"/>
          <w:highlight w:val="none"/>
        </w:rPr>
        <w:t>第五章  监理合同条款</w:t>
      </w:r>
      <w:bookmarkEnd w:id="552"/>
      <w:r>
        <w:rPr>
          <w:rFonts w:hint="eastAsia"/>
          <w:color w:val="auto"/>
          <w:highlight w:val="none"/>
        </w:rPr>
        <w:t>及格式</w:t>
      </w:r>
      <w:bookmarkEnd w:id="553"/>
      <w:bookmarkEnd w:id="557"/>
    </w:p>
    <w:p>
      <w:pPr>
        <w:pStyle w:val="4"/>
        <w:jc w:val="center"/>
        <w:rPr>
          <w:color w:val="auto"/>
          <w:highlight w:val="none"/>
        </w:rPr>
      </w:pPr>
      <w:bookmarkStart w:id="607" w:name="_Toc488650841"/>
      <w:bookmarkStart w:id="608" w:name="_Toc341805204"/>
      <w:r>
        <w:rPr>
          <w:rFonts w:hint="eastAsia"/>
          <w:color w:val="auto"/>
          <w:highlight w:val="none"/>
        </w:rPr>
        <w:t>第一节  通用合同条款</w:t>
      </w:r>
      <w:bookmarkEnd w:id="607"/>
      <w:bookmarkEnd w:id="608"/>
    </w:p>
    <w:p>
      <w:pPr>
        <w:pStyle w:val="4"/>
        <w:spacing w:before="0" w:after="0" w:line="324" w:lineRule="auto"/>
        <w:ind w:firstLine="481" w:firstLineChars="200"/>
        <w:rPr>
          <w:rFonts w:ascii="宋体" w:hAnsi="宋体" w:eastAsia="宋体" w:cs="宋体"/>
          <w:color w:val="auto"/>
          <w:sz w:val="24"/>
          <w:szCs w:val="24"/>
          <w:highlight w:val="none"/>
        </w:rPr>
      </w:pPr>
      <w:bookmarkStart w:id="609" w:name="_Toc487653410"/>
      <w:bookmarkStart w:id="610" w:name="_Toc341805205"/>
      <w:bookmarkStart w:id="611" w:name="_Toc488650842"/>
      <w:bookmarkStart w:id="612" w:name="_Toc487291521"/>
      <w:bookmarkStart w:id="613" w:name="_Toc330384451"/>
      <w:bookmarkStart w:id="614" w:name="_Toc487619492"/>
      <w:r>
        <w:rPr>
          <w:rFonts w:hint="eastAsia" w:ascii="宋体" w:hAnsi="宋体" w:eastAsia="宋体" w:cs="宋体"/>
          <w:color w:val="auto"/>
          <w:sz w:val="24"/>
          <w:szCs w:val="24"/>
          <w:highlight w:val="none"/>
        </w:rPr>
        <w:t>1．一般约定</w:t>
      </w:r>
      <w:bookmarkEnd w:id="554"/>
      <w:bookmarkEnd w:id="555"/>
      <w:bookmarkEnd w:id="609"/>
      <w:bookmarkEnd w:id="610"/>
      <w:bookmarkEnd w:id="611"/>
      <w:bookmarkEnd w:id="612"/>
      <w:bookmarkEnd w:id="613"/>
      <w:bookmarkEnd w:id="614"/>
    </w:p>
    <w:p>
      <w:pPr>
        <w:pStyle w:val="4"/>
        <w:spacing w:before="0" w:after="0" w:line="324" w:lineRule="auto"/>
        <w:ind w:firstLine="481" w:firstLineChars="200"/>
        <w:rPr>
          <w:rFonts w:ascii="宋体" w:hAnsi="宋体" w:eastAsia="宋体" w:cs="宋体"/>
          <w:b w:val="0"/>
          <w:color w:val="auto"/>
          <w:sz w:val="24"/>
          <w:szCs w:val="24"/>
          <w:highlight w:val="none"/>
        </w:rPr>
      </w:pPr>
      <w:bookmarkStart w:id="615" w:name="_Toc487619493"/>
      <w:bookmarkStart w:id="616" w:name="_Toc487291522"/>
      <w:bookmarkStart w:id="617" w:name="_Toc341805206"/>
      <w:bookmarkStart w:id="618" w:name="_Toc487653411"/>
      <w:bookmarkStart w:id="619" w:name="_Toc356567883"/>
      <w:bookmarkStart w:id="620" w:name="_Toc488650843"/>
      <w:r>
        <w:rPr>
          <w:rFonts w:hint="eastAsia" w:ascii="宋体" w:hAnsi="宋体" w:eastAsia="宋体" w:cs="宋体"/>
          <w:color w:val="auto"/>
          <w:sz w:val="24"/>
          <w:szCs w:val="24"/>
          <w:highlight w:val="none"/>
        </w:rPr>
        <w:t>1.1</w:t>
      </w:r>
      <w:r>
        <w:rPr>
          <w:rFonts w:hint="eastAsia" w:ascii="宋体" w:hAnsi="宋体" w:eastAsia="宋体" w:cs="宋体"/>
          <w:b w:val="0"/>
          <w:color w:val="auto"/>
          <w:sz w:val="24"/>
          <w:szCs w:val="24"/>
          <w:highlight w:val="none"/>
        </w:rPr>
        <w:t xml:space="preserve">  词语定义</w:t>
      </w:r>
      <w:bookmarkEnd w:id="615"/>
      <w:bookmarkEnd w:id="616"/>
      <w:bookmarkEnd w:id="617"/>
      <w:bookmarkEnd w:id="618"/>
      <w:bookmarkEnd w:id="619"/>
      <w:bookmarkEnd w:id="620"/>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合同</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（1）合同文件（或称合同）：指监理合同协议书、中标通知书、投标文件、招标文件，以及其他合同文件。</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（2）合同协议书：指第1.5条所指的合同协议书。</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（3）中标通知书：指发包人通知监理人中标的函件。</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（4）投标函：指构成合同文件组成部分的由监理人填写并签署的投标函。</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（5）投标函附录：指附在投标函后构成合同文件的投标函附录。</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（6）其他合同文件：指经合同双方当事人确认构成合同文件的其他文件。</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合同当事人和人员</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（1）合同当事人：指发包人和（或）监理人。</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（2）发包人：指专用合同条款中指明并与监理人在合同协议书中签字的当事人。</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（3）监理人：指与发包人签订合同协议书的当事人。</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（4）监理机构：由监理人派出并代表监理人履行监理合同的现场监理组织。</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（5）总监理工程师：指由监理人委派常驻监理机构对合同履行实施管理的全权负责人，简称总监。</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（6）一方：发包人或监理人。</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（7）双方：发包人和监理人。</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（8）第三方：一般是指与发包人签订工程承包合同的单位或个人，但根据上下文的内容，也可以是与工程建设有关的其他当事人。</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（9）承包人：被发包人接受的具有相应工程施工承包主体资格的法人或其合法继承人或合法受让人，根据上下文的内容，亦指承包人根据承包合同派驻到施工场地履行工程承包合同的机构。</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工程和服务</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（1）工程：为完成项目所实施的一项或若干项永久或临时工程(包括向发包人提供的物资和设备)，具体情况在合同专用条款中指明。</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（2）项目：发包人建造工程和委托监理单位提供监理服务的对象，具体情况在合同专用条款中指明。</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（3）服务：监理人根据监理合同所承担的工作，包括正常的服务、附加的服务、额外的服务，亦称监理服务。</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日期</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（1）日：即日历日。合同中按日计算时间的，开始当日不计入，从次日开始计算。期限最后一日的截止时间为当日24时。</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（2）缺陷责任期：指履行第5.3条约定的缺陷责任的期限，具体期限由专用合同条款约定，包括根据第5.4 条约定所作的延长。</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监理服务费用</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（1）监理服务费用：是指监理人按合同约定完成了全部监理工作后，发包人应付给监理人的金额，包括在履行合同过程中按合同约定进行的变更和调整。</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（2）暂列金额：指已在投标时监理服务费用中所列的暂列金额，用于支付在合同执行过程中可能发生的附加监理服务或额外监理服务等的金额。</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1.1.6  其他</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书面形式：指合同文件、信件和数据电文，包括电报、电传、传真、电子数据交换和电子邮件等可以有形地表现所载内容的形式。</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21" w:name="_Toc356567884"/>
      <w:bookmarkStart w:id="622" w:name="_Toc487619494"/>
      <w:bookmarkStart w:id="623" w:name="_Toc341805207"/>
      <w:bookmarkStart w:id="624" w:name="_Toc488650844"/>
      <w:bookmarkStart w:id="625" w:name="_Toc487291523"/>
      <w:bookmarkStart w:id="626" w:name="_Toc487653412"/>
      <w:r>
        <w:rPr>
          <w:rFonts w:hint="eastAsia" w:ascii="宋体" w:hAnsi="宋体" w:eastAsia="宋体" w:cs="宋体"/>
          <w:color w:val="auto"/>
          <w:sz w:val="24"/>
          <w:szCs w:val="24"/>
          <w:highlight w:val="none"/>
        </w:rPr>
        <w:t xml:space="preserve">1.2 </w:t>
      </w:r>
      <w:r>
        <w:rPr>
          <w:rFonts w:hint="eastAsia" w:ascii="宋体" w:hAnsi="宋体" w:eastAsia="宋体" w:cs="宋体"/>
          <w:b w:val="0"/>
          <w:color w:val="auto"/>
          <w:sz w:val="24"/>
          <w:szCs w:val="24"/>
          <w:highlight w:val="none"/>
        </w:rPr>
        <w:t xml:space="preserve"> 语言文字</w:t>
      </w:r>
      <w:bookmarkEnd w:id="621"/>
      <w:bookmarkEnd w:id="622"/>
      <w:bookmarkEnd w:id="623"/>
      <w:bookmarkEnd w:id="624"/>
      <w:bookmarkEnd w:id="625"/>
      <w:bookmarkEnd w:id="626"/>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除专用术语外，本监理合同使用的语言文字为中文，必要时专用术语应附有中文注释。</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27" w:name="_Toc341805208"/>
      <w:bookmarkStart w:id="628" w:name="_Toc487619495"/>
      <w:bookmarkStart w:id="629" w:name="_Toc488650845"/>
      <w:bookmarkStart w:id="630" w:name="_Toc487291524"/>
      <w:bookmarkStart w:id="631" w:name="_Toc487653413"/>
      <w:bookmarkStart w:id="632" w:name="_Toc356567885"/>
      <w:r>
        <w:rPr>
          <w:rFonts w:hint="eastAsia" w:ascii="宋体" w:hAnsi="宋体" w:eastAsia="宋体" w:cs="宋体"/>
          <w:color w:val="auto"/>
          <w:sz w:val="24"/>
          <w:szCs w:val="24"/>
          <w:highlight w:val="none"/>
        </w:rPr>
        <w:t>1.3</w:t>
      </w:r>
      <w:r>
        <w:rPr>
          <w:rFonts w:hint="eastAsia" w:ascii="宋体" w:hAnsi="宋体" w:eastAsia="宋体" w:cs="宋体"/>
          <w:b w:val="0"/>
          <w:color w:val="auto"/>
          <w:sz w:val="24"/>
          <w:szCs w:val="24"/>
          <w:highlight w:val="none"/>
        </w:rPr>
        <w:t xml:space="preserve">  法律</w:t>
      </w:r>
      <w:bookmarkEnd w:id="627"/>
      <w:bookmarkEnd w:id="628"/>
      <w:bookmarkEnd w:id="629"/>
      <w:bookmarkEnd w:id="630"/>
      <w:bookmarkEnd w:id="631"/>
      <w:bookmarkEnd w:id="632"/>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适用于本监理合同的法律包括中华人民共和国法律、行政法规、部门规章，以及工程所在地的地方法规、自治条例和地方政府规章。</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33" w:name="_Toc487619496"/>
      <w:bookmarkStart w:id="634" w:name="_Toc488650846"/>
      <w:bookmarkStart w:id="635" w:name="_Toc487291525"/>
      <w:bookmarkStart w:id="636" w:name="_Toc356567886"/>
      <w:bookmarkStart w:id="637" w:name="_Toc487653414"/>
      <w:bookmarkStart w:id="638" w:name="_Toc341805209"/>
      <w:r>
        <w:rPr>
          <w:rFonts w:hint="eastAsia" w:ascii="宋体" w:hAnsi="宋体" w:eastAsia="宋体" w:cs="宋体"/>
          <w:color w:val="auto"/>
          <w:sz w:val="24"/>
          <w:szCs w:val="24"/>
          <w:highlight w:val="none"/>
        </w:rPr>
        <w:t xml:space="preserve">1.4 </w:t>
      </w:r>
      <w:r>
        <w:rPr>
          <w:rFonts w:hint="eastAsia" w:ascii="宋体" w:hAnsi="宋体" w:eastAsia="宋体" w:cs="宋体"/>
          <w:b w:val="0"/>
          <w:color w:val="auto"/>
          <w:sz w:val="24"/>
          <w:szCs w:val="24"/>
          <w:highlight w:val="none"/>
        </w:rPr>
        <w:t xml:space="preserve"> 合同文件的优先顺序</w:t>
      </w:r>
      <w:bookmarkEnd w:id="633"/>
      <w:bookmarkEnd w:id="634"/>
      <w:bookmarkEnd w:id="635"/>
      <w:bookmarkEnd w:id="636"/>
      <w:bookmarkEnd w:id="637"/>
      <w:bookmarkEnd w:id="638"/>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组成合同的各项文件应互相解释，互为说明，除专用合同条款另有约定外，解释合同文件的优先顺序如下：</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（1）在合同履行过程中双方共同签署的补充文件；</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（2）监理合同协议书；</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（3）中标通知书；</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（4）投标函及投标函附录；</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（5）专用合同条款；</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（6）通用合同条款；</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（7）其他合同文件。</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对于同一类合同文件，以其最新版本或最新颁发者为准。</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39" w:name="_Toc487291526"/>
      <w:bookmarkStart w:id="640" w:name="_Toc341805210"/>
      <w:bookmarkStart w:id="641" w:name="_Toc488650847"/>
      <w:bookmarkStart w:id="642" w:name="_Toc487619497"/>
      <w:bookmarkStart w:id="643" w:name="_Toc356567887"/>
      <w:bookmarkStart w:id="644" w:name="_Toc487653415"/>
      <w:r>
        <w:rPr>
          <w:rFonts w:hint="eastAsia" w:ascii="宋体" w:hAnsi="宋体" w:eastAsia="宋体" w:cs="宋体"/>
          <w:color w:val="auto"/>
          <w:sz w:val="24"/>
          <w:szCs w:val="24"/>
          <w:highlight w:val="none"/>
        </w:rPr>
        <w:t xml:space="preserve">1.5  </w:t>
      </w:r>
      <w:r>
        <w:rPr>
          <w:rFonts w:hint="eastAsia" w:ascii="宋体" w:hAnsi="宋体" w:eastAsia="宋体" w:cs="宋体"/>
          <w:b w:val="0"/>
          <w:color w:val="auto"/>
          <w:sz w:val="24"/>
          <w:szCs w:val="24"/>
          <w:highlight w:val="none"/>
        </w:rPr>
        <w:t>合同协议书</w:t>
      </w:r>
      <w:bookmarkEnd w:id="639"/>
      <w:bookmarkEnd w:id="640"/>
      <w:bookmarkEnd w:id="641"/>
      <w:bookmarkEnd w:id="642"/>
      <w:bookmarkEnd w:id="643"/>
      <w:bookmarkEnd w:id="644"/>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监理人按中标通知书规定的时间与发包人签订合同协议书。</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45" w:name="_Toc487653416"/>
      <w:bookmarkStart w:id="646" w:name="_Toc356567888"/>
      <w:bookmarkStart w:id="647" w:name="_Toc487291527"/>
      <w:bookmarkStart w:id="648" w:name="_Toc487619498"/>
      <w:bookmarkStart w:id="649" w:name="_Toc488650848"/>
      <w:bookmarkStart w:id="650" w:name="_Toc341805211"/>
      <w:r>
        <w:rPr>
          <w:rFonts w:hint="eastAsia" w:ascii="宋体" w:hAnsi="宋体" w:eastAsia="宋体" w:cs="宋体"/>
          <w:color w:val="auto"/>
          <w:sz w:val="24"/>
          <w:szCs w:val="24"/>
          <w:highlight w:val="none"/>
        </w:rPr>
        <w:t>1.6</w:t>
      </w:r>
      <w:r>
        <w:rPr>
          <w:rFonts w:hint="eastAsia" w:ascii="宋体" w:hAnsi="宋体" w:eastAsia="宋体" w:cs="宋体"/>
          <w:b w:val="0"/>
          <w:color w:val="auto"/>
          <w:sz w:val="24"/>
          <w:szCs w:val="24"/>
          <w:highlight w:val="none"/>
        </w:rPr>
        <w:t xml:space="preserve">  技术资料和监理人文件</w:t>
      </w:r>
      <w:bookmarkEnd w:id="645"/>
      <w:bookmarkEnd w:id="646"/>
      <w:bookmarkEnd w:id="647"/>
      <w:bookmarkEnd w:id="648"/>
      <w:bookmarkEnd w:id="649"/>
      <w:bookmarkEnd w:id="650"/>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发包人在监理合同生效后，且在取得相关文件、资料7日内，向监理人免费提供下述文件、资料：</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（1）发包人与承包人签订的施工合同，发包人与承包人共同确认的已标价的工程数量清单及其说明。</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（2）本工程的施工招标文件，承包人的投标文件。</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（3）本工程的勘察资料、设计图纸、图纸说明、技术规格书等设计资料。</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（4）监理工作需要的其他技术资料。</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监理人提供的文件</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监理人应依据监理合同约定的工作范围，在专用合同条款约定的期限内，向发包人提交监理规划及其他监理文件，且应符合现行行业标准的有关规定。</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51" w:name="_Toc341805212"/>
      <w:bookmarkStart w:id="652" w:name="_Toc488650849"/>
      <w:bookmarkStart w:id="653" w:name="_Toc487653417"/>
      <w:bookmarkStart w:id="654" w:name="_Toc487291528"/>
      <w:bookmarkStart w:id="655" w:name="_Toc487619499"/>
      <w:bookmarkStart w:id="656" w:name="_Toc356567889"/>
      <w:r>
        <w:rPr>
          <w:rFonts w:hint="eastAsia" w:ascii="宋体" w:hAnsi="宋体" w:eastAsia="宋体" w:cs="宋体"/>
          <w:color w:val="auto"/>
          <w:sz w:val="24"/>
          <w:szCs w:val="24"/>
          <w:highlight w:val="none"/>
        </w:rPr>
        <w:t xml:space="preserve">1.7 </w:t>
      </w:r>
      <w:r>
        <w:rPr>
          <w:rFonts w:hint="eastAsia" w:ascii="宋体" w:hAnsi="宋体" w:eastAsia="宋体" w:cs="宋体"/>
          <w:b w:val="0"/>
          <w:color w:val="auto"/>
          <w:sz w:val="24"/>
          <w:szCs w:val="24"/>
          <w:highlight w:val="none"/>
        </w:rPr>
        <w:t xml:space="preserve"> 联络</w:t>
      </w:r>
      <w:bookmarkEnd w:id="651"/>
      <w:bookmarkEnd w:id="652"/>
      <w:bookmarkEnd w:id="653"/>
      <w:bookmarkEnd w:id="654"/>
      <w:bookmarkEnd w:id="655"/>
      <w:bookmarkEnd w:id="656"/>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与合同有关的通知、批准、证明、证书、指示、要求、请求、同意、意见、确定和决定等，且均应采用书面形式。</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第1.7.1 款中的通知、批准、证明、证书、指示、要求、请求、同意、意见、确定和决定等来往函件，均应在合同约定的期限内送达指定地点和接收人，并办理签收手续。</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确有必要时，监理工程师也可发出口头指令，但应在48小时内给予书面确认。</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57" w:name="_Toc356567890"/>
      <w:bookmarkStart w:id="658" w:name="_Toc487291529"/>
      <w:bookmarkStart w:id="659" w:name="_Toc487653418"/>
      <w:bookmarkStart w:id="660" w:name="_Toc487619500"/>
      <w:bookmarkStart w:id="661" w:name="_Toc341805213"/>
      <w:bookmarkStart w:id="662" w:name="_Toc488650850"/>
      <w:r>
        <w:rPr>
          <w:rFonts w:hint="eastAsia" w:ascii="宋体" w:hAnsi="宋体" w:eastAsia="宋体" w:cs="宋体"/>
          <w:color w:val="auto"/>
          <w:sz w:val="24"/>
          <w:szCs w:val="24"/>
          <w:highlight w:val="none"/>
        </w:rPr>
        <w:t xml:space="preserve">1.8 </w:t>
      </w:r>
      <w:r>
        <w:rPr>
          <w:rFonts w:hint="eastAsia" w:ascii="宋体" w:hAnsi="宋体" w:eastAsia="宋体" w:cs="宋体"/>
          <w:b w:val="0"/>
          <w:color w:val="auto"/>
          <w:sz w:val="24"/>
          <w:szCs w:val="24"/>
          <w:highlight w:val="none"/>
        </w:rPr>
        <w:t xml:space="preserve"> 转让和分包</w:t>
      </w:r>
      <w:bookmarkEnd w:id="657"/>
      <w:bookmarkEnd w:id="658"/>
      <w:bookmarkEnd w:id="659"/>
      <w:bookmarkEnd w:id="660"/>
      <w:bookmarkEnd w:id="661"/>
      <w:bookmarkEnd w:id="662"/>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监理人不得转让工程监理业务。</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除专用合同条款另有约定外，未经发包人同意，监理人不得将监理服务的任何部分分包。监理人因监理服务的需要，聘用专业技术人员和辅助工作人员不属于分包。</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63" w:name="_Toc487619501"/>
      <w:bookmarkStart w:id="664" w:name="_Toc341805214"/>
      <w:bookmarkStart w:id="665" w:name="_Toc487653419"/>
      <w:bookmarkStart w:id="666" w:name="_Toc487291530"/>
      <w:bookmarkStart w:id="667" w:name="_Toc488650851"/>
      <w:bookmarkStart w:id="668" w:name="_Toc356567891"/>
      <w:r>
        <w:rPr>
          <w:rFonts w:hint="eastAsia" w:ascii="宋体" w:hAnsi="宋体" w:eastAsia="宋体" w:cs="宋体"/>
          <w:color w:val="auto"/>
          <w:sz w:val="24"/>
          <w:szCs w:val="24"/>
          <w:highlight w:val="none"/>
        </w:rPr>
        <w:t>1.9</w:t>
      </w:r>
      <w:r>
        <w:rPr>
          <w:rFonts w:hint="eastAsia" w:ascii="宋体" w:hAnsi="宋体" w:eastAsia="宋体" w:cs="宋体"/>
          <w:b w:val="0"/>
          <w:color w:val="auto"/>
          <w:sz w:val="24"/>
          <w:szCs w:val="24"/>
          <w:highlight w:val="none"/>
        </w:rPr>
        <w:t xml:space="preserve">  严禁贿赂</w:t>
      </w:r>
      <w:bookmarkEnd w:id="663"/>
      <w:bookmarkEnd w:id="664"/>
      <w:bookmarkEnd w:id="665"/>
      <w:bookmarkEnd w:id="666"/>
      <w:bookmarkEnd w:id="667"/>
      <w:bookmarkEnd w:id="668"/>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合同双方当事人不得以贿赂或变相贿赂的方式，谋取不当利益或损害对方权益。因贿赂造成对方损失的，行为人应赔偿损失，并承担相应的法律责任。</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69" w:name="_Toc488650852"/>
      <w:bookmarkStart w:id="670" w:name="_Toc487291531"/>
      <w:bookmarkStart w:id="671" w:name="_Toc487653420"/>
      <w:bookmarkStart w:id="672" w:name="_Toc487619502"/>
      <w:bookmarkStart w:id="673" w:name="_Toc356567892"/>
      <w:bookmarkStart w:id="674" w:name="_Toc341805215"/>
      <w:r>
        <w:rPr>
          <w:rFonts w:hint="eastAsia" w:ascii="宋体" w:hAnsi="宋体" w:eastAsia="宋体" w:cs="宋体"/>
          <w:color w:val="auto"/>
          <w:sz w:val="24"/>
          <w:szCs w:val="24"/>
          <w:highlight w:val="none"/>
        </w:rPr>
        <w:t xml:space="preserve">1.10 </w:t>
      </w:r>
      <w:r>
        <w:rPr>
          <w:rFonts w:hint="eastAsia" w:ascii="宋体" w:hAnsi="宋体" w:eastAsia="宋体" w:cs="宋体"/>
          <w:b w:val="0"/>
          <w:color w:val="auto"/>
          <w:sz w:val="24"/>
          <w:szCs w:val="24"/>
          <w:highlight w:val="none"/>
        </w:rPr>
        <w:t xml:space="preserve"> 图纸和文件的保密</w:t>
      </w:r>
      <w:bookmarkEnd w:id="669"/>
      <w:bookmarkEnd w:id="670"/>
      <w:bookmarkEnd w:id="671"/>
      <w:bookmarkEnd w:id="672"/>
      <w:bookmarkEnd w:id="673"/>
      <w:bookmarkEnd w:id="674"/>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1.10.1  发包人提供的图纸和文件，未经发包人同意，监理人不得为合同以外的目的泄露给他人或公开发表与引用。</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1.10.2  监理人提供的文件，未经监理人同意，发包人和承包人不得为合同以外的目的泄露给他人或公开发表与引用。</w:t>
      </w:r>
    </w:p>
    <w:p>
      <w:pPr>
        <w:pStyle w:val="4"/>
        <w:spacing w:before="0" w:after="0" w:line="324" w:lineRule="auto"/>
        <w:ind w:firstLine="481" w:firstLineChars="200"/>
        <w:rPr>
          <w:rFonts w:ascii="宋体" w:hAnsi="宋体" w:eastAsia="宋体" w:cs="宋体"/>
          <w:color w:val="auto"/>
          <w:sz w:val="24"/>
          <w:szCs w:val="24"/>
          <w:highlight w:val="none"/>
        </w:rPr>
      </w:pPr>
      <w:bookmarkStart w:id="675" w:name="_Toc487619503"/>
      <w:bookmarkStart w:id="676" w:name="_Toc487291532"/>
      <w:bookmarkStart w:id="677" w:name="_Toc341805216"/>
      <w:bookmarkStart w:id="678" w:name="_Toc487653421"/>
      <w:bookmarkStart w:id="679" w:name="_Toc488650853"/>
      <w:bookmarkStart w:id="680" w:name="_Toc330384452"/>
      <w:r>
        <w:rPr>
          <w:rFonts w:hint="eastAsia" w:ascii="宋体" w:hAnsi="宋体" w:eastAsia="宋体" w:cs="宋体"/>
          <w:color w:val="auto"/>
          <w:sz w:val="24"/>
          <w:szCs w:val="24"/>
          <w:highlight w:val="none"/>
        </w:rPr>
        <w:t>2．发包人的义务</w:t>
      </w:r>
      <w:bookmarkEnd w:id="675"/>
      <w:bookmarkEnd w:id="676"/>
      <w:bookmarkEnd w:id="677"/>
      <w:bookmarkEnd w:id="678"/>
      <w:bookmarkEnd w:id="679"/>
      <w:bookmarkEnd w:id="680"/>
    </w:p>
    <w:p>
      <w:pPr>
        <w:pStyle w:val="4"/>
        <w:spacing w:before="0" w:after="0" w:line="324" w:lineRule="auto"/>
        <w:ind w:firstLine="481" w:firstLineChars="200"/>
        <w:rPr>
          <w:rFonts w:ascii="宋体" w:hAnsi="宋体" w:eastAsia="宋体" w:cs="宋体"/>
          <w:b w:val="0"/>
          <w:color w:val="auto"/>
          <w:sz w:val="24"/>
          <w:szCs w:val="24"/>
          <w:highlight w:val="none"/>
        </w:rPr>
      </w:pPr>
      <w:bookmarkStart w:id="681" w:name="_Toc487291533"/>
      <w:bookmarkStart w:id="682" w:name="_Toc487653422"/>
      <w:bookmarkStart w:id="683" w:name="_Toc487619504"/>
      <w:bookmarkStart w:id="684" w:name="_Toc356567894"/>
      <w:bookmarkStart w:id="685" w:name="_Toc488650854"/>
      <w:bookmarkStart w:id="686" w:name="_Toc341805217"/>
      <w:r>
        <w:rPr>
          <w:rFonts w:hint="eastAsia" w:ascii="宋体" w:hAnsi="宋体" w:eastAsia="宋体" w:cs="宋体"/>
          <w:color w:val="auto"/>
          <w:sz w:val="24"/>
          <w:szCs w:val="24"/>
          <w:highlight w:val="none"/>
        </w:rPr>
        <w:t>2.1</w:t>
      </w:r>
      <w:r>
        <w:rPr>
          <w:rFonts w:hint="eastAsia" w:ascii="宋体" w:hAnsi="宋体" w:eastAsia="宋体" w:cs="宋体"/>
          <w:b w:val="0"/>
          <w:color w:val="auto"/>
          <w:sz w:val="24"/>
          <w:szCs w:val="24"/>
          <w:highlight w:val="none"/>
        </w:rPr>
        <w:t xml:space="preserve">  遵守法律</w:t>
      </w:r>
      <w:bookmarkEnd w:id="681"/>
      <w:bookmarkEnd w:id="682"/>
      <w:bookmarkEnd w:id="683"/>
      <w:bookmarkEnd w:id="684"/>
      <w:bookmarkEnd w:id="685"/>
      <w:bookmarkEnd w:id="686"/>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发包人在履行合同过程中应遵守法律，并保证监理人免于承担因发包人违反法律而引起的任何责任。</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87" w:name="_Toc356567895"/>
      <w:bookmarkStart w:id="688" w:name="_Toc488650855"/>
      <w:bookmarkStart w:id="689" w:name="_Toc487291534"/>
      <w:bookmarkStart w:id="690" w:name="_Toc487619505"/>
      <w:bookmarkStart w:id="691" w:name="_Toc341805218"/>
      <w:bookmarkStart w:id="692" w:name="_Toc487653423"/>
      <w:r>
        <w:rPr>
          <w:rFonts w:hint="eastAsia" w:ascii="宋体" w:hAnsi="宋体" w:eastAsia="宋体" w:cs="宋体"/>
          <w:color w:val="auto"/>
          <w:sz w:val="24"/>
          <w:szCs w:val="24"/>
          <w:highlight w:val="none"/>
        </w:rPr>
        <w:t xml:space="preserve">2.2  </w:t>
      </w:r>
      <w:r>
        <w:rPr>
          <w:rFonts w:hint="eastAsia" w:ascii="宋体" w:hAnsi="宋体" w:eastAsia="宋体" w:cs="宋体"/>
          <w:b w:val="0"/>
          <w:color w:val="auto"/>
          <w:sz w:val="24"/>
          <w:szCs w:val="24"/>
          <w:highlight w:val="none"/>
        </w:rPr>
        <w:t>监理工作条件</w:t>
      </w:r>
      <w:bookmarkEnd w:id="687"/>
      <w:bookmarkEnd w:id="688"/>
      <w:bookmarkEnd w:id="689"/>
      <w:bookmarkEnd w:id="690"/>
      <w:bookmarkEnd w:id="691"/>
      <w:bookmarkEnd w:id="692"/>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发包人应按照监理专用合同条款的约定向监理人提供履行监理服务所必需的工作条件。</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693" w:name="_Toc487291535"/>
      <w:bookmarkStart w:id="694" w:name="_Toc283559229"/>
      <w:bookmarkStart w:id="695" w:name="_Toc487653424"/>
      <w:bookmarkStart w:id="696" w:name="_Toc356567896"/>
      <w:bookmarkStart w:id="697" w:name="_Toc488650856"/>
      <w:bookmarkStart w:id="698" w:name="_Toc487619506"/>
      <w:bookmarkStart w:id="699" w:name="_Toc341805219"/>
      <w:bookmarkStart w:id="700" w:name="_Toc283558732"/>
      <w:r>
        <w:rPr>
          <w:rFonts w:hint="eastAsia" w:ascii="宋体" w:hAnsi="宋体" w:eastAsia="宋体" w:cs="宋体"/>
          <w:color w:val="auto"/>
          <w:sz w:val="24"/>
          <w:szCs w:val="24"/>
          <w:highlight w:val="none"/>
        </w:rPr>
        <w:t xml:space="preserve">2.3 </w:t>
      </w:r>
      <w:r>
        <w:rPr>
          <w:rFonts w:hint="eastAsia" w:ascii="宋体" w:hAnsi="宋体" w:eastAsia="宋体" w:cs="宋体"/>
          <w:b w:val="0"/>
          <w:color w:val="auto"/>
          <w:sz w:val="24"/>
          <w:szCs w:val="24"/>
          <w:highlight w:val="none"/>
        </w:rPr>
        <w:t xml:space="preserve"> 协助</w:t>
      </w:r>
      <w:bookmarkEnd w:id="693"/>
      <w:bookmarkEnd w:id="694"/>
      <w:bookmarkEnd w:id="695"/>
      <w:bookmarkEnd w:id="696"/>
      <w:bookmarkEnd w:id="697"/>
      <w:bookmarkEnd w:id="698"/>
      <w:bookmarkEnd w:id="699"/>
      <w:bookmarkEnd w:id="700"/>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发包人在工程所在地为监理人提供进驻现场的相关条件，解决非监理人原因而发生意外事件时，监理人员的撤场和相关事宜；并避免监理人根据监理合同的约定进行监理服务而导致的第三方的收费。</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01" w:name="_Toc283558733"/>
      <w:bookmarkStart w:id="702" w:name="_Toc283559230"/>
      <w:bookmarkStart w:id="703" w:name="_Toc487291536"/>
      <w:bookmarkStart w:id="704" w:name="_Toc356567897"/>
      <w:bookmarkStart w:id="705" w:name="_Toc487653425"/>
      <w:bookmarkStart w:id="706" w:name="_Toc341805220"/>
      <w:bookmarkStart w:id="707" w:name="_Toc487619507"/>
      <w:bookmarkStart w:id="708" w:name="_Toc488650857"/>
      <w:r>
        <w:rPr>
          <w:rFonts w:hint="eastAsia" w:ascii="宋体" w:hAnsi="宋体" w:eastAsia="宋体" w:cs="宋体"/>
          <w:color w:val="auto"/>
          <w:sz w:val="24"/>
          <w:szCs w:val="24"/>
          <w:highlight w:val="none"/>
        </w:rPr>
        <w:t xml:space="preserve">2.4 </w:t>
      </w:r>
      <w:bookmarkEnd w:id="701"/>
      <w:bookmarkEnd w:id="702"/>
      <w:r>
        <w:rPr>
          <w:rFonts w:hint="eastAsia" w:ascii="宋体" w:hAnsi="宋体" w:eastAsia="宋体" w:cs="宋体"/>
          <w:b w:val="0"/>
          <w:color w:val="auto"/>
          <w:sz w:val="24"/>
          <w:szCs w:val="24"/>
          <w:highlight w:val="none"/>
        </w:rPr>
        <w:t xml:space="preserve"> 商定或确定</w:t>
      </w:r>
      <w:bookmarkEnd w:id="703"/>
      <w:bookmarkEnd w:id="704"/>
      <w:bookmarkEnd w:id="705"/>
      <w:bookmarkEnd w:id="706"/>
      <w:bookmarkEnd w:id="707"/>
      <w:bookmarkEnd w:id="708"/>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根据监理人有关针对本工程的工期、质量、费用、合同和安全等问题的请示应及时予以商定或确定。对上述请示给予书面答复的期限，自收到书面请示之日起最长不超过7日，重大问题不得超过28日。逾期未予书面答复应视为发包人同意。</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09" w:name="_Toc488650858"/>
      <w:bookmarkStart w:id="710" w:name="_Toc283559231"/>
      <w:bookmarkStart w:id="711" w:name="_Toc487291537"/>
      <w:bookmarkStart w:id="712" w:name="_Toc487619508"/>
      <w:bookmarkStart w:id="713" w:name="_Toc283558734"/>
      <w:bookmarkStart w:id="714" w:name="_Toc356567898"/>
      <w:bookmarkStart w:id="715" w:name="_Toc487653426"/>
      <w:bookmarkStart w:id="716" w:name="_Toc341805221"/>
      <w:r>
        <w:rPr>
          <w:rFonts w:hint="eastAsia" w:ascii="宋体" w:hAnsi="宋体" w:eastAsia="宋体" w:cs="宋体"/>
          <w:color w:val="auto"/>
          <w:sz w:val="24"/>
          <w:szCs w:val="24"/>
          <w:highlight w:val="none"/>
        </w:rPr>
        <w:t xml:space="preserve">2.5 </w:t>
      </w:r>
      <w:r>
        <w:rPr>
          <w:rFonts w:hint="eastAsia" w:ascii="宋体" w:hAnsi="宋体" w:eastAsia="宋体" w:cs="宋体"/>
          <w:b w:val="0"/>
          <w:color w:val="auto"/>
          <w:sz w:val="24"/>
          <w:szCs w:val="24"/>
          <w:highlight w:val="none"/>
        </w:rPr>
        <w:t xml:space="preserve"> 代表</w:t>
      </w:r>
      <w:bookmarkEnd w:id="709"/>
      <w:bookmarkEnd w:id="710"/>
      <w:bookmarkEnd w:id="711"/>
      <w:bookmarkEnd w:id="712"/>
      <w:bookmarkEnd w:id="713"/>
      <w:bookmarkEnd w:id="714"/>
      <w:bookmarkEnd w:id="715"/>
      <w:bookmarkEnd w:id="716"/>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发包人应指定一名授权代表，与监理人的授权代表建立工作联系。更换该代表或变更其授权时，应提前7日通知监理人。</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17" w:name="_Toc488650859"/>
      <w:bookmarkStart w:id="718" w:name="_Toc356567899"/>
      <w:bookmarkStart w:id="719" w:name="_Toc487619509"/>
      <w:bookmarkStart w:id="720" w:name="_Toc341805222"/>
      <w:bookmarkStart w:id="721" w:name="_Toc487653427"/>
      <w:bookmarkStart w:id="722" w:name="_Toc487291538"/>
      <w:bookmarkStart w:id="723" w:name="_Toc283558731"/>
      <w:bookmarkStart w:id="724" w:name="_Toc283559228"/>
      <w:r>
        <w:rPr>
          <w:rFonts w:hint="eastAsia" w:ascii="宋体" w:hAnsi="宋体" w:eastAsia="宋体" w:cs="宋体"/>
          <w:color w:val="auto"/>
          <w:sz w:val="24"/>
          <w:szCs w:val="24"/>
          <w:highlight w:val="none"/>
        </w:rPr>
        <w:t>2.6</w:t>
      </w:r>
      <w:r>
        <w:rPr>
          <w:rFonts w:hint="eastAsia" w:ascii="宋体" w:hAnsi="宋体" w:eastAsia="宋体" w:cs="宋体"/>
          <w:b w:val="0"/>
          <w:color w:val="auto"/>
          <w:sz w:val="24"/>
          <w:szCs w:val="24"/>
          <w:highlight w:val="none"/>
        </w:rPr>
        <w:t xml:space="preserve">  授权通知</w:t>
      </w:r>
      <w:bookmarkEnd w:id="717"/>
      <w:bookmarkEnd w:id="718"/>
      <w:bookmarkEnd w:id="719"/>
      <w:bookmarkEnd w:id="720"/>
      <w:bookmarkEnd w:id="721"/>
      <w:bookmarkEnd w:id="722"/>
    </w:p>
    <w:bookmarkEnd w:id="723"/>
    <w:bookmarkEnd w:id="724"/>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在工程开工前，发包人应将监理人、监理工作范围、授予监理人的权限及时书面通知第三方，并在发包人与第三方签订的合同文件中明确第三方必须接受监理人在发包人授权范围内的监理。</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25" w:name="_Toc341805223"/>
      <w:bookmarkStart w:id="726" w:name="_Toc487291539"/>
      <w:bookmarkStart w:id="727" w:name="_Toc487619510"/>
      <w:bookmarkStart w:id="728" w:name="_Toc487653428"/>
      <w:bookmarkStart w:id="729" w:name="_Toc488650860"/>
      <w:bookmarkStart w:id="730" w:name="_Toc356567900"/>
      <w:r>
        <w:rPr>
          <w:rFonts w:hint="eastAsia" w:ascii="宋体" w:hAnsi="宋体" w:eastAsia="宋体" w:cs="宋体"/>
          <w:color w:val="auto"/>
          <w:sz w:val="24"/>
          <w:szCs w:val="24"/>
          <w:highlight w:val="none"/>
        </w:rPr>
        <w:t>2.7</w:t>
      </w:r>
      <w:r>
        <w:rPr>
          <w:rFonts w:hint="eastAsia" w:ascii="宋体" w:hAnsi="宋体" w:eastAsia="宋体" w:cs="宋体"/>
          <w:b w:val="0"/>
          <w:color w:val="auto"/>
          <w:sz w:val="24"/>
          <w:szCs w:val="24"/>
          <w:highlight w:val="none"/>
        </w:rPr>
        <w:t xml:space="preserve">  支付费用</w:t>
      </w:r>
      <w:bookmarkEnd w:id="725"/>
      <w:bookmarkEnd w:id="726"/>
      <w:bookmarkEnd w:id="727"/>
      <w:bookmarkEnd w:id="728"/>
      <w:bookmarkEnd w:id="729"/>
      <w:bookmarkEnd w:id="730"/>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发包人须按合同约定向监理人及时支付监理服务费用。</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31" w:name="_Toc488650861"/>
      <w:bookmarkStart w:id="732" w:name="_Toc283558737"/>
      <w:bookmarkStart w:id="733" w:name="_Toc283559234"/>
      <w:bookmarkStart w:id="734" w:name="_Toc487619511"/>
      <w:bookmarkStart w:id="735" w:name="_Toc356567901"/>
      <w:bookmarkStart w:id="736" w:name="_Toc487291540"/>
      <w:bookmarkStart w:id="737" w:name="_Toc341805224"/>
      <w:bookmarkStart w:id="738" w:name="_Toc487653429"/>
      <w:r>
        <w:rPr>
          <w:rFonts w:hint="eastAsia" w:ascii="宋体" w:hAnsi="宋体" w:eastAsia="宋体" w:cs="宋体"/>
          <w:color w:val="auto"/>
          <w:sz w:val="24"/>
          <w:szCs w:val="24"/>
          <w:highlight w:val="none"/>
        </w:rPr>
        <w:t xml:space="preserve">2.8 </w:t>
      </w:r>
      <w:r>
        <w:rPr>
          <w:rFonts w:hint="eastAsia" w:ascii="宋体" w:hAnsi="宋体" w:eastAsia="宋体" w:cs="宋体"/>
          <w:b w:val="0"/>
          <w:color w:val="auto"/>
          <w:sz w:val="24"/>
          <w:szCs w:val="24"/>
          <w:highlight w:val="none"/>
        </w:rPr>
        <w:t xml:space="preserve"> 发包人指令的下达</w:t>
      </w:r>
      <w:bookmarkEnd w:id="731"/>
      <w:bookmarkEnd w:id="732"/>
      <w:bookmarkEnd w:id="733"/>
      <w:bookmarkEnd w:id="734"/>
      <w:bookmarkEnd w:id="735"/>
      <w:bookmarkEnd w:id="736"/>
      <w:bookmarkEnd w:id="737"/>
      <w:bookmarkEnd w:id="738"/>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发包人在本合同约定的服务范围内对承包人的任何意见或要求，应通过监理人向承包人提出。</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39" w:name="_Toc283559235"/>
      <w:bookmarkStart w:id="740" w:name="_Toc283558738"/>
      <w:bookmarkStart w:id="741" w:name="_Toc356567902"/>
      <w:bookmarkStart w:id="742" w:name="_Toc487653430"/>
      <w:bookmarkStart w:id="743" w:name="_Toc487291541"/>
      <w:bookmarkStart w:id="744" w:name="_Toc487619512"/>
      <w:bookmarkStart w:id="745" w:name="_Toc488650862"/>
      <w:bookmarkStart w:id="746" w:name="_Toc341805225"/>
      <w:r>
        <w:rPr>
          <w:rFonts w:hint="eastAsia" w:ascii="宋体" w:hAnsi="宋体" w:eastAsia="宋体" w:cs="宋体"/>
          <w:color w:val="auto"/>
          <w:sz w:val="24"/>
          <w:szCs w:val="24"/>
          <w:highlight w:val="none"/>
        </w:rPr>
        <w:t xml:space="preserve">2.9 </w:t>
      </w:r>
      <w:r>
        <w:rPr>
          <w:rFonts w:hint="eastAsia" w:ascii="宋体" w:hAnsi="宋体" w:eastAsia="宋体" w:cs="宋体"/>
          <w:b w:val="0"/>
          <w:color w:val="auto"/>
          <w:sz w:val="24"/>
          <w:szCs w:val="24"/>
          <w:highlight w:val="none"/>
        </w:rPr>
        <w:t xml:space="preserve"> </w:t>
      </w:r>
      <w:bookmarkEnd w:id="739"/>
      <w:bookmarkEnd w:id="740"/>
      <w:r>
        <w:rPr>
          <w:rFonts w:hint="eastAsia" w:ascii="宋体" w:hAnsi="宋体" w:eastAsia="宋体" w:cs="宋体"/>
          <w:b w:val="0"/>
          <w:color w:val="auto"/>
          <w:sz w:val="24"/>
          <w:szCs w:val="24"/>
          <w:highlight w:val="none"/>
        </w:rPr>
        <w:t>其他义务</w:t>
      </w:r>
      <w:bookmarkEnd w:id="741"/>
      <w:bookmarkEnd w:id="742"/>
      <w:bookmarkEnd w:id="743"/>
      <w:bookmarkEnd w:id="744"/>
      <w:bookmarkEnd w:id="745"/>
      <w:bookmarkEnd w:id="746"/>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发包人应履行合同约定的其他义务。</w:t>
      </w:r>
    </w:p>
    <w:p>
      <w:pPr>
        <w:pStyle w:val="4"/>
        <w:spacing w:before="0" w:after="0" w:line="324" w:lineRule="auto"/>
        <w:ind w:firstLine="481" w:firstLineChars="200"/>
        <w:rPr>
          <w:rFonts w:ascii="宋体" w:hAnsi="宋体" w:eastAsia="宋体" w:cs="宋体"/>
          <w:color w:val="auto"/>
          <w:sz w:val="24"/>
          <w:szCs w:val="24"/>
          <w:highlight w:val="none"/>
        </w:rPr>
      </w:pPr>
      <w:bookmarkStart w:id="747" w:name="_Toc330384453"/>
      <w:bookmarkStart w:id="748" w:name="_Toc488650863"/>
      <w:bookmarkStart w:id="749" w:name="_Toc487619513"/>
      <w:bookmarkStart w:id="750" w:name="_Toc487291542"/>
      <w:bookmarkStart w:id="751" w:name="_Toc341805226"/>
      <w:bookmarkStart w:id="752" w:name="_Toc487653431"/>
      <w:r>
        <w:rPr>
          <w:rFonts w:hint="eastAsia" w:ascii="宋体" w:hAnsi="宋体" w:eastAsia="宋体" w:cs="宋体"/>
          <w:color w:val="auto"/>
          <w:sz w:val="24"/>
          <w:szCs w:val="24"/>
          <w:highlight w:val="none"/>
        </w:rPr>
        <w:t>3．监理人</w:t>
      </w:r>
      <w:bookmarkEnd w:id="747"/>
      <w:r>
        <w:rPr>
          <w:rFonts w:hint="eastAsia" w:ascii="宋体" w:hAnsi="宋体" w:eastAsia="宋体" w:cs="宋体"/>
          <w:color w:val="auto"/>
          <w:sz w:val="24"/>
          <w:szCs w:val="24"/>
          <w:highlight w:val="none"/>
        </w:rPr>
        <w:t>的义务</w:t>
      </w:r>
      <w:bookmarkEnd w:id="748"/>
      <w:bookmarkEnd w:id="749"/>
      <w:bookmarkEnd w:id="750"/>
      <w:bookmarkEnd w:id="751"/>
      <w:bookmarkEnd w:id="752"/>
    </w:p>
    <w:p>
      <w:pPr>
        <w:pStyle w:val="4"/>
        <w:spacing w:before="0" w:after="0" w:line="324" w:lineRule="auto"/>
        <w:ind w:firstLine="481" w:firstLineChars="200"/>
        <w:rPr>
          <w:rFonts w:ascii="宋体" w:hAnsi="宋体" w:eastAsia="宋体" w:cs="宋体"/>
          <w:b w:val="0"/>
          <w:color w:val="auto"/>
          <w:sz w:val="24"/>
          <w:szCs w:val="24"/>
          <w:highlight w:val="none"/>
        </w:rPr>
      </w:pPr>
      <w:bookmarkStart w:id="753" w:name="_Toc341805227"/>
      <w:bookmarkStart w:id="754" w:name="_Toc487291543"/>
      <w:bookmarkStart w:id="755" w:name="_Toc356567904"/>
      <w:bookmarkStart w:id="756" w:name="_Toc487619514"/>
      <w:bookmarkStart w:id="757" w:name="_Toc488650864"/>
      <w:bookmarkStart w:id="758" w:name="_Toc487653432"/>
      <w:r>
        <w:rPr>
          <w:rFonts w:hint="eastAsia" w:ascii="宋体" w:hAnsi="宋体" w:eastAsia="宋体" w:cs="宋体"/>
          <w:color w:val="auto"/>
          <w:sz w:val="24"/>
          <w:szCs w:val="24"/>
          <w:highlight w:val="none"/>
        </w:rPr>
        <w:t xml:space="preserve">3.1 </w:t>
      </w:r>
      <w:r>
        <w:rPr>
          <w:rFonts w:hint="eastAsia" w:ascii="宋体" w:hAnsi="宋体" w:eastAsia="宋体" w:cs="宋体"/>
          <w:b w:val="0"/>
          <w:color w:val="auto"/>
          <w:sz w:val="24"/>
          <w:szCs w:val="24"/>
          <w:highlight w:val="none"/>
        </w:rPr>
        <w:t xml:space="preserve"> 监理人的一般义务</w:t>
      </w:r>
      <w:bookmarkEnd w:id="753"/>
      <w:bookmarkEnd w:id="754"/>
      <w:bookmarkEnd w:id="755"/>
      <w:bookmarkEnd w:id="756"/>
      <w:bookmarkEnd w:id="757"/>
      <w:bookmarkEnd w:id="758"/>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  遵守法律</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监理人在履行合同过程中应遵守法律，并保证发包人免于承担因监理人违反法律而引起的任何责任。</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  依法纳税</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监理人应按有关法律规定纳税，应缴纳的税金包括在合同价格内。</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  完成各项监理工作</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监理人应按合同约定以及发包人根据本合同约定作出的指示，实施、完成本项目的监理服务工作。</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3.1.4  保证监理人员的安全</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监理人应按第8.2条约定为监理人员办理保险，加强对监理人员安全教育，发放劳动保护用具，确保监理人员的安全。</w:t>
      </w:r>
      <w:bookmarkStart w:id="759" w:name="_Toc283558729"/>
      <w:bookmarkStart w:id="760" w:name="_Toc283559226"/>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3.1.5  其他义务</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监理人应履行合同约定的其他义务。</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61" w:name="_Toc341805228"/>
      <w:bookmarkStart w:id="762" w:name="_Toc488650865"/>
      <w:bookmarkStart w:id="763" w:name="_Toc487291544"/>
      <w:bookmarkStart w:id="764" w:name="_Toc356567905"/>
      <w:bookmarkStart w:id="765" w:name="_Toc487619515"/>
      <w:bookmarkStart w:id="766" w:name="_Toc487653433"/>
      <w:r>
        <w:rPr>
          <w:rFonts w:hint="eastAsia" w:ascii="宋体" w:hAnsi="宋体" w:eastAsia="宋体" w:cs="宋体"/>
          <w:color w:val="auto"/>
          <w:sz w:val="24"/>
          <w:szCs w:val="24"/>
          <w:highlight w:val="none"/>
        </w:rPr>
        <w:t xml:space="preserve">3.2 </w:t>
      </w:r>
      <w:r>
        <w:rPr>
          <w:rFonts w:hint="eastAsia" w:ascii="宋体" w:hAnsi="宋体" w:eastAsia="宋体" w:cs="宋体"/>
          <w:b w:val="0"/>
          <w:color w:val="auto"/>
          <w:sz w:val="24"/>
          <w:szCs w:val="24"/>
          <w:highlight w:val="none"/>
        </w:rPr>
        <w:t xml:space="preserve"> 履约保证金</w:t>
      </w:r>
      <w:bookmarkEnd w:id="761"/>
      <w:bookmarkEnd w:id="762"/>
      <w:bookmarkEnd w:id="763"/>
      <w:bookmarkEnd w:id="764"/>
      <w:bookmarkEnd w:id="765"/>
      <w:bookmarkEnd w:id="766"/>
    </w:p>
    <w:bookmarkEnd w:id="759"/>
    <w:bookmarkEnd w:id="760"/>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监理人应保证履约保证金在合同履约期内一直有效，发包人应在缺陷责任期终止证书颁发后28 日内把履约保证金退还给监理人。</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67" w:name="_Toc487619516"/>
      <w:bookmarkStart w:id="768" w:name="_Toc487653434"/>
      <w:bookmarkStart w:id="769" w:name="_Toc341805229"/>
      <w:bookmarkStart w:id="770" w:name="_Toc488650866"/>
      <w:bookmarkStart w:id="771" w:name="_Toc487291545"/>
      <w:bookmarkStart w:id="772" w:name="_Toc356567906"/>
      <w:r>
        <w:rPr>
          <w:rFonts w:hint="eastAsia" w:ascii="宋体" w:hAnsi="宋体" w:eastAsia="宋体" w:cs="宋体"/>
          <w:color w:val="auto"/>
          <w:sz w:val="24"/>
          <w:szCs w:val="24"/>
          <w:highlight w:val="none"/>
        </w:rPr>
        <w:t xml:space="preserve">3.3 </w:t>
      </w:r>
      <w:r>
        <w:rPr>
          <w:rFonts w:hint="eastAsia" w:ascii="宋体" w:hAnsi="宋体" w:eastAsia="宋体" w:cs="宋体"/>
          <w:b w:val="0"/>
          <w:color w:val="auto"/>
          <w:sz w:val="24"/>
          <w:szCs w:val="24"/>
          <w:highlight w:val="none"/>
        </w:rPr>
        <w:t xml:space="preserve"> 联合体</w:t>
      </w:r>
      <w:bookmarkEnd w:id="767"/>
      <w:bookmarkEnd w:id="768"/>
      <w:bookmarkEnd w:id="769"/>
      <w:bookmarkEnd w:id="770"/>
      <w:bookmarkEnd w:id="771"/>
      <w:bookmarkEnd w:id="772"/>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  联合体各方应共同与发包人签订合同协议书。联合体各方应为履行合同承担连带责任。</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  联合体协议经发包人确认后作为合同附件。在履行合同过程中，未经发包人同意，不得修改联合体协议。</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  联合体牵头人负责与发包人联系，并接受指示，负责组织联合体各成员全面履行合同。</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73" w:name="_Toc341805230"/>
      <w:bookmarkStart w:id="774" w:name="_Toc487619517"/>
      <w:bookmarkStart w:id="775" w:name="_Toc488650867"/>
      <w:bookmarkStart w:id="776" w:name="_Toc487291546"/>
      <w:bookmarkStart w:id="777" w:name="_Toc487653435"/>
      <w:bookmarkStart w:id="778" w:name="_Toc356567907"/>
      <w:r>
        <w:rPr>
          <w:rFonts w:hint="eastAsia" w:ascii="宋体" w:hAnsi="宋体" w:eastAsia="宋体" w:cs="宋体"/>
          <w:color w:val="auto"/>
          <w:sz w:val="24"/>
          <w:szCs w:val="24"/>
          <w:highlight w:val="none"/>
        </w:rPr>
        <w:t xml:space="preserve">3.4 </w:t>
      </w:r>
      <w:r>
        <w:rPr>
          <w:rFonts w:hint="eastAsia" w:ascii="宋体" w:hAnsi="宋体" w:eastAsia="宋体" w:cs="宋体"/>
          <w:b w:val="0"/>
          <w:color w:val="auto"/>
          <w:sz w:val="24"/>
          <w:szCs w:val="24"/>
          <w:highlight w:val="none"/>
        </w:rPr>
        <w:t xml:space="preserve"> 总监理工程师</w:t>
      </w:r>
      <w:bookmarkEnd w:id="773"/>
      <w:bookmarkEnd w:id="774"/>
      <w:bookmarkEnd w:id="775"/>
      <w:bookmarkEnd w:id="776"/>
      <w:bookmarkEnd w:id="777"/>
      <w:bookmarkEnd w:id="778"/>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监理人应按合同约定指派总监理工程师，并在约定的期限内到职。监理人应授权总监理工程师代表监理人全面履行监理合同，与发包人的授权代表建立工作联系。监理人更换或变更其授权时，必须提前14日通知发包人，并征得发包人同意。总监理工程师短期离开施工现场，应事先征得发包人同意，并委派代表代行其职责。</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监理人为履行合同发出的一切函件均应盖有监理人或其授权的监理机构章，并由总监理工程师或其授权代表签字。</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  总监理工程师可以授权其下属人员履行其某项职责，但事先应将这些人员的姓名和授权范围通知发包人及承包人。被授权的监理人员在授权范围内发出的指示视为已得到总监理工程师的同意，与总监理工程师发出的指示具有同等效力。总监理工程师撤销某项授权时，应将撤销授权的决定及时通知承包人。</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79" w:name="_Toc488650868"/>
      <w:bookmarkStart w:id="780" w:name="_Toc487291547"/>
      <w:bookmarkStart w:id="781" w:name="_Toc341805231"/>
      <w:bookmarkStart w:id="782" w:name="_Toc487653436"/>
      <w:bookmarkStart w:id="783" w:name="_Toc487619518"/>
      <w:bookmarkStart w:id="784" w:name="_Toc356567908"/>
      <w:r>
        <w:rPr>
          <w:rFonts w:hint="eastAsia" w:ascii="宋体" w:hAnsi="宋体" w:eastAsia="宋体" w:cs="宋体"/>
          <w:color w:val="auto"/>
          <w:sz w:val="24"/>
          <w:szCs w:val="24"/>
          <w:highlight w:val="none"/>
        </w:rPr>
        <w:t xml:space="preserve">3.5 </w:t>
      </w:r>
      <w:r>
        <w:rPr>
          <w:rFonts w:hint="eastAsia" w:ascii="宋体" w:hAnsi="宋体" w:eastAsia="宋体" w:cs="宋体"/>
          <w:b w:val="0"/>
          <w:color w:val="auto"/>
          <w:sz w:val="24"/>
          <w:szCs w:val="24"/>
          <w:highlight w:val="none"/>
        </w:rPr>
        <w:t xml:space="preserve"> 监理人的人员管理</w:t>
      </w:r>
      <w:bookmarkEnd w:id="779"/>
      <w:bookmarkEnd w:id="780"/>
      <w:bookmarkEnd w:id="781"/>
      <w:bookmarkEnd w:id="782"/>
      <w:bookmarkEnd w:id="783"/>
      <w:bookmarkEnd w:id="784"/>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  监理人派驻到工程所在地进行监理服务的监理人员，应能够胜任监理合同约定的监理服务工作，重要岗位监理人员的配备应满足招标文件的要求。</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  监理人应保持派驻到工程所在地的重要岗位监理人员稳定，未经发包人同意不应无故不到岗或被替换。</w:t>
      </w:r>
    </w:p>
    <w:p>
      <w:pPr>
        <w:spacing w:line="324"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3.5.3  监理人应对其总监理工程师和其他监理人员进行有效管理。发包人要求撤换不能胜任本职工作、行为不端或玩忽职守的总监理工程师和其他监理人员的，监理人应予以撤换，同时委派经发包人同意的总监理工程师或其他监理人员进场。</w:t>
      </w:r>
    </w:p>
    <w:p>
      <w:pPr>
        <w:pStyle w:val="4"/>
        <w:spacing w:before="0" w:after="0" w:line="324" w:lineRule="auto"/>
        <w:ind w:firstLine="481" w:firstLineChars="200"/>
        <w:rPr>
          <w:rFonts w:ascii="宋体" w:hAnsi="宋体" w:eastAsia="宋体" w:cs="宋体"/>
          <w:color w:val="auto"/>
          <w:sz w:val="24"/>
          <w:szCs w:val="24"/>
          <w:highlight w:val="none"/>
        </w:rPr>
      </w:pPr>
      <w:bookmarkStart w:id="785" w:name="_Toc487619519"/>
      <w:bookmarkStart w:id="786" w:name="_Toc341805232"/>
      <w:bookmarkStart w:id="787" w:name="_Toc487291548"/>
      <w:bookmarkStart w:id="788" w:name="_Toc488650869"/>
      <w:bookmarkStart w:id="789" w:name="_Toc330384454"/>
      <w:bookmarkStart w:id="790" w:name="_Toc487653437"/>
      <w:r>
        <w:rPr>
          <w:rFonts w:hint="eastAsia" w:ascii="宋体" w:hAnsi="宋体" w:eastAsia="宋体" w:cs="宋体"/>
          <w:color w:val="auto"/>
          <w:sz w:val="24"/>
          <w:szCs w:val="24"/>
          <w:highlight w:val="none"/>
        </w:rPr>
        <w:t>4．监理服务</w:t>
      </w:r>
      <w:bookmarkEnd w:id="785"/>
      <w:bookmarkEnd w:id="786"/>
      <w:bookmarkEnd w:id="787"/>
      <w:bookmarkEnd w:id="788"/>
      <w:bookmarkEnd w:id="789"/>
      <w:bookmarkEnd w:id="790"/>
    </w:p>
    <w:p>
      <w:pPr>
        <w:pStyle w:val="4"/>
        <w:spacing w:before="0" w:after="0" w:line="324" w:lineRule="auto"/>
        <w:ind w:firstLine="481" w:firstLineChars="200"/>
        <w:rPr>
          <w:rFonts w:ascii="宋体" w:hAnsi="宋体" w:eastAsia="宋体" w:cs="宋体"/>
          <w:b w:val="0"/>
          <w:color w:val="auto"/>
          <w:sz w:val="24"/>
          <w:szCs w:val="24"/>
          <w:highlight w:val="none"/>
        </w:rPr>
      </w:pPr>
      <w:bookmarkStart w:id="791" w:name="_Toc356567910"/>
      <w:bookmarkStart w:id="792" w:name="_Toc487653438"/>
      <w:bookmarkStart w:id="793" w:name="_Toc487291549"/>
      <w:bookmarkStart w:id="794" w:name="_Toc488650870"/>
      <w:bookmarkStart w:id="795" w:name="_Toc487619520"/>
      <w:bookmarkStart w:id="796" w:name="_Toc341805233"/>
      <w:r>
        <w:rPr>
          <w:rFonts w:hint="eastAsia" w:ascii="宋体" w:hAnsi="宋体" w:eastAsia="宋体" w:cs="宋体"/>
          <w:color w:val="auto"/>
          <w:sz w:val="24"/>
          <w:szCs w:val="24"/>
          <w:highlight w:val="none"/>
        </w:rPr>
        <w:t xml:space="preserve">4.1 </w:t>
      </w:r>
      <w:r>
        <w:rPr>
          <w:rFonts w:hint="eastAsia" w:ascii="宋体" w:hAnsi="宋体" w:eastAsia="宋体" w:cs="宋体"/>
          <w:b w:val="0"/>
          <w:color w:val="auto"/>
          <w:sz w:val="24"/>
          <w:szCs w:val="24"/>
          <w:highlight w:val="none"/>
        </w:rPr>
        <w:t xml:space="preserve"> 监理机构形式</w:t>
      </w:r>
      <w:bookmarkEnd w:id="791"/>
      <w:bookmarkEnd w:id="792"/>
      <w:bookmarkEnd w:id="793"/>
      <w:bookmarkEnd w:id="794"/>
      <w:bookmarkEnd w:id="795"/>
      <w:bookmarkEnd w:id="796"/>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监理人应根据工程规模、难易程度、合同工期安排、现场条件等因素设置现场监理机构并满足合同要求。发包人对监理人的监理机构设置要求见专用条款约定。</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797" w:name="_Toc283559222"/>
      <w:bookmarkStart w:id="798" w:name="_Toc286759092"/>
      <w:bookmarkStart w:id="799" w:name="_Toc283558725"/>
      <w:bookmarkStart w:id="800" w:name="_Toc356567911"/>
      <w:bookmarkStart w:id="801" w:name="_Toc487653439"/>
      <w:bookmarkStart w:id="802" w:name="_Toc488650871"/>
      <w:bookmarkStart w:id="803" w:name="_Toc487619521"/>
      <w:bookmarkStart w:id="804" w:name="_Toc487291550"/>
      <w:bookmarkStart w:id="805" w:name="_Toc341805234"/>
      <w:r>
        <w:rPr>
          <w:rFonts w:hint="eastAsia" w:ascii="宋体" w:hAnsi="宋体" w:eastAsia="宋体" w:cs="宋体"/>
          <w:color w:val="auto"/>
          <w:sz w:val="24"/>
          <w:szCs w:val="24"/>
          <w:highlight w:val="none"/>
        </w:rPr>
        <w:t xml:space="preserve">4.2  </w:t>
      </w:r>
      <w:bookmarkEnd w:id="797"/>
      <w:bookmarkEnd w:id="798"/>
      <w:bookmarkEnd w:id="799"/>
      <w:bookmarkStart w:id="806" w:name="_Toc283559223"/>
      <w:bookmarkStart w:id="807" w:name="_Toc286759093"/>
      <w:bookmarkStart w:id="808" w:name="_Toc283558726"/>
      <w:r>
        <w:rPr>
          <w:rFonts w:hint="eastAsia" w:ascii="宋体" w:hAnsi="宋体" w:eastAsia="宋体" w:cs="宋体"/>
          <w:b w:val="0"/>
          <w:color w:val="auto"/>
          <w:sz w:val="24"/>
          <w:szCs w:val="24"/>
          <w:highlight w:val="none"/>
        </w:rPr>
        <w:t>监理服务范围</w:t>
      </w:r>
      <w:bookmarkEnd w:id="800"/>
      <w:bookmarkEnd w:id="801"/>
      <w:bookmarkEnd w:id="802"/>
      <w:bookmarkEnd w:id="803"/>
      <w:bookmarkEnd w:id="804"/>
      <w:bookmarkEnd w:id="805"/>
      <w:bookmarkEnd w:id="806"/>
      <w:bookmarkEnd w:id="807"/>
      <w:bookmarkEnd w:id="808"/>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4.2.1  监理服务的工程范围：在专用条款中约定。</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4.2.2  监理服务的工作范围：监理人应当按照合同要求和发包人的授权范围进行下述监理服务。</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正常监理服务的范围，除非专用条款另有约定，正常监理服务的范围是指在合同约定的工程范围内及约定的正常监理服务期限内，对工程进行质量监理、施工安全监理、费用监理、进度监理、合同与信息管理及有关协调。</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（2）附加监理服务的范围，包括但不限于：</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①由于非监理人(含发包人或第三方责任)原因导致合同约定的监理服务期限延长，所延长的服务时间应视为附加监理服务；</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②发包人书面提出监理合同约定的工作范围以外的监理工作，监理人完成此项工作应视为附加监理服务；</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③发包人书面提出高于监理合同约定的服务标准的要求，监理人为完成此要求而增加的投入应视为附加监理服务；</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④缺陷责任期的监理服务，发包人要求监理人在缺陷责任期提供的监理服务范围见专用条款约定。</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（3）额外服务的范围，包括但不限于：</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①监理合同生效后，因非监理人原因导致监理人不能提供全部或部分服务时，其善后工作以及恢复服务的准备工作，应作为额外服务；</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②如果发包人以书面形式提出要求，监理人应提交变更服务的建议方案，该建议方案的编写和提交应视为额外服务；</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③非监理人原因导致全部监理服务已无法继续履行，因此增加的监理服务工作量应作为监理人的额外服务；</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④发包人将部分或全部外部协调工作委托监理人承担，因此而增加的工作应视为额外服务；</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⑤根据工程需要由监理人组织的相关咨询论证会以及聘请相关专家等工作，应视为额外服务。</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809" w:name="_Toc283559224"/>
      <w:bookmarkStart w:id="810" w:name="_Toc286759094"/>
      <w:bookmarkStart w:id="811" w:name="_Toc283558727"/>
      <w:bookmarkStart w:id="812" w:name="_Toc487653440"/>
      <w:bookmarkStart w:id="813" w:name="_Toc487619522"/>
      <w:bookmarkStart w:id="814" w:name="_Toc488650872"/>
      <w:bookmarkStart w:id="815" w:name="_Toc341805235"/>
      <w:bookmarkStart w:id="816" w:name="_Toc356567912"/>
      <w:bookmarkStart w:id="817" w:name="_Toc487291551"/>
      <w:r>
        <w:rPr>
          <w:rFonts w:hint="eastAsia" w:ascii="宋体" w:hAnsi="宋体" w:eastAsia="宋体" w:cs="宋体"/>
          <w:color w:val="auto"/>
          <w:sz w:val="24"/>
          <w:szCs w:val="24"/>
          <w:highlight w:val="none"/>
        </w:rPr>
        <w:t>4.3</w:t>
      </w:r>
      <w:r>
        <w:rPr>
          <w:rFonts w:hint="eastAsia" w:ascii="宋体" w:hAnsi="宋体" w:eastAsia="宋体" w:cs="宋体"/>
          <w:b w:val="0"/>
          <w:color w:val="auto"/>
          <w:sz w:val="24"/>
          <w:szCs w:val="24"/>
          <w:highlight w:val="none"/>
        </w:rPr>
        <w:t xml:space="preserve">  服务</w:t>
      </w:r>
      <w:bookmarkEnd w:id="809"/>
      <w:bookmarkEnd w:id="810"/>
      <w:bookmarkEnd w:id="811"/>
      <w:r>
        <w:rPr>
          <w:rFonts w:hint="eastAsia" w:ascii="宋体" w:hAnsi="宋体" w:eastAsia="宋体" w:cs="宋体"/>
          <w:b w:val="0"/>
          <w:color w:val="auto"/>
          <w:sz w:val="24"/>
          <w:szCs w:val="24"/>
          <w:highlight w:val="none"/>
        </w:rPr>
        <w:t>要求</w:t>
      </w:r>
      <w:bookmarkEnd w:id="812"/>
      <w:bookmarkEnd w:id="813"/>
      <w:bookmarkEnd w:id="814"/>
      <w:bookmarkEnd w:id="815"/>
      <w:bookmarkEnd w:id="816"/>
      <w:bookmarkEnd w:id="817"/>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4.3.1 监理人提供的监理服务，应当符合国家现行有关法律、法规的规定，除专用条款另有约定外，其服务质量应符合国家现行有关标准的规定。</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  对第三方履约管理的服务目标：在专用条款中约定。</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818" w:name="_Toc487619523"/>
      <w:bookmarkStart w:id="819" w:name="_Toc341805236"/>
      <w:bookmarkStart w:id="820" w:name="_Toc356567913"/>
      <w:bookmarkStart w:id="821" w:name="_Toc487653441"/>
      <w:bookmarkStart w:id="822" w:name="_Toc488650873"/>
      <w:bookmarkStart w:id="823" w:name="_Toc487291552"/>
      <w:r>
        <w:rPr>
          <w:rFonts w:hint="eastAsia" w:ascii="宋体" w:hAnsi="宋体" w:eastAsia="宋体" w:cs="宋体"/>
          <w:color w:val="auto"/>
          <w:sz w:val="24"/>
          <w:szCs w:val="24"/>
          <w:highlight w:val="none"/>
        </w:rPr>
        <w:t>4.4</w:t>
      </w:r>
      <w:r>
        <w:rPr>
          <w:rFonts w:hint="eastAsia" w:ascii="宋体" w:hAnsi="宋体" w:eastAsia="宋体" w:cs="宋体"/>
          <w:b w:val="0"/>
          <w:color w:val="auto"/>
          <w:sz w:val="24"/>
          <w:szCs w:val="24"/>
          <w:highlight w:val="none"/>
        </w:rPr>
        <w:t xml:space="preserve">  服务内容</w:t>
      </w:r>
      <w:bookmarkEnd w:id="818"/>
      <w:bookmarkEnd w:id="819"/>
      <w:bookmarkEnd w:id="820"/>
      <w:bookmarkEnd w:id="821"/>
      <w:bookmarkEnd w:id="822"/>
      <w:bookmarkEnd w:id="823"/>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各阶段监理服务内容按现行有关标准的要求确定，对附加的、额外的监理服务按本监理合同相关条款执行。</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824" w:name="_Toc487619524"/>
      <w:bookmarkStart w:id="825" w:name="_Toc487653442"/>
      <w:bookmarkStart w:id="826" w:name="_Toc487291553"/>
      <w:bookmarkStart w:id="827" w:name="_Toc341805237"/>
      <w:bookmarkStart w:id="828" w:name="_Toc488650874"/>
      <w:bookmarkStart w:id="829" w:name="_Toc356567914"/>
      <w:r>
        <w:rPr>
          <w:rFonts w:hint="eastAsia" w:ascii="宋体" w:hAnsi="宋体" w:eastAsia="宋体" w:cs="宋体"/>
          <w:color w:val="auto"/>
          <w:sz w:val="24"/>
          <w:szCs w:val="24"/>
          <w:highlight w:val="none"/>
        </w:rPr>
        <w:t xml:space="preserve">4.5 </w:t>
      </w:r>
      <w:r>
        <w:rPr>
          <w:rFonts w:hint="eastAsia" w:ascii="宋体" w:hAnsi="宋体" w:eastAsia="宋体" w:cs="宋体"/>
          <w:b w:val="0"/>
          <w:color w:val="auto"/>
          <w:sz w:val="24"/>
          <w:szCs w:val="24"/>
          <w:highlight w:val="none"/>
        </w:rPr>
        <w:t xml:space="preserve"> 监理服务的依据</w:t>
      </w:r>
      <w:bookmarkEnd w:id="824"/>
      <w:bookmarkEnd w:id="825"/>
      <w:bookmarkEnd w:id="826"/>
      <w:bookmarkEnd w:id="827"/>
      <w:bookmarkEnd w:id="828"/>
      <w:bookmarkEnd w:id="829"/>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4.5.1  国家和行业有关法律、法规、规章。</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4.5.2  国家和行业有关标准。</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4.5.3  施工监理合同。</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4.5.4  施工承包合同。</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4.5.5  工程前期有关文件。</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4.5.6  工程设计文件和图纸。</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4.5.7  工程实施过程中有关的函件。</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830" w:name="_Toc341805238"/>
      <w:bookmarkStart w:id="831" w:name="_Toc487653443"/>
      <w:bookmarkStart w:id="832" w:name="_Toc487291554"/>
      <w:bookmarkStart w:id="833" w:name="_Toc356567915"/>
      <w:bookmarkStart w:id="834" w:name="_Toc488650875"/>
      <w:bookmarkStart w:id="835" w:name="_Toc487619525"/>
      <w:r>
        <w:rPr>
          <w:rFonts w:hint="eastAsia" w:ascii="宋体" w:hAnsi="宋体" w:eastAsia="宋体" w:cs="宋体"/>
          <w:color w:val="auto"/>
          <w:sz w:val="24"/>
          <w:szCs w:val="24"/>
          <w:highlight w:val="none"/>
        </w:rPr>
        <w:t>4.6</w:t>
      </w:r>
      <w:r>
        <w:rPr>
          <w:rFonts w:hint="eastAsia" w:ascii="宋体" w:hAnsi="宋体" w:eastAsia="宋体" w:cs="宋体"/>
          <w:b w:val="0"/>
          <w:color w:val="auto"/>
          <w:sz w:val="24"/>
          <w:szCs w:val="24"/>
          <w:highlight w:val="none"/>
        </w:rPr>
        <w:t xml:space="preserve">  监理职责</w:t>
      </w:r>
      <w:bookmarkEnd w:id="830"/>
      <w:bookmarkEnd w:id="831"/>
      <w:bookmarkEnd w:id="832"/>
      <w:bookmarkEnd w:id="833"/>
      <w:bookmarkEnd w:id="834"/>
      <w:bookmarkEnd w:id="835"/>
    </w:p>
    <w:p>
      <w:pPr>
        <w:spacing w:line="324" w:lineRule="auto"/>
        <w:ind w:firstLine="480" w:firstLineChars="200"/>
        <w:rPr>
          <w:rFonts w:ascii="宋体" w:hAnsi="宋体" w:cs="宋体"/>
          <w:color w:val="auto"/>
          <w:sz w:val="24"/>
          <w:highlight w:val="none"/>
        </w:rPr>
      </w:pPr>
      <w:bookmarkStart w:id="836" w:name="_Toc341805239"/>
      <w:bookmarkStart w:id="837" w:name="_Toc356567916"/>
      <w:r>
        <w:rPr>
          <w:rFonts w:hint="eastAsia" w:ascii="宋体" w:hAnsi="宋体" w:cs="宋体"/>
          <w:color w:val="auto"/>
          <w:sz w:val="24"/>
          <w:highlight w:val="none"/>
        </w:rPr>
        <w:t>4.6.1  监理人应本着“严格监理、优质服务、公正科学、廉洁自律”的原则，按照监理合同及相关法律、法规的要求进行监理服务。</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4.6.2  如果监理人在监理服务过程中行使的权力或所需的授权，来自于发包人和第三方签订的工程合同文件，该合同文件必须成为本监理合同的组成部分，两者之间如出现矛盾，则应编制补充说明文件一并列入监理合同。此时监理人应：</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（1）根据监理合同文件和工程合同文件进行监理服务；</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（2）根据职责范围，在发包人和第三方之间独立公正地行使上述合同文件赋予的权力；</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（3）根据上述合同文件的授权，可对相应的工程和合同事宜进行变更，但未经发包人的书面批准，不得变更工程合同文件中约定的工程标准和第三方的责任与义务。</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838" w:name="_Toc487619526"/>
      <w:bookmarkStart w:id="839" w:name="_Toc487653444"/>
      <w:bookmarkStart w:id="840" w:name="_Toc488650876"/>
      <w:bookmarkStart w:id="841" w:name="_Toc487291555"/>
      <w:r>
        <w:rPr>
          <w:rFonts w:hint="eastAsia" w:ascii="宋体" w:hAnsi="宋体" w:eastAsia="宋体" w:cs="宋体"/>
          <w:color w:val="auto"/>
          <w:sz w:val="24"/>
          <w:szCs w:val="24"/>
          <w:highlight w:val="none"/>
        </w:rPr>
        <w:t xml:space="preserve">4.7  </w:t>
      </w:r>
      <w:r>
        <w:rPr>
          <w:rFonts w:hint="eastAsia" w:ascii="宋体" w:hAnsi="宋体" w:eastAsia="宋体" w:cs="宋体"/>
          <w:b w:val="0"/>
          <w:color w:val="auto"/>
          <w:sz w:val="24"/>
          <w:szCs w:val="24"/>
          <w:highlight w:val="none"/>
        </w:rPr>
        <w:t>发包人对监理人的授权</w:t>
      </w:r>
      <w:bookmarkEnd w:id="836"/>
      <w:bookmarkEnd w:id="837"/>
      <w:bookmarkEnd w:id="838"/>
      <w:bookmarkEnd w:id="839"/>
      <w:bookmarkEnd w:id="840"/>
      <w:bookmarkEnd w:id="841"/>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发包人对监理人的授权在专用条款中约定。</w:t>
      </w:r>
    </w:p>
    <w:p>
      <w:pPr>
        <w:pStyle w:val="4"/>
        <w:spacing w:before="0" w:after="0" w:line="324" w:lineRule="auto"/>
        <w:ind w:firstLine="481" w:firstLineChars="200"/>
        <w:rPr>
          <w:rFonts w:ascii="宋体" w:hAnsi="宋体" w:eastAsia="宋体" w:cs="宋体"/>
          <w:color w:val="auto"/>
          <w:sz w:val="24"/>
          <w:szCs w:val="24"/>
          <w:highlight w:val="none"/>
        </w:rPr>
      </w:pPr>
      <w:bookmarkStart w:id="842" w:name="_Toc283558745"/>
      <w:bookmarkStart w:id="843" w:name="_Toc488650877"/>
      <w:bookmarkStart w:id="844" w:name="_Toc487619527"/>
      <w:bookmarkStart w:id="845" w:name="_Toc487291556"/>
      <w:bookmarkStart w:id="846" w:name="_Toc283559242"/>
      <w:bookmarkStart w:id="847" w:name="_Toc487653445"/>
      <w:bookmarkStart w:id="848" w:name="_Toc330384455"/>
      <w:bookmarkStart w:id="849" w:name="_Toc341805240"/>
      <w:bookmarkStart w:id="850" w:name="_Toc286759097"/>
      <w:r>
        <w:rPr>
          <w:rFonts w:hint="eastAsia" w:ascii="宋体" w:hAnsi="宋体" w:eastAsia="宋体" w:cs="宋体"/>
          <w:color w:val="auto"/>
          <w:sz w:val="24"/>
          <w:szCs w:val="24"/>
          <w:highlight w:val="none"/>
        </w:rPr>
        <w:t>5．合同的生效、终止、服务时间和期限、变更、暂停与解除</w:t>
      </w:r>
      <w:bookmarkEnd w:id="842"/>
      <w:bookmarkEnd w:id="843"/>
      <w:bookmarkEnd w:id="844"/>
      <w:bookmarkEnd w:id="845"/>
      <w:bookmarkEnd w:id="846"/>
      <w:bookmarkEnd w:id="847"/>
      <w:bookmarkEnd w:id="848"/>
      <w:bookmarkEnd w:id="849"/>
      <w:bookmarkEnd w:id="850"/>
    </w:p>
    <w:p>
      <w:pPr>
        <w:pStyle w:val="4"/>
        <w:spacing w:before="0" w:after="0" w:line="324" w:lineRule="auto"/>
        <w:ind w:firstLine="481" w:firstLineChars="200"/>
        <w:rPr>
          <w:rFonts w:ascii="宋体" w:hAnsi="宋体" w:eastAsia="宋体" w:cs="宋体"/>
          <w:b w:val="0"/>
          <w:color w:val="auto"/>
          <w:sz w:val="24"/>
          <w:szCs w:val="24"/>
          <w:highlight w:val="none"/>
        </w:rPr>
      </w:pPr>
      <w:bookmarkStart w:id="851" w:name="_Toc487653446"/>
      <w:bookmarkStart w:id="852" w:name="_Toc487619528"/>
      <w:bookmarkStart w:id="853" w:name="_Toc356567918"/>
      <w:bookmarkStart w:id="854" w:name="_Toc488650878"/>
      <w:bookmarkStart w:id="855" w:name="_Toc341805241"/>
      <w:bookmarkStart w:id="856" w:name="_Toc487291557"/>
      <w:r>
        <w:rPr>
          <w:rFonts w:hint="eastAsia" w:ascii="宋体" w:hAnsi="宋体" w:eastAsia="宋体" w:cs="宋体"/>
          <w:color w:val="auto"/>
          <w:sz w:val="24"/>
          <w:szCs w:val="24"/>
          <w:highlight w:val="none"/>
        </w:rPr>
        <w:t xml:space="preserve">5.1 </w:t>
      </w:r>
      <w:r>
        <w:rPr>
          <w:rFonts w:hint="eastAsia" w:ascii="宋体" w:hAnsi="宋体" w:eastAsia="宋体" w:cs="宋体"/>
          <w:b w:val="0"/>
          <w:color w:val="auto"/>
          <w:sz w:val="24"/>
          <w:szCs w:val="24"/>
          <w:highlight w:val="none"/>
        </w:rPr>
        <w:t xml:space="preserve"> 合同的生效</w:t>
      </w:r>
      <w:bookmarkEnd w:id="851"/>
      <w:bookmarkEnd w:id="852"/>
      <w:bookmarkEnd w:id="853"/>
      <w:bookmarkEnd w:id="854"/>
      <w:bookmarkEnd w:id="855"/>
      <w:bookmarkEnd w:id="856"/>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合同双方的法定代表人或其委托代理人在合同协议书上签字并加盖单位公章之日起，合同生效。</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857" w:name="_Toc487291558"/>
      <w:bookmarkStart w:id="858" w:name="_Toc283558747"/>
      <w:bookmarkStart w:id="859" w:name="_Toc341805242"/>
      <w:bookmarkStart w:id="860" w:name="_Toc488650879"/>
      <w:bookmarkStart w:id="861" w:name="_Toc487653447"/>
      <w:bookmarkStart w:id="862" w:name="_Toc487619529"/>
      <w:bookmarkStart w:id="863" w:name="_Toc283559244"/>
      <w:bookmarkStart w:id="864" w:name="_Toc356567919"/>
      <w:bookmarkStart w:id="865" w:name="_Toc283558746"/>
      <w:bookmarkStart w:id="866" w:name="_Toc283559243"/>
      <w:r>
        <w:rPr>
          <w:rFonts w:hint="eastAsia" w:ascii="宋体" w:hAnsi="宋体" w:eastAsia="宋体" w:cs="宋体"/>
          <w:color w:val="auto"/>
          <w:sz w:val="24"/>
          <w:szCs w:val="24"/>
          <w:highlight w:val="none"/>
        </w:rPr>
        <w:t xml:space="preserve">5.2  </w:t>
      </w:r>
      <w:r>
        <w:rPr>
          <w:rFonts w:hint="eastAsia" w:ascii="宋体" w:hAnsi="宋体" w:eastAsia="宋体" w:cs="宋体"/>
          <w:b w:val="0"/>
          <w:color w:val="auto"/>
          <w:sz w:val="24"/>
          <w:szCs w:val="24"/>
          <w:highlight w:val="none"/>
        </w:rPr>
        <w:t>合同的终止</w:t>
      </w:r>
      <w:bookmarkEnd w:id="857"/>
      <w:bookmarkEnd w:id="858"/>
      <w:bookmarkEnd w:id="859"/>
      <w:bookmarkEnd w:id="860"/>
      <w:bookmarkEnd w:id="861"/>
      <w:bookmarkEnd w:id="862"/>
      <w:bookmarkEnd w:id="863"/>
      <w:bookmarkEnd w:id="864"/>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按双方签署的合同协议书上注明的方式确定。合同的终止不应影响双方应有的权利和应承担的责任。</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867" w:name="_Toc487291559"/>
      <w:bookmarkStart w:id="868" w:name="_Toc487619530"/>
      <w:bookmarkStart w:id="869" w:name="_Toc341805243"/>
      <w:bookmarkStart w:id="870" w:name="_Toc356567920"/>
      <w:bookmarkStart w:id="871" w:name="_Toc487653448"/>
      <w:bookmarkStart w:id="872" w:name="_Toc488650880"/>
      <w:r>
        <w:rPr>
          <w:rFonts w:hint="eastAsia" w:ascii="宋体" w:hAnsi="宋体" w:eastAsia="宋体" w:cs="宋体"/>
          <w:color w:val="auto"/>
          <w:sz w:val="24"/>
          <w:szCs w:val="24"/>
          <w:highlight w:val="none"/>
        </w:rPr>
        <w:t xml:space="preserve">5.3 </w:t>
      </w:r>
      <w:r>
        <w:rPr>
          <w:rFonts w:hint="eastAsia" w:ascii="宋体" w:hAnsi="宋体" w:eastAsia="宋体" w:cs="宋体"/>
          <w:b w:val="0"/>
          <w:color w:val="auto"/>
          <w:sz w:val="24"/>
          <w:szCs w:val="24"/>
          <w:highlight w:val="none"/>
        </w:rPr>
        <w:t xml:space="preserve"> 监理服务的时间和期限</w:t>
      </w:r>
      <w:bookmarkEnd w:id="865"/>
      <w:bookmarkEnd w:id="866"/>
      <w:bookmarkEnd w:id="867"/>
      <w:bookmarkEnd w:id="868"/>
      <w:bookmarkEnd w:id="869"/>
      <w:bookmarkEnd w:id="870"/>
      <w:bookmarkEnd w:id="871"/>
      <w:bookmarkEnd w:id="872"/>
      <w:r>
        <w:rPr>
          <w:rFonts w:hint="eastAsia" w:ascii="宋体" w:hAnsi="宋体" w:eastAsia="宋体" w:cs="宋体"/>
          <w:b w:val="0"/>
          <w:color w:val="auto"/>
          <w:sz w:val="24"/>
          <w:szCs w:val="24"/>
          <w:highlight w:val="none"/>
        </w:rPr>
        <w:t xml:space="preserve">  </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监理服务的时间和期限按专用条款的约定。</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873" w:name="_Toc487619531"/>
      <w:bookmarkStart w:id="874" w:name="_Toc283558748"/>
      <w:bookmarkStart w:id="875" w:name="_Toc487291560"/>
      <w:bookmarkStart w:id="876" w:name="_Toc341805244"/>
      <w:bookmarkStart w:id="877" w:name="_Toc356567921"/>
      <w:bookmarkStart w:id="878" w:name="_Toc488650881"/>
      <w:bookmarkStart w:id="879" w:name="_Toc283559245"/>
      <w:bookmarkStart w:id="880" w:name="_Toc487653449"/>
      <w:r>
        <w:rPr>
          <w:rFonts w:hint="eastAsia" w:ascii="宋体" w:hAnsi="宋体" w:eastAsia="宋体" w:cs="宋体"/>
          <w:color w:val="auto"/>
          <w:sz w:val="24"/>
          <w:szCs w:val="24"/>
          <w:highlight w:val="none"/>
        </w:rPr>
        <w:t>5.4</w:t>
      </w:r>
      <w:r>
        <w:rPr>
          <w:rFonts w:hint="eastAsia" w:ascii="宋体" w:hAnsi="宋体" w:eastAsia="宋体" w:cs="宋体"/>
          <w:b w:val="0"/>
          <w:color w:val="auto"/>
          <w:sz w:val="24"/>
          <w:szCs w:val="24"/>
          <w:highlight w:val="none"/>
        </w:rPr>
        <w:t xml:space="preserve">  合同的变更</w:t>
      </w:r>
      <w:bookmarkEnd w:id="873"/>
      <w:bookmarkEnd w:id="874"/>
      <w:bookmarkEnd w:id="875"/>
      <w:bookmarkEnd w:id="876"/>
      <w:bookmarkEnd w:id="877"/>
      <w:bookmarkEnd w:id="878"/>
      <w:bookmarkEnd w:id="879"/>
      <w:bookmarkEnd w:id="880"/>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5.4.1  任何一方提出申请并经双方书面同意后，可对本合同进行变更，并以书面形式记录变更内容。</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5.4.2  发包人可书面要求改变本合同约定的监理机构形式、服务范围与服务内容，但必须在双方协商一致的基础上，按照本合同的约定进行变更，并签订补充协议。</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5.4.3  因发包人或第三方的责任，阻碍或延误了监理人履行监理服务，监理人应及时将该情况与其可能产生的影响书面通知发包人，必要时，在双方协商一致的基础上对合同进行相应的变更。上述情况导致增加的监理服务工作量或工作时间，其费用按合同条款约定进行调整。</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5.4.4  项目实际开工时间晚于合同约定开工时间90日，或非监理人因素导致监理服务期限超过约定期限90日而引起监理服务费用增加的，发包人应按合同条款约定对费用进行调整。</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5.4.5  在签订本监理合同后，因物价变动等因素而引起监理服务费用的变化，发包人应按合同条款约定对费用进行调整。</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5.4.6  在签订本监理合同后，因国家或地方政府的法律、法规变动而引起监理服务费用的增加或服务时间的延长，发包人应按合同条款约定对费用进行调整。</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881" w:name="_Toc487291561"/>
      <w:bookmarkStart w:id="882" w:name="_Toc487653450"/>
      <w:bookmarkStart w:id="883" w:name="_Toc341805245"/>
      <w:bookmarkStart w:id="884" w:name="_Toc488650882"/>
      <w:bookmarkStart w:id="885" w:name="_Toc356567922"/>
      <w:bookmarkStart w:id="886" w:name="_Toc487619532"/>
      <w:r>
        <w:rPr>
          <w:rFonts w:hint="eastAsia" w:ascii="宋体" w:hAnsi="宋体" w:eastAsia="宋体" w:cs="宋体"/>
          <w:color w:val="auto"/>
          <w:sz w:val="24"/>
          <w:szCs w:val="24"/>
          <w:highlight w:val="none"/>
        </w:rPr>
        <w:t xml:space="preserve">5.5 </w:t>
      </w:r>
      <w:r>
        <w:rPr>
          <w:rFonts w:hint="eastAsia" w:ascii="宋体" w:hAnsi="宋体" w:eastAsia="宋体" w:cs="宋体"/>
          <w:b w:val="0"/>
          <w:color w:val="auto"/>
          <w:sz w:val="24"/>
          <w:szCs w:val="24"/>
          <w:highlight w:val="none"/>
        </w:rPr>
        <w:t xml:space="preserve"> 合同的暂停与解除</w:t>
      </w:r>
      <w:bookmarkEnd w:id="881"/>
      <w:bookmarkEnd w:id="882"/>
      <w:bookmarkEnd w:id="883"/>
      <w:bookmarkEnd w:id="884"/>
      <w:bookmarkEnd w:id="885"/>
      <w:bookmarkEnd w:id="886"/>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5.5.l  出现根据本合同的约定不应由监理人负责的情况，致使监理人不能继续履行全部或部分监理服务时，监理人应立即书面通知发包人，且应满足下列要求：</w:t>
      </w:r>
      <w:bookmarkStart w:id="887" w:name="_Toc286759098"/>
      <w:bookmarkStart w:id="888" w:name="_Toc283559246"/>
      <w:bookmarkStart w:id="889" w:name="_Toc283558749"/>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（1）不得不暂停或减缓某些监理服务时，则上述服务的完成期限应予以延长，因此而增加的监理服务工作量或延长的服务时间，发包人应按合同条款约定进行调整。</w:t>
      </w:r>
      <w:bookmarkEnd w:id="887"/>
      <w:bookmarkEnd w:id="888"/>
      <w:bookmarkEnd w:id="889"/>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全部监理服务已无法继续履行时，发包人在收到监理人书面通知28日之后未回应的，监理人应再次发出书面通知，14日后仍未回应的，监理人有权单方面解除本合同，因此增加的监理服务工作量所涉及费用，发包人应按合同条款约定进行调整，同时应及时向监理人返还全部或剩余部分的履约保证金。</w:t>
      </w:r>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890" w:name="_Toc356567923"/>
      <w:bookmarkStart w:id="891" w:name="_Toc283559247"/>
      <w:bookmarkStart w:id="892" w:name="_Toc330384456"/>
      <w:bookmarkStart w:id="893" w:name="_Toc341805246"/>
      <w:bookmarkStart w:id="894" w:name="_Toc283558750"/>
      <w:bookmarkStart w:id="895" w:name="_Toc286759099"/>
      <w:bookmarkStart w:id="896" w:name="_Toc336172226"/>
      <w:bookmarkStart w:id="897" w:name="_Toc341015621"/>
      <w:r>
        <w:rPr>
          <w:rFonts w:hint="eastAsia" w:ascii="宋体" w:hAnsi="宋体" w:cs="宋体"/>
          <w:color w:val="auto"/>
          <w:sz w:val="24"/>
          <w:highlight w:val="none"/>
        </w:rPr>
        <w:t>（3）因不可抗力致使本合同不能履行或只能部分履行时，一方应立即书面通知另一方，暂停或解除合同。不可抗力是指监理人和发包人在订立合同时不可预见，在工程实施过程中不可避免发生并不能克服的自然灾害和社会性突发事件，如地震、海啸、瘟疫、特大水灾、骚乱、暴动、战争和专用合同条款约定的其他情形。</w:t>
      </w:r>
      <w:bookmarkEnd w:id="890"/>
      <w:bookmarkEnd w:id="891"/>
      <w:bookmarkEnd w:id="892"/>
      <w:bookmarkEnd w:id="893"/>
      <w:bookmarkEnd w:id="894"/>
      <w:bookmarkEnd w:id="895"/>
      <w:bookmarkEnd w:id="896"/>
      <w:bookmarkEnd w:id="897"/>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5.5.2  发包人要求监理人全部或部分暂停监理服务或解除本合同时，必须在56日之前发出书面通知。监理人在接到通知后，应立即按通知要求停止全部或该部分监理服务，并将相关费用开支减至最小。因此引起的费用变化，由双方协商后确定，并及时向监理人返还全部或剩余部分的履约保证金。</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5.5.3  监理人无正当的理由，未根据合同的约定履行全部或部分监理服务，发包人可书面要求监理人予以解释。若监理人在28日内未能给予合理的答复，发包人可在进一步发出书面通知14日后，单方面解除本合同，并视情况没收监理人的全部或部分履约保证金。</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5.5.4  发包人拖延支付监理服务费用，并已超过合同条款约定支付期限后28日，或根据本合同条款第5.5.l（l）项或第5.5.2款的约定，暂停监理服务已超过180日，监理人可书面要求发包人予以解释。若发包人在28日内未能根据本监理合同给予合理的答复，监理人可在进一步发出书面通知14日后，单方面解除本监理合同或自行暂停全部或部分监理服务。因此增加的监理服务工作量所涉及的费用，发包人应按合同条款约定进行调整，并及时向监理人返还全部或剩余部分的履约保证金。</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5.5.5  合同的解除，不得损害或影响双方根据本监理合同应有的义务、责任、权力和利益。</w:t>
      </w:r>
    </w:p>
    <w:p>
      <w:pPr>
        <w:pStyle w:val="4"/>
        <w:spacing w:before="0" w:after="0" w:line="324" w:lineRule="auto"/>
        <w:ind w:firstLine="481" w:firstLineChars="200"/>
        <w:rPr>
          <w:rFonts w:ascii="宋体" w:hAnsi="宋体" w:eastAsia="宋体" w:cs="宋体"/>
          <w:color w:val="auto"/>
          <w:sz w:val="24"/>
          <w:szCs w:val="24"/>
          <w:highlight w:val="none"/>
        </w:rPr>
      </w:pPr>
      <w:bookmarkStart w:id="898" w:name="_Toc341805247"/>
      <w:bookmarkStart w:id="899" w:name="_Toc487653451"/>
      <w:bookmarkStart w:id="900" w:name="_Toc330384457"/>
      <w:bookmarkStart w:id="901" w:name="_Toc487291562"/>
      <w:bookmarkStart w:id="902" w:name="_Toc488650883"/>
      <w:bookmarkStart w:id="903" w:name="_Toc487619533"/>
      <w:r>
        <w:rPr>
          <w:rFonts w:hint="eastAsia" w:ascii="宋体" w:hAnsi="宋体" w:eastAsia="宋体" w:cs="宋体"/>
          <w:color w:val="auto"/>
          <w:sz w:val="24"/>
          <w:szCs w:val="24"/>
          <w:highlight w:val="none"/>
        </w:rPr>
        <w:t>6．监理服务费计量与支付</w:t>
      </w:r>
      <w:bookmarkEnd w:id="898"/>
      <w:bookmarkEnd w:id="899"/>
      <w:bookmarkEnd w:id="900"/>
      <w:bookmarkEnd w:id="901"/>
      <w:bookmarkEnd w:id="902"/>
      <w:bookmarkEnd w:id="903"/>
    </w:p>
    <w:p>
      <w:pPr>
        <w:pStyle w:val="4"/>
        <w:spacing w:before="0" w:after="0" w:line="324" w:lineRule="auto"/>
        <w:ind w:firstLine="481" w:firstLineChars="200"/>
        <w:rPr>
          <w:rFonts w:ascii="宋体" w:hAnsi="宋体" w:eastAsia="宋体" w:cs="宋体"/>
          <w:b w:val="0"/>
          <w:color w:val="auto"/>
          <w:sz w:val="24"/>
          <w:szCs w:val="24"/>
          <w:highlight w:val="none"/>
        </w:rPr>
      </w:pPr>
      <w:bookmarkStart w:id="904" w:name="_Toc341805248"/>
      <w:bookmarkStart w:id="905" w:name="_Toc487653452"/>
      <w:bookmarkStart w:id="906" w:name="_Toc488650884"/>
      <w:bookmarkStart w:id="907" w:name="_Toc487619534"/>
      <w:bookmarkStart w:id="908" w:name="_Toc356567925"/>
      <w:bookmarkStart w:id="909" w:name="_Toc487291563"/>
      <w:r>
        <w:rPr>
          <w:rFonts w:hint="eastAsia" w:ascii="宋体" w:hAnsi="宋体" w:eastAsia="宋体" w:cs="宋体"/>
          <w:color w:val="auto"/>
          <w:sz w:val="24"/>
          <w:szCs w:val="24"/>
          <w:highlight w:val="none"/>
        </w:rPr>
        <w:t>6.1</w:t>
      </w:r>
      <w:r>
        <w:rPr>
          <w:rFonts w:hint="eastAsia" w:ascii="宋体" w:hAnsi="宋体" w:eastAsia="宋体" w:cs="宋体"/>
          <w:b w:val="0"/>
          <w:color w:val="auto"/>
          <w:sz w:val="24"/>
          <w:szCs w:val="24"/>
          <w:highlight w:val="none"/>
        </w:rPr>
        <w:t xml:space="preserve">  计算方法</w:t>
      </w:r>
      <w:bookmarkEnd w:id="904"/>
      <w:bookmarkEnd w:id="905"/>
      <w:bookmarkEnd w:id="906"/>
      <w:bookmarkEnd w:id="907"/>
      <w:bookmarkEnd w:id="908"/>
      <w:bookmarkEnd w:id="909"/>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监理服务费用由正常监理服务、附加监理服务和额外服务三个方面的监理费用组成。</w:t>
      </w:r>
    </w:p>
    <w:p>
      <w:pPr>
        <w:autoSpaceDE w:val="0"/>
        <w:autoSpaceDN w:val="0"/>
        <w:adjustRightInd w:val="0"/>
        <w:snapToGrid w:val="0"/>
        <w:spacing w:line="324" w:lineRule="auto"/>
        <w:ind w:firstLine="480" w:firstLineChars="200"/>
        <w:outlineLvl w:val="0"/>
        <w:rPr>
          <w:rFonts w:ascii="宋体" w:hAnsi="宋体" w:cs="宋体"/>
          <w:color w:val="auto"/>
          <w:sz w:val="24"/>
          <w:highlight w:val="none"/>
        </w:rPr>
      </w:pPr>
      <w:bookmarkStart w:id="910" w:name="_Toc487653453"/>
      <w:bookmarkStart w:id="911" w:name="_Toc286759101"/>
      <w:bookmarkStart w:id="912" w:name="_Toc283558752"/>
      <w:bookmarkStart w:id="913" w:name="_Toc336172229"/>
      <w:bookmarkStart w:id="914" w:name="_Toc488650885"/>
      <w:bookmarkStart w:id="915" w:name="_Toc330384458"/>
      <w:bookmarkStart w:id="916" w:name="_Toc487291564"/>
      <w:bookmarkStart w:id="917" w:name="_Toc487619535"/>
      <w:bookmarkStart w:id="918" w:name="_Toc356567926"/>
      <w:bookmarkStart w:id="919" w:name="_Toc341015624"/>
      <w:bookmarkStart w:id="920" w:name="_Toc341805249"/>
      <w:bookmarkStart w:id="921" w:name="_Toc283559249"/>
      <w:r>
        <w:rPr>
          <w:rFonts w:hint="eastAsia" w:ascii="宋体" w:hAnsi="宋体" w:cs="宋体"/>
          <w:color w:val="auto"/>
          <w:sz w:val="24"/>
          <w:highlight w:val="none"/>
        </w:rPr>
        <w:t>6.1.1  正常监理服务的费用</w:t>
      </w:r>
      <w:bookmarkEnd w:id="910"/>
      <w:bookmarkEnd w:id="911"/>
      <w:bookmarkEnd w:id="912"/>
      <w:bookmarkEnd w:id="913"/>
      <w:bookmarkEnd w:id="914"/>
      <w:bookmarkEnd w:id="915"/>
      <w:bookmarkEnd w:id="916"/>
      <w:bookmarkEnd w:id="917"/>
      <w:bookmarkEnd w:id="918"/>
      <w:bookmarkEnd w:id="919"/>
      <w:bookmarkEnd w:id="920"/>
      <w:bookmarkEnd w:id="921"/>
    </w:p>
    <w:p>
      <w:pPr>
        <w:spacing w:line="324"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正常监理服务费用为施工准备阶段、施工阶段、交工验收与缺陷责任期阶段的监理服务全部费用，应根据招标文件第二章投标人须知第3.2条计算。缺陷责任期阶段监理服务时间应以实际发生的工日数为准。</w:t>
      </w:r>
    </w:p>
    <w:p>
      <w:pPr>
        <w:autoSpaceDE w:val="0"/>
        <w:autoSpaceDN w:val="0"/>
        <w:adjustRightInd w:val="0"/>
        <w:snapToGrid w:val="0"/>
        <w:spacing w:line="324" w:lineRule="auto"/>
        <w:ind w:firstLine="480" w:firstLineChars="200"/>
        <w:outlineLvl w:val="0"/>
        <w:rPr>
          <w:rFonts w:ascii="宋体" w:hAnsi="宋体" w:cs="宋体"/>
          <w:color w:val="auto"/>
          <w:sz w:val="24"/>
          <w:highlight w:val="none"/>
        </w:rPr>
      </w:pPr>
      <w:bookmarkStart w:id="922" w:name="_Toc341805250"/>
      <w:bookmarkStart w:id="923" w:name="_Toc487291565"/>
      <w:bookmarkStart w:id="924" w:name="_Toc283558753"/>
      <w:bookmarkStart w:id="925" w:name="_Toc487653454"/>
      <w:bookmarkStart w:id="926" w:name="_Toc487619536"/>
      <w:bookmarkStart w:id="927" w:name="_Toc341015625"/>
      <w:bookmarkStart w:id="928" w:name="_Toc286759102"/>
      <w:bookmarkStart w:id="929" w:name="_Toc356567927"/>
      <w:bookmarkStart w:id="930" w:name="_Toc488650886"/>
      <w:bookmarkStart w:id="931" w:name="_Toc283559250"/>
      <w:bookmarkStart w:id="932" w:name="_Toc336172230"/>
      <w:bookmarkStart w:id="933" w:name="_Toc330384459"/>
      <w:r>
        <w:rPr>
          <w:rFonts w:hint="eastAsia" w:ascii="宋体" w:hAnsi="宋体" w:cs="宋体"/>
          <w:color w:val="auto"/>
          <w:sz w:val="24"/>
          <w:highlight w:val="none"/>
        </w:rPr>
        <w:t>6.1.2  附加监理服务的费用</w:t>
      </w:r>
      <w:bookmarkEnd w:id="922"/>
      <w:bookmarkEnd w:id="923"/>
      <w:bookmarkEnd w:id="924"/>
      <w:bookmarkEnd w:id="925"/>
      <w:bookmarkEnd w:id="926"/>
      <w:bookmarkEnd w:id="927"/>
      <w:bookmarkEnd w:id="928"/>
      <w:bookmarkEnd w:id="929"/>
      <w:bookmarkEnd w:id="930"/>
      <w:bookmarkEnd w:id="931"/>
      <w:bookmarkEnd w:id="932"/>
      <w:bookmarkEnd w:id="933"/>
    </w:p>
    <w:p>
      <w:pPr>
        <w:spacing w:line="324"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附加监理服务费用应按下列方法计算，具体方法的选用在专用条款中约定。</w:t>
      </w:r>
    </w:p>
    <w:p>
      <w:pPr>
        <w:spacing w:line="324"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（1）附加工程工作量乘以中标时施工阶段监理服务费与计费额的比值。</w:t>
      </w:r>
    </w:p>
    <w:p>
      <w:pPr>
        <w:spacing w:line="324"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（2）附加服务工作日数乘以中标时施工阶段监理服务人月平均费用与法定每月工作日数的比值。</w:t>
      </w:r>
    </w:p>
    <w:p>
      <w:pPr>
        <w:spacing w:line="324"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（3）提供的服务要求变化：服务要求变化部分所对应的监理服务费乘以调整系数，若服务要求高于原招标文件要求的，调整系数大于1，反之则小于1，具体由合同双方根据实际情况商定。</w:t>
      </w:r>
    </w:p>
    <w:p>
      <w:pPr>
        <w:autoSpaceDE w:val="0"/>
        <w:autoSpaceDN w:val="0"/>
        <w:adjustRightInd w:val="0"/>
        <w:snapToGrid w:val="0"/>
        <w:spacing w:line="324" w:lineRule="auto"/>
        <w:ind w:firstLine="480" w:firstLineChars="200"/>
        <w:outlineLvl w:val="0"/>
        <w:rPr>
          <w:rFonts w:ascii="宋体" w:hAnsi="宋体" w:cs="宋体"/>
          <w:color w:val="auto"/>
          <w:sz w:val="24"/>
          <w:highlight w:val="none"/>
        </w:rPr>
      </w:pPr>
      <w:bookmarkStart w:id="934" w:name="_Toc487291566"/>
      <w:bookmarkStart w:id="935" w:name="_Toc283558754"/>
      <w:bookmarkStart w:id="936" w:name="_Toc336172231"/>
      <w:bookmarkStart w:id="937" w:name="_Toc341805251"/>
      <w:bookmarkStart w:id="938" w:name="_Toc283559251"/>
      <w:bookmarkStart w:id="939" w:name="_Toc487619537"/>
      <w:bookmarkStart w:id="940" w:name="_Toc487653455"/>
      <w:bookmarkStart w:id="941" w:name="_Toc286759103"/>
      <w:bookmarkStart w:id="942" w:name="_Toc356567928"/>
      <w:bookmarkStart w:id="943" w:name="_Toc330384460"/>
      <w:bookmarkStart w:id="944" w:name="_Toc488650887"/>
      <w:bookmarkStart w:id="945" w:name="_Toc341015626"/>
      <w:r>
        <w:rPr>
          <w:rFonts w:hint="eastAsia" w:ascii="宋体" w:hAnsi="宋体" w:cs="宋体"/>
          <w:color w:val="auto"/>
          <w:sz w:val="24"/>
          <w:highlight w:val="none"/>
        </w:rPr>
        <w:t>6.1.3  额外服务的费用</w:t>
      </w:r>
      <w:bookmarkEnd w:id="934"/>
      <w:bookmarkEnd w:id="935"/>
      <w:bookmarkEnd w:id="936"/>
      <w:bookmarkEnd w:id="937"/>
      <w:bookmarkEnd w:id="938"/>
      <w:bookmarkEnd w:id="939"/>
      <w:bookmarkEnd w:id="940"/>
      <w:bookmarkEnd w:id="941"/>
      <w:bookmarkEnd w:id="942"/>
      <w:bookmarkEnd w:id="943"/>
      <w:bookmarkEnd w:id="944"/>
      <w:bookmarkEnd w:id="945"/>
    </w:p>
    <w:p>
      <w:pPr>
        <w:spacing w:line="324" w:lineRule="auto"/>
        <w:ind w:firstLine="480" w:firstLineChars="200"/>
        <w:jc w:val="left"/>
        <w:rPr>
          <w:rFonts w:ascii="宋体" w:hAnsi="宋体" w:cs="宋体"/>
          <w:color w:val="auto"/>
          <w:sz w:val="24"/>
          <w:highlight w:val="none"/>
        </w:rPr>
      </w:pPr>
      <w:bookmarkStart w:id="946" w:name="_Toc330384461"/>
      <w:bookmarkStart w:id="947" w:name="_Toc341015627"/>
      <w:bookmarkStart w:id="948" w:name="_Toc356567929"/>
      <w:bookmarkStart w:id="949" w:name="_Toc336172232"/>
      <w:bookmarkStart w:id="950" w:name="_Toc341805252"/>
      <w:r>
        <w:rPr>
          <w:rFonts w:hint="eastAsia" w:ascii="宋体" w:hAnsi="宋体" w:cs="宋体"/>
          <w:color w:val="auto"/>
          <w:sz w:val="24"/>
          <w:highlight w:val="none"/>
        </w:rPr>
        <w:t>额外服务费用应按下列方法计算，具体方法的选用在专用条款中约定。</w:t>
      </w:r>
      <w:bookmarkEnd w:id="946"/>
      <w:bookmarkEnd w:id="947"/>
      <w:bookmarkEnd w:id="948"/>
      <w:bookmarkEnd w:id="949"/>
      <w:bookmarkEnd w:id="950"/>
    </w:p>
    <w:p>
      <w:pPr>
        <w:spacing w:line="324"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（1）额外工作工作量乘以中标时施工阶段监理服务费与计费额的比值。</w:t>
      </w:r>
    </w:p>
    <w:p>
      <w:pPr>
        <w:spacing w:line="324"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（2）额外服务工作日数乘以中标时施工阶段监理服务人月平均费用与法定每月工作日数的比值。</w:t>
      </w:r>
    </w:p>
    <w:p>
      <w:pPr>
        <w:autoSpaceDE w:val="0"/>
        <w:autoSpaceDN w:val="0"/>
        <w:adjustRightInd w:val="0"/>
        <w:snapToGrid w:val="0"/>
        <w:spacing w:line="324" w:lineRule="auto"/>
        <w:ind w:firstLine="480" w:firstLineChars="200"/>
        <w:outlineLvl w:val="0"/>
        <w:rPr>
          <w:rFonts w:ascii="宋体" w:hAnsi="宋体" w:cs="宋体"/>
          <w:color w:val="auto"/>
          <w:sz w:val="24"/>
          <w:highlight w:val="none"/>
        </w:rPr>
      </w:pPr>
      <w:bookmarkStart w:id="951" w:name="_Toc487291567"/>
      <w:bookmarkStart w:id="952" w:name="_Toc286759104"/>
      <w:bookmarkStart w:id="953" w:name="_Toc341015628"/>
      <w:bookmarkStart w:id="954" w:name="_Toc356567930"/>
      <w:bookmarkStart w:id="955" w:name="_Toc283559252"/>
      <w:bookmarkStart w:id="956" w:name="_Toc283558755"/>
      <w:bookmarkStart w:id="957" w:name="_Toc330384462"/>
      <w:bookmarkStart w:id="958" w:name="_Toc487619538"/>
      <w:bookmarkStart w:id="959" w:name="_Toc487653456"/>
      <w:bookmarkStart w:id="960" w:name="_Toc488650888"/>
      <w:bookmarkStart w:id="961" w:name="_Toc336172233"/>
      <w:bookmarkStart w:id="962" w:name="_Toc341805253"/>
      <w:r>
        <w:rPr>
          <w:rFonts w:hint="eastAsia" w:ascii="宋体" w:hAnsi="宋体" w:cs="宋体"/>
          <w:color w:val="auto"/>
          <w:sz w:val="24"/>
          <w:highlight w:val="none"/>
        </w:rPr>
        <w:t>6.1.4  监理服务费的调整</w:t>
      </w:r>
      <w:bookmarkEnd w:id="951"/>
      <w:bookmarkEnd w:id="952"/>
      <w:bookmarkEnd w:id="953"/>
      <w:bookmarkEnd w:id="954"/>
      <w:bookmarkEnd w:id="955"/>
      <w:bookmarkEnd w:id="956"/>
      <w:bookmarkEnd w:id="957"/>
      <w:bookmarkEnd w:id="958"/>
      <w:bookmarkEnd w:id="959"/>
      <w:bookmarkEnd w:id="960"/>
      <w:bookmarkEnd w:id="961"/>
      <w:bookmarkEnd w:id="962"/>
    </w:p>
    <w:p>
      <w:pPr>
        <w:spacing w:line="324"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增加附加监理服务、额外服务或工程概算调整时，监理服务费应进行调整。附加监理服务费用应按第6.1.2款约定进行调整，额外服务费用应按第6.1.3款约定予以调整。工程概算调整时，施工阶段监理服务费用应依据现行建设工程监理与相关服务收费管理规定，以调整后计费额所对应的基价，按中标时监理人所报专业程度调整系数、工程复杂程度调整系数、高程调整系数及浮动幅度值进行计算调整。</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963" w:name="_Toc487653457"/>
      <w:bookmarkStart w:id="964" w:name="_Toc487291568"/>
      <w:bookmarkStart w:id="965" w:name="_Toc341805254"/>
      <w:bookmarkStart w:id="966" w:name="_Toc487619539"/>
      <w:bookmarkStart w:id="967" w:name="_Toc488650889"/>
      <w:bookmarkStart w:id="968" w:name="_Toc356567931"/>
      <w:r>
        <w:rPr>
          <w:rFonts w:hint="eastAsia" w:ascii="宋体" w:hAnsi="宋体" w:eastAsia="宋体" w:cs="宋体"/>
          <w:color w:val="auto"/>
          <w:sz w:val="24"/>
          <w:szCs w:val="24"/>
          <w:highlight w:val="none"/>
        </w:rPr>
        <w:t xml:space="preserve">6.2 </w:t>
      </w:r>
      <w:r>
        <w:rPr>
          <w:rFonts w:hint="eastAsia" w:ascii="宋体" w:hAnsi="宋体" w:eastAsia="宋体" w:cs="宋体"/>
          <w:b w:val="0"/>
          <w:color w:val="auto"/>
          <w:sz w:val="24"/>
          <w:szCs w:val="24"/>
          <w:highlight w:val="none"/>
        </w:rPr>
        <w:t xml:space="preserve"> 暂列金额</w:t>
      </w:r>
      <w:bookmarkEnd w:id="963"/>
      <w:bookmarkEnd w:id="964"/>
      <w:bookmarkEnd w:id="965"/>
      <w:bookmarkEnd w:id="966"/>
      <w:bookmarkEnd w:id="967"/>
      <w:bookmarkEnd w:id="968"/>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969" w:name="_Toc356567932"/>
      <w:bookmarkStart w:id="970" w:name="_Toc341015630"/>
      <w:bookmarkStart w:id="971" w:name="_Toc341805255"/>
      <w:r>
        <w:rPr>
          <w:rFonts w:hint="eastAsia" w:ascii="宋体" w:hAnsi="宋体" w:cs="宋体"/>
          <w:color w:val="auto"/>
          <w:sz w:val="24"/>
          <w:highlight w:val="none"/>
        </w:rPr>
        <w:t>暂列金额需双方协商签订补充协议后使用，并对合同价格进行相应调整。暂列金额额度见专用条款约定。</w:t>
      </w:r>
      <w:bookmarkEnd w:id="969"/>
      <w:bookmarkEnd w:id="970"/>
      <w:bookmarkEnd w:id="971"/>
    </w:p>
    <w:p>
      <w:pPr>
        <w:pStyle w:val="4"/>
        <w:spacing w:before="0" w:after="0" w:line="324" w:lineRule="auto"/>
        <w:ind w:firstLine="481" w:firstLineChars="200"/>
        <w:rPr>
          <w:rFonts w:ascii="宋体" w:hAnsi="宋体" w:eastAsia="宋体" w:cs="宋体"/>
          <w:b w:val="0"/>
          <w:color w:val="auto"/>
          <w:sz w:val="24"/>
          <w:szCs w:val="24"/>
          <w:highlight w:val="none"/>
        </w:rPr>
      </w:pPr>
      <w:bookmarkStart w:id="972" w:name="_Toc487619540"/>
      <w:bookmarkStart w:id="973" w:name="_Toc487653458"/>
      <w:bookmarkStart w:id="974" w:name="_Toc341805256"/>
      <w:bookmarkStart w:id="975" w:name="_Toc488650890"/>
      <w:bookmarkStart w:id="976" w:name="_Toc487291569"/>
      <w:bookmarkStart w:id="977" w:name="_Toc356567933"/>
      <w:r>
        <w:rPr>
          <w:rFonts w:hint="eastAsia" w:ascii="宋体" w:hAnsi="宋体" w:eastAsia="宋体" w:cs="宋体"/>
          <w:color w:val="auto"/>
          <w:sz w:val="24"/>
          <w:szCs w:val="24"/>
          <w:highlight w:val="none"/>
        </w:rPr>
        <w:t>6.3</w:t>
      </w:r>
      <w:r>
        <w:rPr>
          <w:rFonts w:hint="eastAsia" w:ascii="宋体" w:hAnsi="宋体" w:eastAsia="宋体" w:cs="宋体"/>
          <w:b w:val="0"/>
          <w:color w:val="auto"/>
          <w:sz w:val="24"/>
          <w:szCs w:val="24"/>
          <w:highlight w:val="none"/>
        </w:rPr>
        <w:t xml:space="preserve">  支付</w:t>
      </w:r>
      <w:bookmarkEnd w:id="972"/>
      <w:bookmarkEnd w:id="973"/>
      <w:bookmarkEnd w:id="974"/>
      <w:bookmarkEnd w:id="975"/>
      <w:bookmarkEnd w:id="976"/>
      <w:bookmarkEnd w:id="977"/>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978" w:name="_Toc356567934"/>
      <w:bookmarkStart w:id="979" w:name="_Toc341015632"/>
      <w:bookmarkStart w:id="980" w:name="_Toc341805257"/>
      <w:bookmarkStart w:id="981" w:name="_Toc283559253"/>
      <w:bookmarkStart w:id="982" w:name="_Toc283558756"/>
      <w:r>
        <w:rPr>
          <w:rFonts w:hint="eastAsia" w:ascii="宋体" w:hAnsi="宋体" w:cs="宋体"/>
          <w:color w:val="auto"/>
          <w:sz w:val="24"/>
          <w:highlight w:val="none"/>
        </w:rPr>
        <w:t>6.3.1  第一次付款</w:t>
      </w:r>
      <w:bookmarkEnd w:id="978"/>
      <w:bookmarkEnd w:id="979"/>
      <w:bookmarkEnd w:id="980"/>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983" w:name="_Toc356567935"/>
      <w:bookmarkStart w:id="984" w:name="_Toc341015633"/>
      <w:bookmarkStart w:id="985" w:name="_Toc341805258"/>
      <w:r>
        <w:rPr>
          <w:rFonts w:hint="eastAsia" w:ascii="宋体" w:hAnsi="宋体" w:cs="宋体"/>
          <w:color w:val="auto"/>
          <w:sz w:val="24"/>
          <w:highlight w:val="none"/>
        </w:rPr>
        <w:t>为使监理服务能够及时开展，发包人应在监理合同签订后7日内按监理服务费总额的10~20﹪向监理人支付第一次付款，具体比例在专用条款约定。</w:t>
      </w:r>
      <w:bookmarkEnd w:id="983"/>
      <w:bookmarkEnd w:id="984"/>
      <w:bookmarkEnd w:id="985"/>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986" w:name="_Toc356567936"/>
      <w:bookmarkStart w:id="987" w:name="_Toc341805259"/>
      <w:r>
        <w:rPr>
          <w:rFonts w:hint="eastAsia" w:ascii="宋体" w:hAnsi="宋体" w:cs="宋体"/>
          <w:color w:val="auto"/>
          <w:sz w:val="24"/>
          <w:highlight w:val="none"/>
        </w:rPr>
        <w:t>6.3.2  计量支付</w:t>
      </w:r>
      <w:bookmarkEnd w:id="986"/>
      <w:bookmarkEnd w:id="987"/>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988" w:name="_Toc341805260"/>
      <w:bookmarkStart w:id="989" w:name="_Toc356567937"/>
      <w:r>
        <w:rPr>
          <w:rFonts w:hint="eastAsia" w:ascii="宋体" w:hAnsi="宋体" w:cs="宋体"/>
          <w:color w:val="auto"/>
          <w:sz w:val="24"/>
          <w:highlight w:val="none"/>
        </w:rPr>
        <w:t>（1）除非专用条款另有约定，施工阶段监理服务费在合同约定的正常施工阶段期限内按月平均计量支付。</w:t>
      </w:r>
      <w:bookmarkEnd w:id="988"/>
      <w:bookmarkEnd w:id="989"/>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990" w:name="_Toc341805261"/>
      <w:bookmarkStart w:id="991" w:name="_Toc356567938"/>
      <w:r>
        <w:rPr>
          <w:rFonts w:hint="eastAsia" w:ascii="宋体" w:hAnsi="宋体" w:cs="宋体"/>
          <w:color w:val="auto"/>
          <w:sz w:val="24"/>
          <w:highlight w:val="none"/>
        </w:rPr>
        <w:t>（2）监理人于每月7日前将上月监理服务费支付申请提交发包人，发包人应在收到监理支付申请后7日内予以审批，在批复后14日内向监理人支付监理服务费。</w:t>
      </w:r>
      <w:bookmarkEnd w:id="990"/>
      <w:bookmarkEnd w:id="991"/>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992" w:name="_Toc356567939"/>
      <w:bookmarkStart w:id="993" w:name="_Toc341805262"/>
      <w:r>
        <w:rPr>
          <w:rFonts w:hint="eastAsia" w:ascii="宋体" w:hAnsi="宋体" w:cs="宋体"/>
          <w:color w:val="auto"/>
          <w:sz w:val="24"/>
          <w:highlight w:val="none"/>
        </w:rPr>
        <w:t>（3）附加监理服务、额外服务费用经双方协商确认后，在附加监理服务或额外服务所对应工作期限内按月平均计量支付或按双方所签订补充协议约定的支付方式进行支付。</w:t>
      </w:r>
      <w:bookmarkEnd w:id="992"/>
      <w:bookmarkEnd w:id="993"/>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994" w:name="_Toc356567940"/>
      <w:bookmarkStart w:id="995" w:name="_Toc341805263"/>
      <w:r>
        <w:rPr>
          <w:rFonts w:hint="eastAsia" w:ascii="宋体" w:hAnsi="宋体" w:cs="宋体"/>
          <w:color w:val="auto"/>
          <w:sz w:val="24"/>
          <w:highlight w:val="none"/>
        </w:rPr>
        <w:t>（4）交工验收与缺陷责任期阶段监理服务费按合同条款第6.1.l款的约定计量并支付。</w:t>
      </w:r>
      <w:bookmarkEnd w:id="994"/>
      <w:bookmarkEnd w:id="995"/>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996" w:name="_Toc341805264"/>
      <w:bookmarkStart w:id="997" w:name="_Toc356567941"/>
      <w:r>
        <w:rPr>
          <w:rFonts w:hint="eastAsia" w:ascii="宋体" w:hAnsi="宋体" w:cs="宋体"/>
          <w:color w:val="auto"/>
          <w:sz w:val="24"/>
          <w:highlight w:val="none"/>
        </w:rPr>
        <w:t>（5）基于工程概算变化而导致监理服务费需要调整的费用，其增加或减少的费用经双方协商确认后于当月至施工阶段结束期限内按月平均计量支付或按双方所签订补充协议约定的计量支付方式进行计量支付。</w:t>
      </w:r>
      <w:bookmarkEnd w:id="996"/>
      <w:bookmarkEnd w:id="997"/>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998" w:name="_Toc356567942"/>
      <w:bookmarkStart w:id="999" w:name="_Toc341805265"/>
      <w:r>
        <w:rPr>
          <w:rFonts w:hint="eastAsia" w:ascii="宋体" w:hAnsi="宋体" w:cs="宋体"/>
          <w:color w:val="auto"/>
          <w:sz w:val="24"/>
          <w:highlight w:val="none"/>
        </w:rPr>
        <w:t>（6）依据合同条款第10.2条约定对监理人的奖励，发包人应在监理人的当期支付费用中一次性支付。</w:t>
      </w:r>
      <w:bookmarkEnd w:id="998"/>
      <w:bookmarkEnd w:id="999"/>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00" w:name="_Toc356567943"/>
      <w:bookmarkStart w:id="1001" w:name="_Toc341805266"/>
      <w:r>
        <w:rPr>
          <w:rFonts w:hint="eastAsia" w:ascii="宋体" w:hAnsi="宋体" w:cs="宋体"/>
          <w:color w:val="auto"/>
          <w:sz w:val="24"/>
          <w:highlight w:val="none"/>
        </w:rPr>
        <w:t>（7）依据合同条款第7.1条约定对监理人的违约金和赔偿金扣款，发包人应从当期对监理人的支付费用中一次性扣回，如当期不能足额扣回，顺延至下期直至扣回为止。</w:t>
      </w:r>
      <w:bookmarkEnd w:id="1000"/>
      <w:bookmarkEnd w:id="1001"/>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02" w:name="_Toc341805267"/>
      <w:bookmarkStart w:id="1003" w:name="_Toc356567944"/>
      <w:r>
        <w:rPr>
          <w:rFonts w:hint="eastAsia" w:ascii="宋体" w:hAnsi="宋体" w:cs="宋体"/>
          <w:color w:val="auto"/>
          <w:sz w:val="24"/>
          <w:highlight w:val="none"/>
        </w:rPr>
        <w:t>（8）依据合同条款第7.2条约定发包人对监理人的赔偿金，应于协商确定后在对监理人当期支付费用中一次性支付。</w:t>
      </w:r>
      <w:bookmarkEnd w:id="1002"/>
      <w:bookmarkEnd w:id="1003"/>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04" w:name="_Toc341805268"/>
      <w:bookmarkStart w:id="1005" w:name="_Toc356567945"/>
      <w:bookmarkStart w:id="1006" w:name="_Toc341015634"/>
      <w:r>
        <w:rPr>
          <w:rFonts w:hint="eastAsia" w:ascii="宋体" w:hAnsi="宋体" w:cs="宋体"/>
          <w:color w:val="auto"/>
          <w:sz w:val="24"/>
          <w:highlight w:val="none"/>
        </w:rPr>
        <w:t>6.3.3  关于履约保证金</w:t>
      </w:r>
      <w:bookmarkEnd w:id="1004"/>
      <w:bookmarkEnd w:id="1005"/>
      <w:bookmarkEnd w:id="1006"/>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07" w:name="_Toc356567946"/>
      <w:bookmarkStart w:id="1008" w:name="_Toc341805269"/>
      <w:bookmarkStart w:id="1009" w:name="_Toc341015635"/>
      <w:r>
        <w:rPr>
          <w:rFonts w:hint="eastAsia" w:ascii="宋体" w:hAnsi="宋体" w:cs="宋体"/>
          <w:color w:val="auto"/>
          <w:sz w:val="24"/>
          <w:highlight w:val="none"/>
        </w:rPr>
        <w:t>发包人没收监理人的全部或部分履约保证金时，不影响监理人根据监理合同应当得到的其他款项的支付。</w:t>
      </w:r>
      <w:bookmarkEnd w:id="1007"/>
      <w:bookmarkEnd w:id="1008"/>
      <w:bookmarkEnd w:id="1009"/>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10" w:name="_Toc341805270"/>
      <w:bookmarkStart w:id="1011" w:name="_Toc341015636"/>
      <w:bookmarkStart w:id="1012" w:name="_Toc356567947"/>
      <w:r>
        <w:rPr>
          <w:rFonts w:hint="eastAsia" w:ascii="宋体" w:hAnsi="宋体" w:cs="宋体"/>
          <w:color w:val="auto"/>
          <w:sz w:val="24"/>
          <w:highlight w:val="none"/>
        </w:rPr>
        <w:t>6.3.4  违约金和赔偿金</w:t>
      </w:r>
      <w:bookmarkEnd w:id="1010"/>
      <w:bookmarkEnd w:id="1011"/>
      <w:bookmarkEnd w:id="1012"/>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13" w:name="_Toc356567948"/>
      <w:bookmarkStart w:id="1014" w:name="_Toc341805271"/>
      <w:bookmarkStart w:id="1015" w:name="_Toc341015637"/>
      <w:r>
        <w:rPr>
          <w:rFonts w:hint="eastAsia" w:ascii="宋体" w:hAnsi="宋体" w:cs="宋体"/>
          <w:color w:val="auto"/>
          <w:sz w:val="24"/>
          <w:highlight w:val="none"/>
        </w:rPr>
        <w:t>（1）根据监理合同通用条款第7.1条确定的监理人对发包人的违约金和赔偿金，由发包人从对监理人的日常支付中扣回。</w:t>
      </w:r>
      <w:bookmarkEnd w:id="1013"/>
      <w:bookmarkEnd w:id="1014"/>
      <w:bookmarkEnd w:id="1015"/>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16" w:name="_Toc341805272"/>
      <w:bookmarkStart w:id="1017" w:name="_Toc356567949"/>
      <w:bookmarkStart w:id="1018" w:name="_Toc341015638"/>
      <w:r>
        <w:rPr>
          <w:rFonts w:hint="eastAsia" w:ascii="宋体" w:hAnsi="宋体" w:cs="宋体"/>
          <w:color w:val="auto"/>
          <w:sz w:val="24"/>
          <w:highlight w:val="none"/>
        </w:rPr>
        <w:t>（2）根据监理合同通用条款第7.2条确定的发包人对监理人的赔偿金，应由发包人在日常支付中向监理人支付。</w:t>
      </w:r>
      <w:bookmarkEnd w:id="1016"/>
      <w:bookmarkEnd w:id="1017"/>
      <w:bookmarkEnd w:id="1018"/>
    </w:p>
    <w:bookmarkEnd w:id="981"/>
    <w:bookmarkEnd w:id="982"/>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19" w:name="_Toc341805273"/>
      <w:bookmarkStart w:id="1020" w:name="_Toc356567950"/>
      <w:bookmarkStart w:id="1021" w:name="_Toc341015648"/>
      <w:r>
        <w:rPr>
          <w:rFonts w:hint="eastAsia" w:ascii="宋体" w:hAnsi="宋体" w:cs="宋体"/>
          <w:color w:val="auto"/>
          <w:sz w:val="24"/>
          <w:highlight w:val="none"/>
        </w:rPr>
        <w:t>6.3.5  结算</w:t>
      </w:r>
      <w:bookmarkEnd w:id="1019"/>
      <w:bookmarkEnd w:id="1020"/>
      <w:bookmarkEnd w:id="1021"/>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22" w:name="_Toc356567951"/>
      <w:bookmarkStart w:id="1023" w:name="_Toc341805274"/>
      <w:bookmarkStart w:id="1024" w:name="_Toc341015649"/>
      <w:r>
        <w:rPr>
          <w:rFonts w:hint="eastAsia" w:ascii="宋体" w:hAnsi="宋体" w:cs="宋体"/>
          <w:color w:val="auto"/>
          <w:sz w:val="24"/>
          <w:highlight w:val="none"/>
        </w:rPr>
        <w:t>（1）在施工阶段监理服务工作结束后7日内，监理人应将至交工验收申请之日前实际发生的监理服务费用，扣减监理人赔偿金后余额的支付申请提交至发包人，发包人应在收到该支付申请后7日内予以审批，在批复后14日内向监理人支付费用。</w:t>
      </w:r>
      <w:bookmarkEnd w:id="1022"/>
      <w:bookmarkEnd w:id="1023"/>
      <w:bookmarkEnd w:id="1024"/>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25" w:name="_Toc341015650"/>
      <w:bookmarkStart w:id="1026" w:name="_Toc356567952"/>
      <w:bookmarkStart w:id="1027" w:name="_Toc341805275"/>
      <w:r>
        <w:rPr>
          <w:rFonts w:hint="eastAsia" w:ascii="宋体" w:hAnsi="宋体" w:cs="宋体"/>
          <w:color w:val="auto"/>
          <w:sz w:val="24"/>
          <w:highlight w:val="none"/>
        </w:rPr>
        <w:t>（2）在签发工程缺陷责任终止证书后7日内，监理人应将工程缺陷责任期内未结清的监理服务费用和其他应由发包人向监理人支付的剩余款项，扣减其他应由发包人从监理人扣回的款项的支付申请提交发包人，发包人应在收到该支付申请后7日内予以审批，在批复后14日内向监理人支付费用。</w:t>
      </w:r>
      <w:bookmarkEnd w:id="1025"/>
      <w:bookmarkEnd w:id="1026"/>
      <w:bookmarkEnd w:id="1027"/>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28" w:name="_Toc341805276"/>
      <w:bookmarkStart w:id="1029" w:name="_Toc356567953"/>
      <w:bookmarkStart w:id="1030" w:name="_Toc341015651"/>
      <w:r>
        <w:rPr>
          <w:rFonts w:hint="eastAsia" w:ascii="宋体" w:hAnsi="宋体" w:cs="宋体"/>
          <w:color w:val="auto"/>
          <w:sz w:val="24"/>
          <w:highlight w:val="none"/>
        </w:rPr>
        <w:t>6.3.6  支付期限</w:t>
      </w:r>
      <w:bookmarkEnd w:id="1028"/>
      <w:bookmarkEnd w:id="1029"/>
      <w:bookmarkEnd w:id="1030"/>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31" w:name="_Toc356567954"/>
      <w:bookmarkStart w:id="1032" w:name="_Toc341805277"/>
      <w:bookmarkStart w:id="1033" w:name="_Toc341015652"/>
      <w:r>
        <w:rPr>
          <w:rFonts w:hint="eastAsia" w:ascii="宋体" w:hAnsi="宋体" w:cs="宋体"/>
          <w:color w:val="auto"/>
          <w:sz w:val="24"/>
          <w:highlight w:val="none"/>
        </w:rPr>
        <w:t>发包人在收到监理人提交的书面支付申请后，应按上述条款约定的支付期限内支付监理服务费用。发包人在约定的期限内，未向监理人支付到期应付的款项，应承担违约责任，并支付逾期付款违约金，逾期付款的违约金以到期应付而未付的款项，按照中国人民银行发布的一年期贷款基准利率计算相应的利息，时间自未付款项的应付之日起算。该逾期付款违约金的支付不影响监理人的权力，如发包人仍未按合同约定支付监理服务费及违约金，并不影响本合同条款第5.5.4款约定的监理人的权力。</w:t>
      </w:r>
      <w:bookmarkEnd w:id="1031"/>
      <w:bookmarkEnd w:id="1032"/>
      <w:bookmarkEnd w:id="1033"/>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34" w:name="_Toc341015653"/>
      <w:bookmarkStart w:id="1035" w:name="_Toc356567955"/>
      <w:bookmarkStart w:id="1036" w:name="_Toc341805278"/>
      <w:r>
        <w:rPr>
          <w:rFonts w:hint="eastAsia" w:ascii="宋体" w:hAnsi="宋体" w:cs="宋体"/>
          <w:color w:val="auto"/>
          <w:sz w:val="24"/>
          <w:highlight w:val="none"/>
        </w:rPr>
        <w:t>6.3.7  支付争议</w:t>
      </w:r>
      <w:bookmarkEnd w:id="1034"/>
      <w:bookmarkEnd w:id="1035"/>
      <w:bookmarkEnd w:id="1036"/>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37" w:name="_Toc341805279"/>
      <w:bookmarkStart w:id="1038" w:name="_Toc356567956"/>
      <w:bookmarkStart w:id="1039" w:name="_Toc341015654"/>
      <w:r>
        <w:rPr>
          <w:rFonts w:hint="eastAsia" w:ascii="宋体" w:hAnsi="宋体" w:cs="宋体"/>
          <w:color w:val="auto"/>
          <w:sz w:val="24"/>
          <w:highlight w:val="none"/>
        </w:rPr>
        <w:t>发包人对监理人要求支付的款项中的任何部分有异议，应在收到监理人提交的书面支付申请7日内发出书面通知说明理由，但不得借此延误对监理人其他应得款项的支付。本合同条款第6.1.1款的约定，适用于最终支付给监理人的一切曾经有过争议的款项。</w:t>
      </w:r>
      <w:bookmarkEnd w:id="1037"/>
      <w:bookmarkEnd w:id="1038"/>
      <w:bookmarkEnd w:id="1039"/>
      <w:bookmarkStart w:id="1040" w:name="_Toc283558766"/>
      <w:bookmarkStart w:id="1041" w:name="_Toc283559263"/>
    </w:p>
    <w:p>
      <w:pPr>
        <w:pStyle w:val="4"/>
        <w:spacing w:before="0" w:after="0" w:line="324" w:lineRule="auto"/>
        <w:ind w:firstLine="481" w:firstLineChars="200"/>
        <w:rPr>
          <w:rFonts w:ascii="宋体" w:hAnsi="宋体" w:eastAsia="宋体" w:cs="宋体"/>
          <w:b w:val="0"/>
          <w:color w:val="auto"/>
          <w:sz w:val="24"/>
          <w:szCs w:val="24"/>
          <w:highlight w:val="none"/>
        </w:rPr>
      </w:pPr>
      <w:bookmarkStart w:id="1042" w:name="_Toc488650891"/>
      <w:bookmarkStart w:id="1043" w:name="_Toc487619541"/>
      <w:bookmarkStart w:id="1044" w:name="_Toc356567957"/>
      <w:bookmarkStart w:id="1045" w:name="_Toc487291570"/>
      <w:bookmarkStart w:id="1046" w:name="_Toc341805280"/>
      <w:bookmarkStart w:id="1047" w:name="_Toc487653459"/>
      <w:r>
        <w:rPr>
          <w:rFonts w:hint="eastAsia" w:ascii="宋体" w:hAnsi="宋体" w:eastAsia="宋体" w:cs="宋体"/>
          <w:color w:val="auto"/>
          <w:sz w:val="24"/>
          <w:szCs w:val="24"/>
          <w:highlight w:val="none"/>
        </w:rPr>
        <w:t xml:space="preserve">6.4 </w:t>
      </w:r>
      <w:r>
        <w:rPr>
          <w:rFonts w:hint="eastAsia" w:ascii="宋体" w:hAnsi="宋体" w:eastAsia="宋体" w:cs="宋体"/>
          <w:b w:val="0"/>
          <w:color w:val="auto"/>
          <w:sz w:val="24"/>
          <w:szCs w:val="24"/>
          <w:highlight w:val="none"/>
        </w:rPr>
        <w:t xml:space="preserve"> 货币</w:t>
      </w:r>
      <w:bookmarkEnd w:id="1040"/>
      <w:bookmarkEnd w:id="1041"/>
      <w:bookmarkEnd w:id="1042"/>
      <w:bookmarkEnd w:id="1043"/>
      <w:bookmarkEnd w:id="1044"/>
      <w:bookmarkEnd w:id="1045"/>
      <w:bookmarkEnd w:id="1046"/>
      <w:bookmarkEnd w:id="1047"/>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48" w:name="_Toc341015656"/>
      <w:bookmarkStart w:id="1049" w:name="_Toc356567958"/>
      <w:bookmarkStart w:id="1050" w:name="_Toc341805281"/>
      <w:r>
        <w:rPr>
          <w:rFonts w:hint="eastAsia" w:ascii="宋体" w:hAnsi="宋体" w:cs="宋体"/>
          <w:color w:val="auto"/>
          <w:sz w:val="24"/>
          <w:highlight w:val="none"/>
        </w:rPr>
        <w:t>除专用条款另有约定外，发包人支付监理人履行监理服务的费用一律采用人民币支付。涉及外币支付的，其货币种类、比例和汇率等事宜，在专用条款中约定。</w:t>
      </w:r>
      <w:bookmarkEnd w:id="1048"/>
      <w:bookmarkEnd w:id="1049"/>
      <w:bookmarkEnd w:id="1050"/>
    </w:p>
    <w:p>
      <w:pPr>
        <w:pStyle w:val="4"/>
        <w:spacing w:before="0" w:after="0" w:line="324" w:lineRule="auto"/>
        <w:ind w:firstLine="481" w:firstLineChars="200"/>
        <w:rPr>
          <w:rFonts w:ascii="宋体" w:hAnsi="宋体" w:eastAsia="宋体" w:cs="宋体"/>
          <w:color w:val="auto"/>
          <w:sz w:val="24"/>
          <w:szCs w:val="24"/>
          <w:highlight w:val="none"/>
        </w:rPr>
      </w:pPr>
      <w:bookmarkStart w:id="1051" w:name="_Toc330384463"/>
      <w:bookmarkStart w:id="1052" w:name="_Toc487291571"/>
      <w:bookmarkStart w:id="1053" w:name="_Toc487619542"/>
      <w:bookmarkStart w:id="1054" w:name="_Toc487653460"/>
      <w:bookmarkStart w:id="1055" w:name="_Toc488650892"/>
      <w:bookmarkStart w:id="1056" w:name="_Toc341805282"/>
      <w:r>
        <w:rPr>
          <w:rFonts w:hint="eastAsia" w:ascii="宋体" w:hAnsi="宋体" w:eastAsia="宋体" w:cs="宋体"/>
          <w:color w:val="auto"/>
          <w:sz w:val="24"/>
          <w:szCs w:val="24"/>
          <w:highlight w:val="none"/>
        </w:rPr>
        <w:t>7．违约</w:t>
      </w:r>
      <w:bookmarkEnd w:id="1051"/>
      <w:bookmarkEnd w:id="1052"/>
      <w:bookmarkEnd w:id="1053"/>
      <w:bookmarkEnd w:id="1054"/>
      <w:bookmarkEnd w:id="1055"/>
      <w:bookmarkEnd w:id="1056"/>
      <w:bookmarkStart w:id="1057" w:name="_Toc283558740"/>
      <w:bookmarkStart w:id="1058" w:name="_Toc283559237"/>
    </w:p>
    <w:p>
      <w:pPr>
        <w:pStyle w:val="4"/>
        <w:spacing w:before="0" w:after="0" w:line="324" w:lineRule="auto"/>
        <w:ind w:firstLine="481" w:firstLineChars="200"/>
        <w:rPr>
          <w:rFonts w:ascii="宋体" w:hAnsi="宋体" w:eastAsia="宋体" w:cs="宋体"/>
          <w:b w:val="0"/>
          <w:color w:val="auto"/>
          <w:sz w:val="24"/>
          <w:szCs w:val="24"/>
          <w:highlight w:val="none"/>
        </w:rPr>
      </w:pPr>
      <w:bookmarkStart w:id="1059" w:name="_Toc487291572"/>
      <w:bookmarkStart w:id="1060" w:name="_Toc356567960"/>
      <w:bookmarkStart w:id="1061" w:name="_Toc488650893"/>
      <w:bookmarkStart w:id="1062" w:name="_Toc487619543"/>
      <w:bookmarkStart w:id="1063" w:name="_Toc341805283"/>
      <w:bookmarkStart w:id="1064" w:name="_Toc487653461"/>
      <w:r>
        <w:rPr>
          <w:rFonts w:hint="eastAsia" w:ascii="宋体" w:hAnsi="宋体" w:eastAsia="宋体" w:cs="宋体"/>
          <w:color w:val="auto"/>
          <w:sz w:val="24"/>
          <w:szCs w:val="24"/>
          <w:highlight w:val="none"/>
        </w:rPr>
        <w:t xml:space="preserve">7.1 </w:t>
      </w:r>
      <w:r>
        <w:rPr>
          <w:rFonts w:hint="eastAsia" w:ascii="宋体" w:hAnsi="宋体" w:eastAsia="宋体" w:cs="宋体"/>
          <w:b w:val="0"/>
          <w:color w:val="auto"/>
          <w:sz w:val="24"/>
          <w:szCs w:val="24"/>
          <w:highlight w:val="none"/>
        </w:rPr>
        <w:t xml:space="preserve"> 监理人的违约</w:t>
      </w:r>
      <w:bookmarkEnd w:id="1057"/>
      <w:bookmarkEnd w:id="1058"/>
      <w:r>
        <w:rPr>
          <w:rFonts w:hint="eastAsia" w:ascii="宋体" w:hAnsi="宋体" w:eastAsia="宋体" w:cs="宋体"/>
          <w:b w:val="0"/>
          <w:color w:val="auto"/>
          <w:sz w:val="24"/>
          <w:szCs w:val="24"/>
          <w:highlight w:val="none"/>
        </w:rPr>
        <w:t>及赔偿责任</w:t>
      </w:r>
      <w:bookmarkEnd w:id="1059"/>
      <w:bookmarkEnd w:id="1060"/>
      <w:bookmarkEnd w:id="1061"/>
      <w:bookmarkEnd w:id="1062"/>
      <w:bookmarkEnd w:id="1063"/>
      <w:bookmarkEnd w:id="1064"/>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65" w:name="_Toc356567961"/>
      <w:bookmarkStart w:id="1066" w:name="_Toc341805284"/>
      <w:bookmarkStart w:id="1067" w:name="_Toc341015659"/>
      <w:r>
        <w:rPr>
          <w:rFonts w:hint="eastAsia" w:ascii="宋体" w:hAnsi="宋体" w:cs="宋体"/>
          <w:color w:val="auto"/>
          <w:sz w:val="24"/>
          <w:highlight w:val="none"/>
        </w:rPr>
        <w:t>7.1.1  监理人的违约</w:t>
      </w:r>
      <w:bookmarkEnd w:id="1065"/>
      <w:bookmarkEnd w:id="1066"/>
      <w:bookmarkEnd w:id="1067"/>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68" w:name="_Toc356567962"/>
      <w:bookmarkStart w:id="1069" w:name="_Toc341805285"/>
      <w:bookmarkStart w:id="1070" w:name="_Toc341015660"/>
      <w:r>
        <w:rPr>
          <w:rFonts w:hint="eastAsia" w:ascii="宋体" w:hAnsi="宋体" w:cs="宋体"/>
          <w:color w:val="auto"/>
          <w:sz w:val="24"/>
          <w:highlight w:val="none"/>
        </w:rPr>
        <w:t>（1）监理人违反监理合同的约定，将监理服务的任何部分转让或分包；</w:t>
      </w:r>
      <w:bookmarkEnd w:id="1068"/>
      <w:bookmarkEnd w:id="1069"/>
      <w:bookmarkEnd w:id="1070"/>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71" w:name="_Toc356567963"/>
      <w:bookmarkStart w:id="1072" w:name="_Toc341015661"/>
      <w:bookmarkStart w:id="1073" w:name="_Toc341805286"/>
      <w:r>
        <w:rPr>
          <w:rFonts w:hint="eastAsia" w:ascii="宋体" w:hAnsi="宋体" w:cs="宋体"/>
          <w:color w:val="auto"/>
          <w:sz w:val="24"/>
          <w:highlight w:val="none"/>
        </w:rPr>
        <w:t>（2）由于监理人不履行监理职责，造成工程质量、安全责任事故；</w:t>
      </w:r>
      <w:bookmarkEnd w:id="1071"/>
      <w:bookmarkEnd w:id="1072"/>
      <w:bookmarkEnd w:id="1073"/>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74" w:name="_Toc341805287"/>
      <w:bookmarkStart w:id="1075" w:name="_Toc356567964"/>
      <w:bookmarkStart w:id="1076" w:name="_Toc341015662"/>
      <w:r>
        <w:rPr>
          <w:rFonts w:hint="eastAsia" w:ascii="宋体" w:hAnsi="宋体" w:cs="宋体"/>
          <w:color w:val="auto"/>
          <w:sz w:val="24"/>
          <w:highlight w:val="none"/>
        </w:rPr>
        <w:t>（3）监理人向承包人索贿、谋取私利，或与承包人串通损害发包人利益，给发包人造成损失；</w:t>
      </w:r>
      <w:bookmarkEnd w:id="1074"/>
      <w:bookmarkEnd w:id="1075"/>
      <w:bookmarkEnd w:id="1076"/>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77" w:name="_Toc356567965"/>
      <w:bookmarkStart w:id="1078" w:name="_Toc341805288"/>
      <w:bookmarkStart w:id="1079" w:name="_Toc341015663"/>
      <w:r>
        <w:rPr>
          <w:rFonts w:hint="eastAsia" w:ascii="宋体" w:hAnsi="宋体" w:cs="宋体"/>
          <w:color w:val="auto"/>
          <w:sz w:val="24"/>
          <w:highlight w:val="none"/>
        </w:rPr>
        <w:t>（4）监理人未经发包人批准，擅自撤离合同约定的重要岗位监理人员的；</w:t>
      </w:r>
      <w:bookmarkEnd w:id="1077"/>
      <w:bookmarkEnd w:id="1078"/>
      <w:bookmarkEnd w:id="1079"/>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80" w:name="_Toc341015664"/>
      <w:bookmarkStart w:id="1081" w:name="_Toc356567966"/>
      <w:bookmarkStart w:id="1082" w:name="_Toc341805289"/>
      <w:r>
        <w:rPr>
          <w:rFonts w:hint="eastAsia" w:ascii="宋体" w:hAnsi="宋体" w:cs="宋体"/>
          <w:color w:val="auto"/>
          <w:sz w:val="24"/>
          <w:highlight w:val="none"/>
        </w:rPr>
        <w:t>（5）监理人无法继续履行或明确表示不履行或实质上己停止履行合同；</w:t>
      </w:r>
      <w:bookmarkEnd w:id="1080"/>
      <w:bookmarkEnd w:id="1081"/>
      <w:bookmarkEnd w:id="1082"/>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83" w:name="_Toc341015665"/>
      <w:bookmarkStart w:id="1084" w:name="_Toc356567967"/>
      <w:bookmarkStart w:id="1085" w:name="_Toc341805290"/>
      <w:r>
        <w:rPr>
          <w:rFonts w:hint="eastAsia" w:ascii="宋体" w:hAnsi="宋体" w:cs="宋体"/>
          <w:color w:val="auto"/>
          <w:sz w:val="24"/>
          <w:highlight w:val="none"/>
        </w:rPr>
        <w:t>（6）监理人不按合同约定履行义务的其他情况。</w:t>
      </w:r>
      <w:bookmarkEnd w:id="1083"/>
      <w:bookmarkEnd w:id="1084"/>
      <w:bookmarkEnd w:id="1085"/>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86" w:name="_Toc356567968"/>
      <w:bookmarkStart w:id="1087" w:name="_Toc341015666"/>
      <w:bookmarkStart w:id="1088" w:name="_Toc341805291"/>
      <w:r>
        <w:rPr>
          <w:rFonts w:hint="eastAsia" w:ascii="宋体" w:hAnsi="宋体" w:cs="宋体"/>
          <w:color w:val="auto"/>
          <w:sz w:val="24"/>
          <w:highlight w:val="none"/>
        </w:rPr>
        <w:t>7.1.2  监理人违约的处理</w:t>
      </w:r>
      <w:bookmarkEnd w:id="1086"/>
      <w:bookmarkEnd w:id="1087"/>
      <w:bookmarkEnd w:id="1088"/>
    </w:p>
    <w:p>
      <w:pPr>
        <w:autoSpaceDE w:val="0"/>
        <w:autoSpaceDN w:val="0"/>
        <w:adjustRightInd w:val="0"/>
        <w:snapToGrid w:val="0"/>
        <w:spacing w:line="324" w:lineRule="auto"/>
        <w:ind w:firstLine="480" w:firstLineChars="200"/>
        <w:rPr>
          <w:rFonts w:ascii="宋体" w:hAnsi="宋体" w:cs="宋体"/>
          <w:color w:val="auto"/>
          <w:sz w:val="24"/>
          <w:highlight w:val="none"/>
        </w:rPr>
      </w:pPr>
      <w:bookmarkStart w:id="1089" w:name="_Toc356567969"/>
      <w:bookmarkStart w:id="1090" w:name="_Toc341015667"/>
      <w:bookmarkStart w:id="1091" w:name="_Toc341805292"/>
      <w:r>
        <w:rPr>
          <w:rFonts w:hint="eastAsia" w:ascii="宋体" w:hAnsi="宋体" w:cs="宋体"/>
          <w:color w:val="auto"/>
          <w:sz w:val="24"/>
          <w:highlight w:val="none"/>
        </w:rPr>
        <w:t>监理人违反上述约定应承担违约责任，发包人有权向监理人发出书面通知要求其限期改正。当发包人在向监理人发出书面通知的28日后未见纠正，可以向监理人课以违约金，并可通知终止合同。在发生第7.1.1（1）、7.1.1（3）、7.1.1（5）项情形时，发包人可直接发出书面通知立即终止合同。合同解除后，发包人可选派其他监理人继续完成该项目的监理服务工作，但不免除监理人在被解除合同前所完成监理工作应承担的责任。</w:t>
      </w:r>
      <w:bookmarkEnd w:id="1089"/>
      <w:bookmarkEnd w:id="1090"/>
      <w:bookmarkEnd w:id="1091"/>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7.1.3  违约解除合同后的付款和结清</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（1）合同解除后，发包人按监理人实际完成的监理工作计算监理服务费，并暂停对监理人的一切付款，查清各项付款和己扣款金额，包括监理人应支付的违约金。</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（2）合同双方确认上述往来款项后，出具最终结清付款证书，结清全部合同款项。</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（3）发包人和监理人未能就解除合同后的结清达成一致而形成争议的，按第9节的约定办理。</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7.1.4  监理人的赔偿责任</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监理人违反监理合同的约定并造成发包人的经济损失，应向发包人赔偿，除非专用条款另有约定，赔偿金为发包人直接经济损失所对应的监理费与监理人应承担责任的比例的乘积。</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监理人对由于第三方责任造成的任何经济损失，不承担责任。如果监理人与发包人或第三方对有关经济损失共负责任时，应按责任比例计算赔偿。监理人的上述责任赔偿，均应按照本合同第7.4条的约定办理。</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7.1.5  监理人对发包人未授权的监理服务范围不承担监理责任。</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1092" w:name="_Toc487291573"/>
      <w:bookmarkStart w:id="1093" w:name="_Toc341805293"/>
      <w:bookmarkStart w:id="1094" w:name="_Toc487619544"/>
      <w:bookmarkStart w:id="1095" w:name="_Toc487653462"/>
      <w:bookmarkStart w:id="1096" w:name="_Toc488650894"/>
      <w:bookmarkStart w:id="1097" w:name="_Toc356567970"/>
      <w:r>
        <w:rPr>
          <w:rFonts w:hint="eastAsia" w:ascii="宋体" w:hAnsi="宋体" w:eastAsia="宋体" w:cs="宋体"/>
          <w:color w:val="auto"/>
          <w:sz w:val="24"/>
          <w:szCs w:val="24"/>
          <w:highlight w:val="none"/>
        </w:rPr>
        <w:t xml:space="preserve">7.2 </w:t>
      </w:r>
      <w:r>
        <w:rPr>
          <w:rFonts w:hint="eastAsia" w:ascii="宋体" w:hAnsi="宋体" w:eastAsia="宋体" w:cs="宋体"/>
          <w:b w:val="0"/>
          <w:color w:val="auto"/>
          <w:sz w:val="24"/>
          <w:szCs w:val="24"/>
          <w:highlight w:val="none"/>
        </w:rPr>
        <w:t xml:space="preserve"> 发包人的违约和赔偿责任</w:t>
      </w:r>
      <w:bookmarkEnd w:id="1092"/>
      <w:bookmarkEnd w:id="1093"/>
      <w:bookmarkEnd w:id="1094"/>
      <w:bookmarkEnd w:id="1095"/>
      <w:bookmarkEnd w:id="1096"/>
      <w:bookmarkEnd w:id="1097"/>
    </w:p>
    <w:p>
      <w:pPr>
        <w:autoSpaceDE w:val="0"/>
        <w:autoSpaceDN w:val="0"/>
        <w:adjustRightInd w:val="0"/>
        <w:snapToGrid w:val="0"/>
        <w:spacing w:line="324" w:lineRule="auto"/>
        <w:ind w:firstLine="480" w:firstLineChars="200"/>
        <w:outlineLvl w:val="0"/>
        <w:rPr>
          <w:rFonts w:ascii="宋体" w:hAnsi="宋体" w:cs="宋体"/>
          <w:color w:val="auto"/>
          <w:sz w:val="24"/>
          <w:highlight w:val="none"/>
        </w:rPr>
      </w:pPr>
      <w:bookmarkStart w:id="1098" w:name="_Toc487619545"/>
      <w:bookmarkStart w:id="1099" w:name="_Toc487291574"/>
      <w:bookmarkStart w:id="1100" w:name="_Toc488650895"/>
      <w:bookmarkStart w:id="1101" w:name="_Toc487653463"/>
      <w:r>
        <w:rPr>
          <w:rFonts w:hint="eastAsia" w:ascii="宋体" w:hAnsi="宋体" w:cs="宋体"/>
          <w:color w:val="auto"/>
          <w:sz w:val="24"/>
          <w:highlight w:val="none"/>
        </w:rPr>
        <w:t>7.2.1  发包人的违约</w:t>
      </w:r>
      <w:bookmarkEnd w:id="1098"/>
      <w:bookmarkEnd w:id="1099"/>
      <w:bookmarkEnd w:id="1100"/>
      <w:bookmarkEnd w:id="1101"/>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（1）发包人在合同约定的期限内，未向监理人支付到期应付的款项；</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（2）发包人未能按照合同约定向监理人提供履行监理服务所必需工作条件；</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（3）非监理人原因停工期间，发包人不批准监理人暂时退场，且不支付停工期间的费用；</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（4）发包人无法继续履行或明确表示不履行或实质上已停止履行合同的；</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（5）发包人未按合同约定履行其他应尽义务。</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7.2.2  发包人违约的处理</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发包人违反上述约定应承担违约责任，并按相关合同条款约定承担相应的费用。</w:t>
      </w:r>
    </w:p>
    <w:p>
      <w:pPr>
        <w:spacing w:line="324" w:lineRule="auto"/>
        <w:ind w:firstLine="480" w:firstLineChars="200"/>
        <w:outlineLvl w:val="0"/>
        <w:rPr>
          <w:rFonts w:ascii="宋体" w:hAnsi="宋体" w:cs="宋体"/>
          <w:color w:val="auto"/>
          <w:sz w:val="24"/>
          <w:highlight w:val="none"/>
        </w:rPr>
      </w:pPr>
      <w:bookmarkStart w:id="1102" w:name="_Toc487291575"/>
      <w:bookmarkStart w:id="1103" w:name="_Toc488650896"/>
      <w:bookmarkStart w:id="1104" w:name="_Toc487653464"/>
      <w:bookmarkStart w:id="1105" w:name="_Toc487619546"/>
      <w:r>
        <w:rPr>
          <w:rFonts w:hint="eastAsia" w:ascii="宋体" w:hAnsi="宋体" w:cs="宋体"/>
          <w:color w:val="auto"/>
          <w:sz w:val="24"/>
          <w:highlight w:val="none"/>
        </w:rPr>
        <w:t>7.2.3  监理人有权暂停监理服务</w:t>
      </w:r>
      <w:bookmarkEnd w:id="1102"/>
      <w:bookmarkEnd w:id="1103"/>
      <w:bookmarkEnd w:id="1104"/>
      <w:bookmarkEnd w:id="1105"/>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发生除第7.2.1(4)项以外的违约情况时，监理人可向发包人发出通知，要求发包人采取有效措施纠正违约行为。发包人收到监理人通知后的28日后仍不履行合同义务，监理人有权暂停监理服务，并通知发包人，发包人应承担由此增加的监理服务费用。</w:t>
      </w:r>
    </w:p>
    <w:p>
      <w:pPr>
        <w:spacing w:line="324" w:lineRule="auto"/>
        <w:ind w:firstLine="480" w:firstLineChars="200"/>
        <w:outlineLvl w:val="0"/>
        <w:rPr>
          <w:rFonts w:ascii="宋体" w:hAnsi="宋体" w:cs="宋体"/>
          <w:color w:val="auto"/>
          <w:sz w:val="24"/>
          <w:highlight w:val="none"/>
        </w:rPr>
      </w:pPr>
      <w:bookmarkStart w:id="1106" w:name="_Toc487653465"/>
      <w:bookmarkStart w:id="1107" w:name="_Toc487291576"/>
      <w:bookmarkStart w:id="1108" w:name="_Toc488650897"/>
      <w:bookmarkStart w:id="1109" w:name="_Toc487619547"/>
      <w:r>
        <w:rPr>
          <w:rFonts w:hint="eastAsia" w:ascii="宋体" w:hAnsi="宋体" w:cs="宋体"/>
          <w:color w:val="auto"/>
          <w:sz w:val="24"/>
          <w:highlight w:val="none"/>
        </w:rPr>
        <w:t>7.2.4  发包人违约解除合同</w:t>
      </w:r>
      <w:bookmarkEnd w:id="1106"/>
      <w:bookmarkEnd w:id="1107"/>
      <w:bookmarkEnd w:id="1108"/>
      <w:bookmarkEnd w:id="1109"/>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（1）发生第7.2.1(4)项的违约情况时，监理人可书面通知发包人解除合同。</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理人按第7.2.3款暂停监理服务28日后，发包人仍不纠正违约行为的，监理人可向发包人发出解除合同通知。但监理人的这一行动不免除发包人承担的违约责任，也不影响监理人根据合同约定享有的赔偿权利。</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7.2.5  发包人的赔偿责任</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发包人违反监理合同的约定并造成监理人的经济损失，应向监理人赔偿，除非专用条款另有约定，发包人应据实赔偿监理人的直接经济损失。</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7.2.6  违约解除合同后的付款和结清</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因发包人违约解除合同的，发包人应在解除合同后28日内向监理人支付下列金额，监理人应在此期限内及时向发包人提交要求支付下列金额的有关资料和凭证：</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（1）合同解除日以前应支付的监理服务费用及按合同约定在合同解除日前应支付给监理人的其他金额；</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（2）监理人为该工程施工监理服务投入的办公、生活、试验设施建设等未摊销的费用，部分试验设备、办公用具提前折旧费用；</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（3）监理人的人员及设备撤离所需费用；</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（4）由于解除合同应赔偿的监理人其他损失；</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（5）合同双方确认上述往来款项后，出具最终结清付款证书，结清全部合同款项；</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（6）发包人和监理人未能就解除合同后的结清达成一致而形成争议的，按第9节的约定办理。</w:t>
      </w:r>
    </w:p>
    <w:p>
      <w:pPr>
        <w:autoSpaceDE w:val="0"/>
        <w:autoSpaceDN w:val="0"/>
        <w:adjustRightInd w:val="0"/>
        <w:snapToGrid w:val="0"/>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发包人应按本项约定支付上述金额并退还履约保证金，但有权要求监理人支付应偿还给发包人的各项金额。</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1110" w:name="_Toc487619548"/>
      <w:bookmarkStart w:id="1111" w:name="_Toc341805294"/>
      <w:bookmarkStart w:id="1112" w:name="_Toc487291577"/>
      <w:bookmarkStart w:id="1113" w:name="_Toc488650898"/>
      <w:bookmarkStart w:id="1114" w:name="_Toc356567971"/>
      <w:bookmarkStart w:id="1115" w:name="_Toc487653466"/>
      <w:r>
        <w:rPr>
          <w:rFonts w:hint="eastAsia" w:ascii="宋体" w:hAnsi="宋体" w:eastAsia="宋体" w:cs="宋体"/>
          <w:color w:val="auto"/>
          <w:sz w:val="24"/>
          <w:szCs w:val="24"/>
          <w:highlight w:val="none"/>
        </w:rPr>
        <w:t>7.3</w:t>
      </w:r>
      <w:r>
        <w:rPr>
          <w:rFonts w:hint="eastAsia" w:ascii="宋体" w:hAnsi="宋体" w:eastAsia="宋体" w:cs="宋体"/>
          <w:b w:val="0"/>
          <w:color w:val="auto"/>
          <w:sz w:val="24"/>
          <w:szCs w:val="24"/>
          <w:highlight w:val="none"/>
        </w:rPr>
        <w:t xml:space="preserve">  赔偿责任的期限</w:t>
      </w:r>
      <w:bookmarkEnd w:id="1110"/>
      <w:bookmarkEnd w:id="1111"/>
      <w:bookmarkEnd w:id="1112"/>
      <w:bookmarkEnd w:id="1113"/>
      <w:bookmarkEnd w:id="1114"/>
      <w:bookmarkEnd w:id="1115"/>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或监理人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无论是发包人还是监理人，逾期未提出书面索赔意向书，则失去索赔权利。</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1116" w:name="_Toc487291578"/>
      <w:bookmarkStart w:id="1117" w:name="_Toc487619549"/>
      <w:bookmarkStart w:id="1118" w:name="_Toc356567972"/>
      <w:bookmarkStart w:id="1119" w:name="_Toc488650899"/>
      <w:bookmarkStart w:id="1120" w:name="_Toc487653467"/>
      <w:bookmarkStart w:id="1121" w:name="_Toc341805295"/>
      <w:r>
        <w:rPr>
          <w:rFonts w:hint="eastAsia" w:ascii="宋体" w:hAnsi="宋体" w:eastAsia="宋体" w:cs="宋体"/>
          <w:color w:val="auto"/>
          <w:sz w:val="24"/>
          <w:szCs w:val="24"/>
          <w:highlight w:val="none"/>
        </w:rPr>
        <w:t xml:space="preserve">7.4 </w:t>
      </w:r>
      <w:r>
        <w:rPr>
          <w:rFonts w:hint="eastAsia" w:ascii="宋体" w:hAnsi="宋体" w:eastAsia="宋体" w:cs="宋体"/>
          <w:b w:val="0"/>
          <w:color w:val="auto"/>
          <w:sz w:val="24"/>
          <w:szCs w:val="24"/>
          <w:highlight w:val="none"/>
        </w:rPr>
        <w:t xml:space="preserve"> 赔偿的限额</w:t>
      </w:r>
      <w:bookmarkEnd w:id="1116"/>
      <w:bookmarkEnd w:id="1117"/>
      <w:bookmarkEnd w:id="1118"/>
      <w:bookmarkEnd w:id="1119"/>
      <w:bookmarkEnd w:id="1120"/>
      <w:bookmarkEnd w:id="1121"/>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双方在专用条款中，约定了任何一方向另一方依据本合同条款第7.1条和第7.2条支付赔偿的最高限额，除非专用条款另行约定，双方在此一致同意放弃超过该限额的剩余赔偿要求。但本合同条款其他条款约定的补偿和由于任何一方故意违约而引起的索赔，不受该限额的限制。</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监理人的累计赔偿限额为监理服务费总额的10﹪，当达到此限额时，发包人有权单方面终止监理合同，没收监理人的履约保证金。</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发包人赔偿监理人的直接经济损失的累计限额为监理服务费总额的10﹪。</w:t>
      </w:r>
    </w:p>
    <w:p>
      <w:pPr>
        <w:pStyle w:val="4"/>
        <w:spacing w:before="0" w:after="0" w:line="324" w:lineRule="auto"/>
        <w:ind w:firstLine="481" w:firstLineChars="200"/>
        <w:rPr>
          <w:rFonts w:ascii="宋体" w:hAnsi="宋体" w:eastAsia="宋体" w:cs="宋体"/>
          <w:color w:val="auto"/>
          <w:sz w:val="24"/>
          <w:szCs w:val="24"/>
          <w:highlight w:val="none"/>
        </w:rPr>
      </w:pPr>
      <w:bookmarkStart w:id="1122" w:name="OLE_LINK1"/>
      <w:bookmarkStart w:id="1123" w:name="OLE_LINK2"/>
      <w:bookmarkStart w:id="1124" w:name="_Toc283559240"/>
      <w:bookmarkStart w:id="1125" w:name="_Toc283558743"/>
      <w:bookmarkStart w:id="1126" w:name="_Toc341805296"/>
      <w:bookmarkStart w:id="1127" w:name="_Toc487653468"/>
      <w:bookmarkStart w:id="1128" w:name="_Toc330384464"/>
      <w:bookmarkStart w:id="1129" w:name="_Toc487291579"/>
      <w:bookmarkStart w:id="1130" w:name="_Toc487619550"/>
      <w:bookmarkStart w:id="1131" w:name="_Toc488650900"/>
      <w:r>
        <w:rPr>
          <w:rFonts w:hint="eastAsia" w:ascii="宋体" w:hAnsi="宋体" w:eastAsia="宋体" w:cs="宋体"/>
          <w:color w:val="auto"/>
          <w:sz w:val="24"/>
          <w:szCs w:val="24"/>
          <w:highlight w:val="none"/>
        </w:rPr>
        <w:t>8．</w:t>
      </w:r>
      <w:bookmarkEnd w:id="1122"/>
      <w:bookmarkEnd w:id="1123"/>
      <w:r>
        <w:rPr>
          <w:rFonts w:hint="eastAsia" w:ascii="宋体" w:hAnsi="宋体" w:eastAsia="宋体" w:cs="宋体"/>
          <w:color w:val="auto"/>
          <w:sz w:val="24"/>
          <w:szCs w:val="24"/>
          <w:highlight w:val="none"/>
        </w:rPr>
        <w:t>保障</w:t>
      </w:r>
      <w:bookmarkEnd w:id="1124"/>
      <w:bookmarkEnd w:id="1125"/>
      <w:r>
        <w:rPr>
          <w:rFonts w:hint="eastAsia" w:ascii="宋体" w:hAnsi="宋体" w:eastAsia="宋体" w:cs="宋体"/>
          <w:color w:val="auto"/>
          <w:sz w:val="24"/>
          <w:szCs w:val="24"/>
          <w:highlight w:val="none"/>
        </w:rPr>
        <w:t>与保险</w:t>
      </w:r>
      <w:bookmarkEnd w:id="1126"/>
      <w:bookmarkEnd w:id="1127"/>
      <w:bookmarkEnd w:id="1128"/>
      <w:bookmarkEnd w:id="1129"/>
      <w:bookmarkEnd w:id="1130"/>
      <w:bookmarkEnd w:id="1131"/>
    </w:p>
    <w:p>
      <w:pPr>
        <w:pStyle w:val="4"/>
        <w:spacing w:before="0" w:after="0" w:line="324" w:lineRule="auto"/>
        <w:ind w:firstLine="481" w:firstLineChars="200"/>
        <w:rPr>
          <w:rFonts w:ascii="宋体" w:hAnsi="宋体" w:eastAsia="宋体" w:cs="宋体"/>
          <w:b w:val="0"/>
          <w:color w:val="auto"/>
          <w:sz w:val="24"/>
          <w:szCs w:val="24"/>
          <w:highlight w:val="none"/>
        </w:rPr>
      </w:pPr>
      <w:bookmarkStart w:id="1132" w:name="_Toc356567974"/>
      <w:bookmarkStart w:id="1133" w:name="_Toc487291580"/>
      <w:bookmarkStart w:id="1134" w:name="_Toc488650901"/>
      <w:bookmarkStart w:id="1135" w:name="_Toc487653469"/>
      <w:bookmarkStart w:id="1136" w:name="_Toc341805297"/>
      <w:bookmarkStart w:id="1137" w:name="_Toc487619551"/>
      <w:r>
        <w:rPr>
          <w:rFonts w:hint="eastAsia" w:ascii="宋体" w:hAnsi="宋体" w:eastAsia="宋体" w:cs="宋体"/>
          <w:color w:val="auto"/>
          <w:sz w:val="24"/>
          <w:szCs w:val="24"/>
          <w:highlight w:val="none"/>
        </w:rPr>
        <w:t>8.1</w:t>
      </w:r>
      <w:r>
        <w:rPr>
          <w:rFonts w:hint="eastAsia" w:ascii="宋体" w:hAnsi="宋体" w:eastAsia="宋体" w:cs="宋体"/>
          <w:b w:val="0"/>
          <w:color w:val="auto"/>
          <w:sz w:val="24"/>
          <w:szCs w:val="24"/>
          <w:highlight w:val="none"/>
        </w:rPr>
        <w:t xml:space="preserve">  保障</w:t>
      </w:r>
      <w:bookmarkEnd w:id="1132"/>
      <w:bookmarkEnd w:id="1133"/>
      <w:bookmarkEnd w:id="1134"/>
      <w:bookmarkEnd w:id="1135"/>
      <w:bookmarkEnd w:id="1136"/>
      <w:bookmarkEnd w:id="1137"/>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8.1.1  在监理人不违反有关法律、法规的前提下，发包人应保障监理人免受因履行本监理合同而引起的外界索赔和干扰。</w:t>
      </w:r>
    </w:p>
    <w:p>
      <w:pPr>
        <w:spacing w:line="324" w:lineRule="auto"/>
        <w:ind w:firstLine="480" w:firstLineChars="200"/>
        <w:outlineLvl w:val="0"/>
        <w:rPr>
          <w:rFonts w:ascii="宋体" w:hAnsi="宋体" w:cs="宋体"/>
          <w:color w:val="auto"/>
          <w:sz w:val="24"/>
          <w:highlight w:val="none"/>
        </w:rPr>
      </w:pPr>
      <w:bookmarkStart w:id="1138" w:name="_Toc488650902"/>
      <w:bookmarkStart w:id="1139" w:name="_Toc487653470"/>
      <w:bookmarkStart w:id="1140" w:name="_Toc487619552"/>
      <w:bookmarkStart w:id="1141" w:name="_Toc487291581"/>
      <w:r>
        <w:rPr>
          <w:rFonts w:hint="eastAsia" w:ascii="宋体" w:hAnsi="宋体" w:cs="宋体"/>
          <w:color w:val="auto"/>
          <w:sz w:val="24"/>
          <w:highlight w:val="none"/>
        </w:rPr>
        <w:t>8.1.2  如果监理人无正当理由全部或部分不履行本监理合同时，发包人有权根据具体情况没收全部或部分履约保证金。</w:t>
      </w:r>
      <w:bookmarkEnd w:id="1138"/>
      <w:bookmarkEnd w:id="1139"/>
      <w:bookmarkEnd w:id="1140"/>
      <w:bookmarkEnd w:id="1141"/>
    </w:p>
    <w:p>
      <w:pPr>
        <w:pStyle w:val="4"/>
        <w:spacing w:before="0" w:after="0" w:line="324" w:lineRule="auto"/>
        <w:ind w:firstLine="481" w:firstLineChars="200"/>
        <w:rPr>
          <w:rFonts w:ascii="宋体" w:hAnsi="宋体" w:eastAsia="宋体" w:cs="宋体"/>
          <w:b w:val="0"/>
          <w:color w:val="auto"/>
          <w:sz w:val="24"/>
          <w:szCs w:val="24"/>
          <w:highlight w:val="none"/>
        </w:rPr>
      </w:pPr>
      <w:bookmarkStart w:id="1142" w:name="_Toc356567975"/>
      <w:bookmarkStart w:id="1143" w:name="_Toc487619553"/>
      <w:bookmarkStart w:id="1144" w:name="_Toc341805298"/>
      <w:bookmarkStart w:id="1145" w:name="_Toc487653471"/>
      <w:bookmarkStart w:id="1146" w:name="_Toc487291582"/>
      <w:bookmarkStart w:id="1147" w:name="_Toc488650903"/>
      <w:r>
        <w:rPr>
          <w:rFonts w:hint="eastAsia" w:ascii="宋体" w:hAnsi="宋体" w:eastAsia="宋体" w:cs="宋体"/>
          <w:color w:val="auto"/>
          <w:sz w:val="24"/>
          <w:szCs w:val="24"/>
          <w:highlight w:val="none"/>
        </w:rPr>
        <w:t xml:space="preserve">8.2 </w:t>
      </w:r>
      <w:r>
        <w:rPr>
          <w:rFonts w:hint="eastAsia" w:ascii="宋体" w:hAnsi="宋体" w:eastAsia="宋体" w:cs="宋体"/>
          <w:b w:val="0"/>
          <w:color w:val="auto"/>
          <w:sz w:val="24"/>
          <w:szCs w:val="24"/>
          <w:highlight w:val="none"/>
        </w:rPr>
        <w:t xml:space="preserve"> 保险</w:t>
      </w:r>
      <w:bookmarkEnd w:id="1142"/>
      <w:bookmarkEnd w:id="1143"/>
      <w:bookmarkEnd w:id="1144"/>
      <w:bookmarkEnd w:id="1145"/>
      <w:bookmarkEnd w:id="1146"/>
      <w:bookmarkEnd w:id="1147"/>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pPr>
        <w:pStyle w:val="4"/>
        <w:spacing w:before="0" w:after="0" w:line="324" w:lineRule="auto"/>
        <w:ind w:firstLine="481" w:firstLineChars="200"/>
        <w:rPr>
          <w:rFonts w:ascii="宋体" w:hAnsi="宋体" w:eastAsia="宋体" w:cs="宋体"/>
          <w:color w:val="auto"/>
          <w:sz w:val="24"/>
          <w:szCs w:val="24"/>
          <w:highlight w:val="none"/>
        </w:rPr>
      </w:pPr>
      <w:bookmarkStart w:id="1148" w:name="_Toc330384465"/>
      <w:bookmarkStart w:id="1149" w:name="_Toc487291583"/>
      <w:bookmarkStart w:id="1150" w:name="_Toc341805299"/>
      <w:bookmarkStart w:id="1151" w:name="_Toc487619554"/>
      <w:bookmarkStart w:id="1152" w:name="_Toc488650904"/>
      <w:bookmarkStart w:id="1153" w:name="_Toc487653472"/>
      <w:r>
        <w:rPr>
          <w:rFonts w:hint="eastAsia" w:ascii="宋体" w:hAnsi="宋体" w:eastAsia="宋体" w:cs="宋体"/>
          <w:color w:val="auto"/>
          <w:sz w:val="24"/>
          <w:szCs w:val="24"/>
          <w:highlight w:val="none"/>
        </w:rPr>
        <w:t>9．争议的解决</w:t>
      </w:r>
      <w:bookmarkEnd w:id="1148"/>
      <w:bookmarkEnd w:id="1149"/>
      <w:bookmarkEnd w:id="1150"/>
      <w:bookmarkEnd w:id="1151"/>
      <w:bookmarkEnd w:id="1152"/>
      <w:bookmarkEnd w:id="1153"/>
    </w:p>
    <w:p>
      <w:pPr>
        <w:pStyle w:val="4"/>
        <w:spacing w:before="0" w:after="0" w:line="324" w:lineRule="auto"/>
        <w:ind w:firstLine="481" w:firstLineChars="200"/>
        <w:rPr>
          <w:rFonts w:ascii="宋体" w:hAnsi="宋体" w:eastAsia="宋体" w:cs="宋体"/>
          <w:b w:val="0"/>
          <w:color w:val="auto"/>
          <w:sz w:val="24"/>
          <w:szCs w:val="24"/>
          <w:highlight w:val="none"/>
        </w:rPr>
      </w:pPr>
      <w:bookmarkStart w:id="1154" w:name="_Toc488650905"/>
      <w:bookmarkStart w:id="1155" w:name="_Toc487291584"/>
      <w:bookmarkStart w:id="1156" w:name="_Toc487653473"/>
      <w:bookmarkStart w:id="1157" w:name="_Toc487619555"/>
      <w:bookmarkStart w:id="1158" w:name="_Toc341805300"/>
      <w:bookmarkStart w:id="1159" w:name="_Toc356567977"/>
      <w:r>
        <w:rPr>
          <w:rFonts w:hint="eastAsia" w:ascii="宋体" w:hAnsi="宋体" w:eastAsia="宋体" w:cs="宋体"/>
          <w:color w:val="auto"/>
          <w:sz w:val="24"/>
          <w:szCs w:val="24"/>
          <w:highlight w:val="none"/>
        </w:rPr>
        <w:t xml:space="preserve">9.1 </w:t>
      </w:r>
      <w:r>
        <w:rPr>
          <w:rFonts w:hint="eastAsia" w:ascii="宋体" w:hAnsi="宋体" w:eastAsia="宋体" w:cs="宋体"/>
          <w:b w:val="0"/>
          <w:color w:val="auto"/>
          <w:sz w:val="24"/>
          <w:szCs w:val="24"/>
          <w:highlight w:val="none"/>
        </w:rPr>
        <w:t xml:space="preserve"> 争议的解决方式</w:t>
      </w:r>
      <w:bookmarkEnd w:id="1154"/>
      <w:bookmarkEnd w:id="1155"/>
      <w:bookmarkEnd w:id="1156"/>
      <w:bookmarkEnd w:id="1157"/>
      <w:bookmarkEnd w:id="1158"/>
      <w:bookmarkEnd w:id="1159"/>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发包人和监理人在履行合同中发生争议的，可以友好协商解决，合同当事人无法协商一致，可在专用合同条款中约定下列一种方式解决。</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（1）向约定的仲裁委员会申请仲裁；</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（2）向有管辖权的人民法院提起诉讼。</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1160" w:name="_Toc487653474"/>
      <w:bookmarkStart w:id="1161" w:name="_Toc488650906"/>
      <w:bookmarkStart w:id="1162" w:name="_Toc356567978"/>
      <w:bookmarkStart w:id="1163" w:name="_Toc487619556"/>
      <w:bookmarkStart w:id="1164" w:name="_Toc487291585"/>
      <w:bookmarkStart w:id="1165" w:name="_Toc341805301"/>
      <w:r>
        <w:rPr>
          <w:rFonts w:hint="eastAsia" w:ascii="宋体" w:hAnsi="宋体" w:eastAsia="宋体" w:cs="宋体"/>
          <w:color w:val="auto"/>
          <w:sz w:val="24"/>
          <w:szCs w:val="24"/>
          <w:highlight w:val="none"/>
        </w:rPr>
        <w:t>9.2</w:t>
      </w:r>
      <w:r>
        <w:rPr>
          <w:rFonts w:hint="eastAsia" w:ascii="宋体" w:hAnsi="宋体" w:eastAsia="宋体" w:cs="宋体"/>
          <w:b w:val="0"/>
          <w:color w:val="auto"/>
          <w:sz w:val="24"/>
          <w:szCs w:val="24"/>
          <w:highlight w:val="none"/>
        </w:rPr>
        <w:t xml:space="preserve">  友好解决</w:t>
      </w:r>
      <w:bookmarkEnd w:id="1160"/>
      <w:bookmarkEnd w:id="1161"/>
      <w:bookmarkEnd w:id="1162"/>
      <w:bookmarkEnd w:id="1163"/>
      <w:bookmarkEnd w:id="1164"/>
      <w:bookmarkEnd w:id="1165"/>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在提请仲裁或者诉讼前，以及在仲裁或诉讼过程中，发包人和监理人均可共同努力友好协商解决争议。</w:t>
      </w:r>
    </w:p>
    <w:p>
      <w:pPr>
        <w:pStyle w:val="4"/>
        <w:spacing w:before="0" w:after="0" w:line="324" w:lineRule="auto"/>
        <w:ind w:firstLine="480" w:firstLineChars="200"/>
        <w:rPr>
          <w:rFonts w:ascii="宋体" w:hAnsi="宋体" w:eastAsia="宋体" w:cs="宋体"/>
          <w:b w:val="0"/>
          <w:color w:val="auto"/>
          <w:sz w:val="24"/>
          <w:szCs w:val="24"/>
          <w:highlight w:val="none"/>
        </w:rPr>
      </w:pPr>
      <w:bookmarkStart w:id="1166" w:name="_Toc341805302"/>
      <w:bookmarkStart w:id="1167" w:name="_Toc487291586"/>
      <w:bookmarkStart w:id="1168" w:name="_Toc488650907"/>
      <w:bookmarkStart w:id="1169" w:name="_Toc283558767"/>
      <w:bookmarkStart w:id="1170" w:name="_Toc487653475"/>
      <w:bookmarkStart w:id="1171" w:name="_Toc487619557"/>
      <w:bookmarkStart w:id="1172" w:name="_Toc330384466"/>
      <w:bookmarkStart w:id="1173" w:name="_Toc283559264"/>
      <w:bookmarkStart w:id="1174" w:name="_Toc286759114"/>
      <w:r>
        <w:rPr>
          <w:rFonts w:hint="eastAsia" w:ascii="宋体" w:hAnsi="宋体" w:eastAsia="宋体" w:cs="宋体"/>
          <w:b w:val="0"/>
          <w:color w:val="auto"/>
          <w:sz w:val="24"/>
          <w:szCs w:val="24"/>
          <w:highlight w:val="none"/>
        </w:rPr>
        <w:t>10．其他</w:t>
      </w:r>
      <w:bookmarkEnd w:id="1166"/>
      <w:bookmarkEnd w:id="1167"/>
      <w:bookmarkEnd w:id="1168"/>
      <w:bookmarkEnd w:id="1169"/>
      <w:bookmarkEnd w:id="1170"/>
      <w:bookmarkEnd w:id="1171"/>
      <w:bookmarkEnd w:id="1172"/>
      <w:bookmarkEnd w:id="1173"/>
      <w:bookmarkEnd w:id="1174"/>
    </w:p>
    <w:p>
      <w:pPr>
        <w:pStyle w:val="4"/>
        <w:spacing w:before="0" w:after="0" w:line="324" w:lineRule="auto"/>
        <w:ind w:firstLine="481" w:firstLineChars="200"/>
        <w:rPr>
          <w:rFonts w:ascii="宋体" w:hAnsi="宋体" w:eastAsia="宋体" w:cs="宋体"/>
          <w:b w:val="0"/>
          <w:color w:val="auto"/>
          <w:sz w:val="24"/>
          <w:szCs w:val="24"/>
          <w:highlight w:val="none"/>
        </w:rPr>
      </w:pPr>
      <w:bookmarkStart w:id="1175" w:name="_Toc356567980"/>
      <w:bookmarkStart w:id="1176" w:name="_Toc488650908"/>
      <w:bookmarkStart w:id="1177" w:name="_Toc487619558"/>
      <w:bookmarkStart w:id="1178" w:name="_Toc487653476"/>
      <w:bookmarkStart w:id="1179" w:name="_Toc341805303"/>
      <w:bookmarkStart w:id="1180" w:name="_Toc487291587"/>
      <w:r>
        <w:rPr>
          <w:rFonts w:hint="eastAsia" w:ascii="宋体" w:hAnsi="宋体" w:eastAsia="宋体" w:cs="宋体"/>
          <w:color w:val="auto"/>
          <w:sz w:val="24"/>
          <w:szCs w:val="24"/>
          <w:highlight w:val="none"/>
        </w:rPr>
        <w:t xml:space="preserve">10.1 </w:t>
      </w:r>
      <w:r>
        <w:rPr>
          <w:rFonts w:hint="eastAsia" w:ascii="宋体" w:hAnsi="宋体" w:eastAsia="宋体" w:cs="宋体"/>
          <w:b w:val="0"/>
          <w:color w:val="auto"/>
          <w:sz w:val="24"/>
          <w:szCs w:val="24"/>
          <w:highlight w:val="none"/>
        </w:rPr>
        <w:t xml:space="preserve"> 合同双方的关系</w:t>
      </w:r>
      <w:bookmarkEnd w:id="1175"/>
      <w:bookmarkEnd w:id="1176"/>
      <w:bookmarkEnd w:id="1177"/>
      <w:bookmarkEnd w:id="1178"/>
      <w:bookmarkEnd w:id="1179"/>
      <w:bookmarkEnd w:id="1180"/>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合同双方互为权利和义务主体，双方应遵循平等互利、协商一致的原则履行本监理合同。发包人和监理人均应按照监理合同公正地行使权力和全面履行自己的职责。</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1181" w:name="_Toc283559265"/>
      <w:bookmarkStart w:id="1182" w:name="_Toc283558768"/>
      <w:bookmarkStart w:id="1183" w:name="_Toc356567981"/>
      <w:bookmarkStart w:id="1184" w:name="_Toc487653477"/>
      <w:bookmarkStart w:id="1185" w:name="_Toc487291588"/>
      <w:bookmarkStart w:id="1186" w:name="_Toc487619559"/>
      <w:bookmarkStart w:id="1187" w:name="_Toc341805304"/>
      <w:bookmarkStart w:id="1188" w:name="_Toc488650909"/>
      <w:r>
        <w:rPr>
          <w:rFonts w:hint="eastAsia" w:ascii="宋体" w:hAnsi="宋体" w:eastAsia="宋体" w:cs="宋体"/>
          <w:color w:val="auto"/>
          <w:sz w:val="24"/>
          <w:szCs w:val="24"/>
          <w:highlight w:val="none"/>
        </w:rPr>
        <w:t>10.2</w:t>
      </w:r>
      <w:r>
        <w:rPr>
          <w:rFonts w:hint="eastAsia" w:ascii="宋体" w:hAnsi="宋体" w:eastAsia="宋体" w:cs="宋体"/>
          <w:b w:val="0"/>
          <w:color w:val="auto"/>
          <w:sz w:val="24"/>
          <w:szCs w:val="24"/>
          <w:highlight w:val="none"/>
        </w:rPr>
        <w:t xml:space="preserve">  </w:t>
      </w:r>
      <w:bookmarkEnd w:id="1181"/>
      <w:bookmarkEnd w:id="1182"/>
      <w:bookmarkStart w:id="1189" w:name="_Toc283558769"/>
      <w:bookmarkStart w:id="1190" w:name="_Toc283559266"/>
      <w:r>
        <w:rPr>
          <w:rFonts w:hint="eastAsia" w:ascii="宋体" w:hAnsi="宋体" w:eastAsia="宋体" w:cs="宋体"/>
          <w:b w:val="0"/>
          <w:color w:val="auto"/>
          <w:sz w:val="24"/>
          <w:szCs w:val="24"/>
          <w:highlight w:val="none"/>
        </w:rPr>
        <w:t>奖励</w:t>
      </w:r>
      <w:bookmarkEnd w:id="1183"/>
      <w:bookmarkEnd w:id="1184"/>
      <w:bookmarkEnd w:id="1185"/>
      <w:bookmarkEnd w:id="1186"/>
      <w:bookmarkEnd w:id="1187"/>
      <w:bookmarkEnd w:id="1188"/>
      <w:bookmarkEnd w:id="1189"/>
      <w:bookmarkEnd w:id="1190"/>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10.2.1  监理人提出的合理化建议缩短了工期、降低工程造价或产生经济效益，发包人可按国家有关规定在专用条款中约定给予奖励；</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10.2.2  为奖励优质监理服务而设立的奖金，发包人在专用条款中约定；</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10.2.3  除专用条款中约定或招标时特别明确外，发包人对监理人的奖励不应从已中标的监理服务费中提取奖励资金。</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1191" w:name="_Toc341805305"/>
      <w:bookmarkStart w:id="1192" w:name="_Toc488650910"/>
      <w:bookmarkStart w:id="1193" w:name="_Toc487653478"/>
      <w:bookmarkStart w:id="1194" w:name="_Toc487619560"/>
      <w:bookmarkStart w:id="1195" w:name="_Toc487291589"/>
      <w:bookmarkStart w:id="1196" w:name="_Toc356567982"/>
      <w:r>
        <w:rPr>
          <w:rFonts w:hint="eastAsia" w:ascii="宋体" w:hAnsi="宋体" w:eastAsia="宋体" w:cs="宋体"/>
          <w:color w:val="auto"/>
          <w:sz w:val="24"/>
          <w:szCs w:val="24"/>
          <w:highlight w:val="none"/>
        </w:rPr>
        <w:t>10.3</w:t>
      </w:r>
      <w:r>
        <w:rPr>
          <w:rFonts w:hint="eastAsia" w:ascii="宋体" w:hAnsi="宋体" w:eastAsia="宋体" w:cs="宋体"/>
          <w:b w:val="0"/>
          <w:color w:val="auto"/>
          <w:sz w:val="24"/>
          <w:szCs w:val="24"/>
          <w:highlight w:val="none"/>
        </w:rPr>
        <w:t xml:space="preserve">  竣工资料</w:t>
      </w:r>
      <w:bookmarkEnd w:id="1191"/>
      <w:bookmarkEnd w:id="1192"/>
      <w:bookmarkEnd w:id="1193"/>
      <w:bookmarkEnd w:id="1194"/>
      <w:bookmarkEnd w:id="1195"/>
      <w:bookmarkEnd w:id="1196"/>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监理人提供的竣工资料应符合国家有关要求，提交的竣工资料在专用条款中约定。</w:t>
      </w:r>
    </w:p>
    <w:p>
      <w:pPr>
        <w:pStyle w:val="4"/>
        <w:spacing w:before="0" w:after="0" w:line="324" w:lineRule="auto"/>
        <w:ind w:firstLine="481" w:firstLineChars="200"/>
        <w:rPr>
          <w:rFonts w:ascii="宋体" w:hAnsi="宋体" w:eastAsia="宋体" w:cs="宋体"/>
          <w:b w:val="0"/>
          <w:color w:val="auto"/>
          <w:sz w:val="24"/>
          <w:szCs w:val="24"/>
          <w:highlight w:val="none"/>
        </w:rPr>
      </w:pPr>
      <w:bookmarkStart w:id="1197" w:name="_Toc283558770"/>
      <w:bookmarkStart w:id="1198" w:name="_Toc487653479"/>
      <w:bookmarkStart w:id="1199" w:name="_Toc488650911"/>
      <w:bookmarkStart w:id="1200" w:name="_Toc356567983"/>
      <w:bookmarkStart w:id="1201" w:name="_Toc487291590"/>
      <w:bookmarkStart w:id="1202" w:name="_Toc487619561"/>
      <w:bookmarkStart w:id="1203" w:name="_Toc341805306"/>
      <w:bookmarkStart w:id="1204" w:name="_Toc283559267"/>
      <w:r>
        <w:rPr>
          <w:rFonts w:hint="eastAsia" w:ascii="宋体" w:hAnsi="宋体" w:eastAsia="宋体" w:cs="宋体"/>
          <w:color w:val="auto"/>
          <w:sz w:val="24"/>
          <w:szCs w:val="24"/>
          <w:highlight w:val="none"/>
        </w:rPr>
        <w:t xml:space="preserve">10.4 </w:t>
      </w:r>
      <w:r>
        <w:rPr>
          <w:rFonts w:hint="eastAsia" w:ascii="宋体" w:hAnsi="宋体" w:eastAsia="宋体" w:cs="宋体"/>
          <w:b w:val="0"/>
          <w:color w:val="auto"/>
          <w:sz w:val="24"/>
          <w:szCs w:val="24"/>
          <w:highlight w:val="none"/>
        </w:rPr>
        <w:t xml:space="preserve"> 利益矛盾</w:t>
      </w:r>
      <w:bookmarkEnd w:id="1197"/>
      <w:bookmarkEnd w:id="1198"/>
      <w:bookmarkEnd w:id="1199"/>
      <w:bookmarkEnd w:id="1200"/>
      <w:bookmarkEnd w:id="1201"/>
      <w:bookmarkEnd w:id="1202"/>
      <w:bookmarkEnd w:id="1203"/>
      <w:bookmarkEnd w:id="1204"/>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未经发包人书面同意，监理人不得获取本监理合同约定以外的与本工程有关的任何利益，不得参与与本监理合同约定的发包人利益相冲突的任何活动。</w:t>
      </w: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pStyle w:val="4"/>
        <w:jc w:val="center"/>
        <w:rPr>
          <w:color w:val="auto"/>
          <w:highlight w:val="none"/>
        </w:rPr>
      </w:pPr>
      <w:bookmarkStart w:id="1205" w:name="_Toc488650912"/>
      <w:bookmarkStart w:id="1206" w:name="_Toc341805307"/>
      <w:bookmarkStart w:id="1207" w:name="_Toc330384467"/>
      <w:r>
        <w:rPr>
          <w:rFonts w:hint="eastAsia"/>
          <w:color w:val="auto"/>
          <w:highlight w:val="none"/>
        </w:rPr>
        <w:t>第二节   专用合同条款</w:t>
      </w:r>
      <w:bookmarkEnd w:id="1205"/>
      <w:bookmarkEnd w:id="1206"/>
      <w:bookmarkEnd w:id="1207"/>
    </w:p>
    <w:p>
      <w:pPr>
        <w:spacing w:line="324" w:lineRule="auto"/>
        <w:ind w:firstLine="480" w:firstLineChars="200"/>
        <w:rPr>
          <w:color w:val="auto"/>
          <w:sz w:val="24"/>
          <w:highlight w:val="none"/>
        </w:rPr>
      </w:pPr>
      <w:r>
        <w:rPr>
          <w:color w:val="auto"/>
          <w:sz w:val="24"/>
          <w:highlight w:val="none"/>
        </w:rPr>
        <w:t>本专用合同条款</w:t>
      </w:r>
      <w:r>
        <w:rPr>
          <w:rFonts w:hint="eastAsia"/>
          <w:color w:val="auto"/>
          <w:sz w:val="24"/>
          <w:highlight w:val="none"/>
        </w:rPr>
        <w:t>是依据通用条款进行编制，</w:t>
      </w:r>
      <w:r>
        <w:rPr>
          <w:color w:val="auto"/>
          <w:sz w:val="24"/>
          <w:highlight w:val="none"/>
        </w:rPr>
        <w:t>发包人</w:t>
      </w:r>
      <w:r>
        <w:rPr>
          <w:rFonts w:hint="eastAsia"/>
          <w:color w:val="auto"/>
          <w:sz w:val="24"/>
          <w:highlight w:val="none"/>
        </w:rPr>
        <w:t>可</w:t>
      </w:r>
      <w:r>
        <w:rPr>
          <w:color w:val="auto"/>
          <w:sz w:val="24"/>
          <w:highlight w:val="none"/>
        </w:rPr>
        <w:t>根据</w:t>
      </w:r>
      <w:r>
        <w:rPr>
          <w:rFonts w:hint="eastAsia"/>
          <w:color w:val="auto"/>
          <w:sz w:val="24"/>
          <w:highlight w:val="none"/>
        </w:rPr>
        <w:t>工程</w:t>
      </w:r>
      <w:r>
        <w:rPr>
          <w:color w:val="auto"/>
          <w:sz w:val="24"/>
          <w:highlight w:val="none"/>
        </w:rPr>
        <w:t>的特点</w:t>
      </w:r>
      <w:r>
        <w:rPr>
          <w:rFonts w:hint="eastAsia"/>
          <w:color w:val="auto"/>
          <w:sz w:val="24"/>
          <w:highlight w:val="none"/>
        </w:rPr>
        <w:t>、</w:t>
      </w:r>
      <w:r>
        <w:rPr>
          <w:color w:val="auto"/>
          <w:sz w:val="24"/>
          <w:highlight w:val="none"/>
        </w:rPr>
        <w:t>环境</w:t>
      </w:r>
      <w:r>
        <w:rPr>
          <w:rFonts w:hint="eastAsia"/>
          <w:color w:val="auto"/>
          <w:sz w:val="24"/>
          <w:highlight w:val="none"/>
        </w:rPr>
        <w:t>及针对工程的特殊要求</w:t>
      </w:r>
      <w:r>
        <w:rPr>
          <w:color w:val="auto"/>
          <w:sz w:val="24"/>
          <w:highlight w:val="none"/>
        </w:rPr>
        <w:t>，在此进行补充或</w:t>
      </w:r>
      <w:r>
        <w:rPr>
          <w:rFonts w:hint="eastAsia"/>
          <w:color w:val="auto"/>
          <w:sz w:val="24"/>
          <w:highlight w:val="none"/>
        </w:rPr>
        <w:t>明确</w:t>
      </w:r>
      <w:r>
        <w:rPr>
          <w:color w:val="auto"/>
          <w:sz w:val="24"/>
          <w:highlight w:val="none"/>
        </w:rPr>
        <w:t>，</w:t>
      </w:r>
      <w:r>
        <w:rPr>
          <w:rFonts w:hint="eastAsia"/>
          <w:color w:val="auto"/>
          <w:sz w:val="24"/>
          <w:highlight w:val="none"/>
        </w:rPr>
        <w:t>但不得影响通用条款的主旨和本意</w:t>
      </w:r>
      <w:r>
        <w:rPr>
          <w:color w:val="auto"/>
          <w:sz w:val="24"/>
          <w:highlight w:val="none"/>
        </w:rPr>
        <w:t>。</w:t>
      </w:r>
    </w:p>
    <w:p>
      <w:pPr>
        <w:spacing w:line="324" w:lineRule="auto"/>
        <w:ind w:firstLine="480" w:firstLineChars="200"/>
        <w:outlineLvl w:val="0"/>
        <w:rPr>
          <w:color w:val="auto"/>
          <w:sz w:val="24"/>
          <w:highlight w:val="none"/>
        </w:rPr>
      </w:pPr>
      <w:bookmarkStart w:id="1208" w:name="_Toc487619563"/>
      <w:bookmarkStart w:id="1209" w:name="_Toc487291592"/>
      <w:bookmarkStart w:id="1210" w:name="_Toc487653481"/>
      <w:bookmarkStart w:id="1211" w:name="_Toc488650913"/>
      <w:r>
        <w:rPr>
          <w:rFonts w:hint="eastAsia"/>
          <w:color w:val="auto"/>
          <w:sz w:val="24"/>
          <w:highlight w:val="none"/>
        </w:rPr>
        <w:t>1．一般约定</w:t>
      </w:r>
      <w:bookmarkEnd w:id="1208"/>
      <w:bookmarkEnd w:id="1209"/>
      <w:bookmarkEnd w:id="1210"/>
      <w:bookmarkEnd w:id="1211"/>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1.1.2（2）发包人：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1.1.3（2）项目：</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adjustRightInd w:val="0"/>
        <w:snapToGrid w:val="0"/>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tabs>
          <w:tab w:val="left" w:pos="8400"/>
        </w:tabs>
        <w:autoSpaceDE w:val="0"/>
        <w:autoSpaceDN w:val="0"/>
        <w:adjustRightInd w:val="0"/>
        <w:snapToGrid w:val="0"/>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项目规模：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adjustRightInd w:val="0"/>
        <w:snapToGrid w:val="0"/>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adjustRightInd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项目总投资：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adjustRightInd w:val="0"/>
        <w:snapToGrid w:val="0"/>
        <w:spacing w:line="324" w:lineRule="auto"/>
        <w:ind w:firstLine="480" w:firstLineChars="200"/>
        <w:rPr>
          <w:rFonts w:cs="宋体"/>
          <w:color w:val="auto"/>
          <w:sz w:val="24"/>
          <w:highlight w:val="none"/>
        </w:rPr>
      </w:pPr>
      <w:r>
        <w:rPr>
          <w:rFonts w:hint="eastAsia" w:cs="宋体"/>
          <w:color w:val="auto"/>
          <w:sz w:val="24"/>
          <w:highlight w:val="none"/>
        </w:rPr>
        <w:t>1.1.4（2） 缺陷责任期：</w:t>
      </w:r>
      <w:r>
        <w:rPr>
          <w:rFonts w:hint="eastAsia" w:cs="宋体"/>
          <w:color w:val="auto"/>
          <w:sz w:val="24"/>
          <w:highlight w:val="none"/>
          <w:u w:val="single"/>
        </w:rPr>
        <w:t xml:space="preserve">     </w:t>
      </w:r>
      <w:r>
        <w:rPr>
          <w:rFonts w:hint="eastAsia" w:cs="宋体"/>
          <w:color w:val="auto"/>
          <w:sz w:val="24"/>
          <w:highlight w:val="none"/>
        </w:rPr>
        <w:t>个月。</w:t>
      </w:r>
    </w:p>
    <w:p>
      <w:pPr>
        <w:autoSpaceDE w:val="0"/>
        <w:autoSpaceDN w:val="0"/>
        <w:adjustRightInd w:val="0"/>
        <w:snapToGrid w:val="0"/>
        <w:spacing w:line="324" w:lineRule="auto"/>
        <w:ind w:firstLine="480" w:firstLineChars="200"/>
        <w:rPr>
          <w:rFonts w:cs="宋体"/>
          <w:color w:val="auto"/>
          <w:sz w:val="24"/>
          <w:highlight w:val="none"/>
          <w:u w:val="single"/>
        </w:rPr>
      </w:pPr>
      <w:r>
        <w:rPr>
          <w:rFonts w:hint="eastAsia" w:cs="宋体"/>
          <w:color w:val="auto"/>
          <w:sz w:val="24"/>
          <w:highlight w:val="none"/>
        </w:rPr>
        <w:t>1.6.2监理人向发包人提交监理规划的期限：在监理合同协议书签订后</w:t>
      </w:r>
      <w:r>
        <w:rPr>
          <w:rFonts w:hint="eastAsia" w:cs="宋体"/>
          <w:color w:val="auto"/>
          <w:sz w:val="24"/>
          <w:highlight w:val="none"/>
          <w:u w:val="single"/>
        </w:rPr>
        <w:t xml:space="preserve">    </w:t>
      </w:r>
      <w:r>
        <w:rPr>
          <w:rFonts w:hint="eastAsia" w:cs="宋体"/>
          <w:color w:val="auto"/>
          <w:sz w:val="24"/>
          <w:highlight w:val="none"/>
        </w:rPr>
        <w:t>日内。</w:t>
      </w:r>
    </w:p>
    <w:p>
      <w:pPr>
        <w:spacing w:line="324" w:lineRule="auto"/>
        <w:ind w:firstLine="480" w:firstLineChars="200"/>
        <w:rPr>
          <w:color w:val="auto"/>
          <w:sz w:val="24"/>
          <w:highlight w:val="none"/>
        </w:rPr>
      </w:pPr>
      <w:bookmarkStart w:id="1212" w:name="_Toc341015683"/>
      <w:bookmarkStart w:id="1213" w:name="_Toc336172257"/>
      <w:bookmarkStart w:id="1214" w:name="_Toc307991217"/>
      <w:bookmarkStart w:id="1215" w:name="_Toc286759119"/>
      <w:bookmarkStart w:id="1216" w:name="_Toc341805308"/>
      <w:bookmarkStart w:id="1217" w:name="_Toc283559274"/>
      <w:bookmarkStart w:id="1218" w:name="_Toc283558777"/>
      <w:bookmarkStart w:id="1219" w:name="_Toc330384468"/>
      <w:r>
        <w:rPr>
          <w:rFonts w:hint="eastAsia"/>
          <w:color w:val="auto"/>
          <w:sz w:val="24"/>
          <w:highlight w:val="none"/>
        </w:rPr>
        <w:t>2．发包人的义务</w:t>
      </w:r>
      <w:bookmarkEnd w:id="1212"/>
      <w:bookmarkEnd w:id="1213"/>
      <w:bookmarkEnd w:id="1214"/>
      <w:bookmarkEnd w:id="1215"/>
      <w:bookmarkEnd w:id="1216"/>
      <w:bookmarkEnd w:id="1217"/>
      <w:bookmarkEnd w:id="1218"/>
      <w:bookmarkEnd w:id="1219"/>
      <w:r>
        <w:rPr>
          <w:rFonts w:hint="eastAsia"/>
          <w:color w:val="auto"/>
          <w:sz w:val="24"/>
          <w:highlight w:val="none"/>
        </w:rPr>
        <w:t xml:space="preserve"> </w:t>
      </w:r>
    </w:p>
    <w:p>
      <w:pPr>
        <w:spacing w:line="324" w:lineRule="auto"/>
        <w:ind w:firstLine="480" w:firstLineChars="200"/>
        <w:outlineLvl w:val="0"/>
        <w:rPr>
          <w:color w:val="auto"/>
          <w:sz w:val="24"/>
          <w:highlight w:val="none"/>
        </w:rPr>
      </w:pPr>
      <w:bookmarkStart w:id="1220" w:name="_Toc487653482"/>
      <w:bookmarkStart w:id="1221" w:name="_Toc488650914"/>
      <w:bookmarkStart w:id="1222" w:name="_Toc487619564"/>
      <w:bookmarkStart w:id="1223" w:name="_Toc487291593"/>
      <w:bookmarkStart w:id="1224" w:name="_Toc283558786"/>
      <w:bookmarkStart w:id="1225" w:name="_Toc283559283"/>
      <w:r>
        <w:rPr>
          <w:rFonts w:hint="eastAsia"/>
          <w:color w:val="auto"/>
          <w:sz w:val="24"/>
          <w:highlight w:val="none"/>
        </w:rPr>
        <w:t>2.2  监理工作条件</w:t>
      </w:r>
      <w:bookmarkEnd w:id="1220"/>
      <w:bookmarkEnd w:id="1221"/>
      <w:bookmarkEnd w:id="1222"/>
      <w:bookmarkEnd w:id="1223"/>
    </w:p>
    <w:p>
      <w:pPr>
        <w:autoSpaceDE w:val="0"/>
        <w:autoSpaceDN w:val="0"/>
        <w:adjustRightInd w:val="0"/>
        <w:snapToGrid w:val="0"/>
        <w:spacing w:line="324" w:lineRule="auto"/>
        <w:ind w:firstLine="480" w:firstLineChars="200"/>
        <w:rPr>
          <w:rFonts w:cs="宋体"/>
          <w:color w:val="auto"/>
          <w:sz w:val="24"/>
          <w:highlight w:val="none"/>
        </w:rPr>
      </w:pPr>
      <w:bookmarkStart w:id="1226" w:name="_Toc286759128"/>
      <w:bookmarkStart w:id="1227" w:name="_Toc336172258"/>
      <w:bookmarkStart w:id="1228" w:name="_Toc307991225"/>
      <w:bookmarkStart w:id="1229" w:name="_Toc330384469"/>
      <w:r>
        <w:rPr>
          <w:rFonts w:hint="eastAsia" w:cs="宋体"/>
          <w:color w:val="auto"/>
          <w:sz w:val="24"/>
          <w:highlight w:val="none"/>
        </w:rPr>
        <w:t>发包人向监理人提供：</w:t>
      </w:r>
      <w:r>
        <w:rPr>
          <w:rFonts w:hint="eastAsia" w:cs="宋体"/>
          <w:color w:val="auto"/>
          <w:sz w:val="24"/>
          <w:highlight w:val="none"/>
          <w:u w:val="single"/>
        </w:rPr>
        <w:t xml:space="preserve">                                              </w:t>
      </w:r>
      <w:r>
        <w:rPr>
          <w:rFonts w:hint="eastAsia" w:cs="宋体"/>
          <w:color w:val="auto"/>
          <w:sz w:val="24"/>
          <w:highlight w:val="none"/>
        </w:rPr>
        <w:t>。</w:t>
      </w:r>
      <w:bookmarkEnd w:id="1226"/>
      <w:bookmarkEnd w:id="1227"/>
      <w:bookmarkEnd w:id="1228"/>
      <w:bookmarkEnd w:id="1229"/>
    </w:p>
    <w:p>
      <w:pPr>
        <w:spacing w:line="324" w:lineRule="auto"/>
        <w:ind w:firstLine="480" w:firstLineChars="200"/>
        <w:rPr>
          <w:color w:val="auto"/>
          <w:sz w:val="24"/>
          <w:highlight w:val="none"/>
        </w:rPr>
      </w:pPr>
      <w:r>
        <w:rPr>
          <w:rFonts w:hint="eastAsia"/>
          <w:color w:val="auto"/>
          <w:sz w:val="24"/>
          <w:highlight w:val="none"/>
        </w:rPr>
        <w:t>2.5  代表</w:t>
      </w:r>
      <w:bookmarkEnd w:id="1224"/>
      <w:bookmarkEnd w:id="1225"/>
    </w:p>
    <w:p>
      <w:pPr>
        <w:autoSpaceDE w:val="0"/>
        <w:autoSpaceDN w:val="0"/>
        <w:adjustRightInd w:val="0"/>
        <w:snapToGrid w:val="0"/>
        <w:spacing w:line="324" w:lineRule="auto"/>
        <w:ind w:firstLine="480" w:firstLineChars="200"/>
        <w:rPr>
          <w:rFonts w:cs="宋体"/>
          <w:color w:val="auto"/>
          <w:sz w:val="24"/>
          <w:highlight w:val="none"/>
        </w:rPr>
      </w:pPr>
      <w:bookmarkStart w:id="1230" w:name="_Toc336172259"/>
      <w:bookmarkStart w:id="1231" w:name="_Toc341015685"/>
      <w:bookmarkStart w:id="1232" w:name="_Toc330384470"/>
      <w:bookmarkStart w:id="1233" w:name="_Toc341805310"/>
      <w:bookmarkStart w:id="1234" w:name="_Toc356567988"/>
      <w:r>
        <w:rPr>
          <w:rFonts w:hint="eastAsia" w:cs="宋体"/>
          <w:color w:val="auto"/>
          <w:sz w:val="24"/>
          <w:highlight w:val="none"/>
        </w:rPr>
        <w:t>发包人授权代表：</w:t>
      </w:r>
      <w:r>
        <w:rPr>
          <w:rFonts w:hint="eastAsia" w:cs="宋体"/>
          <w:color w:val="auto"/>
          <w:sz w:val="24"/>
          <w:highlight w:val="none"/>
          <w:u w:val="single"/>
        </w:rPr>
        <w:t xml:space="preserve">                                                   </w:t>
      </w:r>
      <w:r>
        <w:rPr>
          <w:rFonts w:hint="eastAsia" w:cs="宋体"/>
          <w:color w:val="auto"/>
          <w:sz w:val="24"/>
          <w:highlight w:val="none"/>
        </w:rPr>
        <w:t>。</w:t>
      </w:r>
      <w:bookmarkEnd w:id="1230"/>
      <w:bookmarkEnd w:id="1231"/>
      <w:bookmarkEnd w:id="1232"/>
      <w:bookmarkEnd w:id="1233"/>
      <w:bookmarkEnd w:id="1234"/>
    </w:p>
    <w:p>
      <w:pPr>
        <w:spacing w:line="324" w:lineRule="auto"/>
        <w:ind w:firstLine="480" w:firstLineChars="200"/>
        <w:rPr>
          <w:color w:val="auto"/>
          <w:sz w:val="24"/>
          <w:highlight w:val="none"/>
        </w:rPr>
      </w:pPr>
      <w:bookmarkStart w:id="1235" w:name="_Toc330384474"/>
      <w:bookmarkStart w:id="1236" w:name="_Toc341805311"/>
      <w:bookmarkStart w:id="1237" w:name="_Toc341015686"/>
      <w:bookmarkStart w:id="1238" w:name="_Toc336172260"/>
      <w:r>
        <w:rPr>
          <w:rFonts w:hint="eastAsia"/>
          <w:color w:val="auto"/>
          <w:sz w:val="24"/>
          <w:highlight w:val="none"/>
        </w:rPr>
        <w:t>4．监理服务</w:t>
      </w:r>
      <w:bookmarkEnd w:id="1235"/>
      <w:bookmarkEnd w:id="1236"/>
      <w:bookmarkEnd w:id="1237"/>
      <w:bookmarkEnd w:id="1238"/>
    </w:p>
    <w:p>
      <w:pPr>
        <w:spacing w:line="324" w:lineRule="auto"/>
        <w:ind w:firstLine="480" w:firstLineChars="200"/>
        <w:rPr>
          <w:color w:val="auto"/>
          <w:sz w:val="24"/>
          <w:highlight w:val="none"/>
        </w:rPr>
      </w:pPr>
      <w:bookmarkStart w:id="1239" w:name="_Toc283559276"/>
      <w:bookmarkStart w:id="1240" w:name="_Toc283558779"/>
      <w:bookmarkStart w:id="1241" w:name="_Toc307991218"/>
      <w:bookmarkStart w:id="1242" w:name="_Toc286759121"/>
      <w:r>
        <w:rPr>
          <w:rFonts w:hint="eastAsia"/>
          <w:color w:val="auto"/>
          <w:sz w:val="24"/>
          <w:highlight w:val="none"/>
        </w:rPr>
        <w:t>4.1  监理机构形式</w:t>
      </w:r>
    </w:p>
    <w:p>
      <w:pPr>
        <w:autoSpaceDE w:val="0"/>
        <w:autoSpaceDN w:val="0"/>
        <w:adjustRightInd w:val="0"/>
        <w:snapToGrid w:val="0"/>
        <w:spacing w:line="324" w:lineRule="auto"/>
        <w:ind w:firstLine="480" w:firstLineChars="200"/>
        <w:rPr>
          <w:rFonts w:cs="宋体"/>
          <w:color w:val="auto"/>
          <w:sz w:val="24"/>
          <w:highlight w:val="none"/>
        </w:rPr>
      </w:pPr>
      <w:bookmarkStart w:id="1243" w:name="_Toc330384475"/>
      <w:bookmarkStart w:id="1244" w:name="_Toc341805312"/>
      <w:bookmarkStart w:id="1245" w:name="_Toc341015687"/>
      <w:bookmarkStart w:id="1246" w:name="_Toc336172261"/>
      <w:bookmarkStart w:id="1247" w:name="_Toc356567990"/>
      <w:r>
        <w:rPr>
          <w:rFonts w:hint="eastAsia" w:cs="宋体"/>
          <w:color w:val="auto"/>
          <w:sz w:val="24"/>
          <w:highlight w:val="none"/>
        </w:rPr>
        <w:t>监理机构形式：</w:t>
      </w:r>
      <w:r>
        <w:rPr>
          <w:rFonts w:hint="eastAsia" w:cs="宋体"/>
          <w:color w:val="auto"/>
          <w:sz w:val="24"/>
          <w:highlight w:val="none"/>
          <w:u w:val="single"/>
        </w:rPr>
        <w:t xml:space="preserve">                                                         </w:t>
      </w:r>
      <w:r>
        <w:rPr>
          <w:rFonts w:hint="eastAsia" w:cs="宋体"/>
          <w:color w:val="auto"/>
          <w:sz w:val="24"/>
          <w:highlight w:val="none"/>
        </w:rPr>
        <w:t>。</w:t>
      </w:r>
      <w:bookmarkEnd w:id="1243"/>
      <w:bookmarkEnd w:id="1244"/>
      <w:bookmarkEnd w:id="1245"/>
      <w:bookmarkEnd w:id="1246"/>
      <w:bookmarkEnd w:id="1247"/>
    </w:p>
    <w:p>
      <w:pPr>
        <w:spacing w:line="324" w:lineRule="auto"/>
        <w:ind w:firstLine="480" w:firstLineChars="200"/>
        <w:rPr>
          <w:color w:val="auto"/>
          <w:sz w:val="24"/>
          <w:highlight w:val="none"/>
        </w:rPr>
      </w:pPr>
      <w:bookmarkStart w:id="1248" w:name="_Toc330384476"/>
      <w:bookmarkStart w:id="1249" w:name="_Toc336172262"/>
      <w:bookmarkStart w:id="1250" w:name="_Toc356567991"/>
      <w:bookmarkStart w:id="1251" w:name="_Toc341015688"/>
      <w:bookmarkStart w:id="1252" w:name="_Toc341805313"/>
      <w:r>
        <w:rPr>
          <w:rFonts w:hint="eastAsia"/>
          <w:color w:val="auto"/>
          <w:sz w:val="24"/>
          <w:highlight w:val="none"/>
        </w:rPr>
        <w:t>4.2监理服务范围</w:t>
      </w:r>
    </w:p>
    <w:p>
      <w:pPr>
        <w:autoSpaceDE w:val="0"/>
        <w:autoSpaceDN w:val="0"/>
        <w:adjustRightInd w:val="0"/>
        <w:snapToGrid w:val="0"/>
        <w:spacing w:line="324" w:lineRule="auto"/>
        <w:ind w:firstLine="480" w:firstLineChars="200"/>
        <w:rPr>
          <w:rFonts w:cs="宋体"/>
          <w:color w:val="auto"/>
          <w:sz w:val="24"/>
          <w:highlight w:val="none"/>
        </w:rPr>
      </w:pPr>
      <w:r>
        <w:rPr>
          <w:rFonts w:hint="eastAsia" w:cs="宋体"/>
          <w:color w:val="auto"/>
          <w:sz w:val="24"/>
          <w:highlight w:val="none"/>
        </w:rPr>
        <w:t>4.2.1  监理服务的工程范围</w:t>
      </w:r>
      <w:bookmarkEnd w:id="1239"/>
      <w:bookmarkEnd w:id="1240"/>
      <w:bookmarkEnd w:id="1241"/>
      <w:bookmarkEnd w:id="1242"/>
      <w:r>
        <w:rPr>
          <w:rFonts w:hint="eastAsia" w:cs="宋体"/>
          <w:color w:val="auto"/>
          <w:sz w:val="24"/>
          <w:highlight w:val="none"/>
        </w:rPr>
        <w:t>：</w:t>
      </w:r>
      <w:r>
        <w:rPr>
          <w:rFonts w:hint="eastAsia" w:cs="宋体"/>
          <w:color w:val="auto"/>
          <w:sz w:val="24"/>
          <w:highlight w:val="none"/>
          <w:u w:val="single"/>
        </w:rPr>
        <w:t xml:space="preserve">                                             </w:t>
      </w:r>
      <w:r>
        <w:rPr>
          <w:rFonts w:hint="eastAsia" w:cs="宋体"/>
          <w:color w:val="auto"/>
          <w:sz w:val="24"/>
          <w:highlight w:val="none"/>
        </w:rPr>
        <w:t>。</w:t>
      </w:r>
      <w:bookmarkEnd w:id="1248"/>
      <w:bookmarkEnd w:id="1249"/>
      <w:bookmarkEnd w:id="1250"/>
      <w:bookmarkEnd w:id="1251"/>
      <w:bookmarkEnd w:id="1252"/>
    </w:p>
    <w:p>
      <w:pPr>
        <w:autoSpaceDE w:val="0"/>
        <w:autoSpaceDN w:val="0"/>
        <w:adjustRightInd w:val="0"/>
        <w:snapToGrid w:val="0"/>
        <w:spacing w:line="324" w:lineRule="auto"/>
        <w:ind w:firstLine="480" w:firstLineChars="200"/>
        <w:rPr>
          <w:rFonts w:cs="宋体"/>
          <w:color w:val="auto"/>
          <w:sz w:val="24"/>
          <w:highlight w:val="none"/>
        </w:rPr>
      </w:pPr>
      <w:bookmarkStart w:id="1253" w:name="_Toc341015689"/>
      <w:bookmarkStart w:id="1254" w:name="_Toc283558780"/>
      <w:bookmarkStart w:id="1255" w:name="_Toc356567992"/>
      <w:bookmarkStart w:id="1256" w:name="_Toc307991219"/>
      <w:bookmarkStart w:id="1257" w:name="_Toc330384477"/>
      <w:bookmarkStart w:id="1258" w:name="_Toc283559277"/>
      <w:bookmarkStart w:id="1259" w:name="_Toc336172263"/>
      <w:bookmarkStart w:id="1260" w:name="_Toc341805314"/>
      <w:bookmarkStart w:id="1261" w:name="_Toc286759122"/>
      <w:r>
        <w:rPr>
          <w:rFonts w:hint="eastAsia" w:cs="宋体"/>
          <w:color w:val="auto"/>
          <w:sz w:val="24"/>
          <w:highlight w:val="none"/>
        </w:rPr>
        <w:t>4.2.2  监理服务的工作范围：</w:t>
      </w:r>
      <w:bookmarkEnd w:id="1253"/>
      <w:bookmarkEnd w:id="1254"/>
      <w:bookmarkEnd w:id="1255"/>
      <w:bookmarkEnd w:id="1256"/>
      <w:bookmarkEnd w:id="1257"/>
      <w:bookmarkEnd w:id="1258"/>
      <w:bookmarkEnd w:id="1259"/>
      <w:bookmarkEnd w:id="1260"/>
      <w:bookmarkEnd w:id="1261"/>
    </w:p>
    <w:p>
      <w:pPr>
        <w:autoSpaceDE w:val="0"/>
        <w:autoSpaceDN w:val="0"/>
        <w:adjustRightInd w:val="0"/>
        <w:snapToGrid w:val="0"/>
        <w:spacing w:line="324" w:lineRule="auto"/>
        <w:ind w:firstLine="480" w:firstLineChars="200"/>
        <w:jc w:val="left"/>
        <w:rPr>
          <w:rFonts w:cs="宋体"/>
          <w:color w:val="auto"/>
          <w:sz w:val="24"/>
          <w:highlight w:val="none"/>
        </w:rPr>
      </w:pPr>
      <w:bookmarkStart w:id="1262" w:name="_Toc356567993"/>
      <w:bookmarkStart w:id="1263" w:name="_Toc330384478"/>
      <w:bookmarkStart w:id="1264" w:name="_Toc336172264"/>
      <w:bookmarkStart w:id="1265" w:name="_Toc341805315"/>
      <w:bookmarkStart w:id="1266" w:name="_Toc341015690"/>
      <w:r>
        <w:rPr>
          <w:rFonts w:hint="eastAsia" w:cs="宋体"/>
          <w:color w:val="auto"/>
          <w:sz w:val="24"/>
          <w:highlight w:val="none"/>
        </w:rPr>
        <w:t>（1）正常监理服务的范围：</w:t>
      </w:r>
      <w:bookmarkEnd w:id="1262"/>
      <w:bookmarkEnd w:id="1263"/>
      <w:bookmarkEnd w:id="1264"/>
      <w:bookmarkEnd w:id="1265"/>
      <w:bookmarkEnd w:id="1266"/>
      <w:r>
        <w:rPr>
          <w:rFonts w:hint="eastAsia" w:cs="宋体"/>
          <w:color w:val="auto"/>
          <w:sz w:val="24"/>
          <w:highlight w:val="none"/>
          <w:u w:val="single"/>
        </w:rPr>
        <w:t xml:space="preserve">                                                </w:t>
      </w:r>
      <w:r>
        <w:rPr>
          <w:rFonts w:hint="eastAsia" w:cs="宋体"/>
          <w:color w:val="auto"/>
          <w:sz w:val="24"/>
          <w:highlight w:val="none"/>
        </w:rPr>
        <w:t>。</w:t>
      </w:r>
    </w:p>
    <w:p>
      <w:pPr>
        <w:autoSpaceDE w:val="0"/>
        <w:autoSpaceDN w:val="0"/>
        <w:adjustRightInd w:val="0"/>
        <w:snapToGrid w:val="0"/>
        <w:spacing w:line="324" w:lineRule="auto"/>
        <w:ind w:firstLine="480" w:firstLineChars="200"/>
        <w:jc w:val="left"/>
        <w:rPr>
          <w:rFonts w:cs="宋体"/>
          <w:color w:val="auto"/>
          <w:sz w:val="24"/>
          <w:highlight w:val="none"/>
        </w:rPr>
      </w:pPr>
      <w:bookmarkStart w:id="1267" w:name="_Toc356567994"/>
      <w:bookmarkStart w:id="1268" w:name="_Toc330384479"/>
      <w:bookmarkStart w:id="1269" w:name="_Toc341805316"/>
      <w:bookmarkStart w:id="1270" w:name="_Toc336172265"/>
      <w:bookmarkStart w:id="1271" w:name="_Toc341015691"/>
      <w:bookmarkStart w:id="1272" w:name="_Toc283558781"/>
      <w:bookmarkStart w:id="1273" w:name="_Toc283559278"/>
      <w:bookmarkStart w:id="1274" w:name="_Toc307991220"/>
      <w:bookmarkStart w:id="1275" w:name="_Toc286759123"/>
      <w:r>
        <w:rPr>
          <w:rFonts w:hint="eastAsia" w:cs="宋体"/>
          <w:color w:val="auto"/>
          <w:sz w:val="24"/>
          <w:highlight w:val="none"/>
        </w:rPr>
        <w:t>（2）④缺陷责任期的监理服务范围：</w:t>
      </w:r>
      <w:r>
        <w:rPr>
          <w:rFonts w:hint="eastAsia" w:cs="宋体"/>
          <w:color w:val="auto"/>
          <w:sz w:val="24"/>
          <w:highlight w:val="none"/>
          <w:u w:val="single"/>
        </w:rPr>
        <w:t xml:space="preserve">                                      </w:t>
      </w:r>
      <w:r>
        <w:rPr>
          <w:rFonts w:hint="eastAsia" w:cs="宋体"/>
          <w:color w:val="auto"/>
          <w:sz w:val="24"/>
          <w:highlight w:val="none"/>
        </w:rPr>
        <w:t>。</w:t>
      </w:r>
      <w:bookmarkEnd w:id="1267"/>
      <w:bookmarkEnd w:id="1268"/>
      <w:bookmarkEnd w:id="1269"/>
      <w:bookmarkEnd w:id="1270"/>
      <w:bookmarkEnd w:id="1271"/>
    </w:p>
    <w:p>
      <w:pPr>
        <w:spacing w:line="324" w:lineRule="auto"/>
        <w:ind w:firstLine="480" w:firstLineChars="200"/>
        <w:outlineLvl w:val="0"/>
        <w:rPr>
          <w:color w:val="auto"/>
          <w:sz w:val="24"/>
          <w:highlight w:val="none"/>
        </w:rPr>
      </w:pPr>
      <w:bookmarkStart w:id="1276" w:name="_Toc487291594"/>
      <w:bookmarkStart w:id="1277" w:name="_Toc487653483"/>
      <w:bookmarkStart w:id="1278" w:name="_Toc487619565"/>
      <w:bookmarkStart w:id="1279" w:name="_Toc488650915"/>
      <w:r>
        <w:rPr>
          <w:rFonts w:hint="eastAsia"/>
          <w:color w:val="auto"/>
          <w:sz w:val="24"/>
          <w:highlight w:val="none"/>
        </w:rPr>
        <w:t>4.3  服务</w:t>
      </w:r>
      <w:bookmarkEnd w:id="1272"/>
      <w:bookmarkEnd w:id="1273"/>
      <w:bookmarkEnd w:id="1274"/>
      <w:bookmarkEnd w:id="1275"/>
      <w:r>
        <w:rPr>
          <w:rFonts w:hint="eastAsia"/>
          <w:color w:val="auto"/>
          <w:sz w:val="24"/>
          <w:highlight w:val="none"/>
        </w:rPr>
        <w:t>要求</w:t>
      </w:r>
      <w:bookmarkEnd w:id="1276"/>
      <w:bookmarkEnd w:id="1277"/>
      <w:bookmarkEnd w:id="1278"/>
      <w:bookmarkEnd w:id="1279"/>
    </w:p>
    <w:p>
      <w:pPr>
        <w:autoSpaceDE w:val="0"/>
        <w:autoSpaceDN w:val="0"/>
        <w:adjustRightInd w:val="0"/>
        <w:snapToGrid w:val="0"/>
        <w:spacing w:line="324" w:lineRule="auto"/>
        <w:ind w:firstLine="480" w:firstLineChars="200"/>
        <w:jc w:val="left"/>
        <w:rPr>
          <w:rFonts w:cs="宋体"/>
          <w:color w:val="auto"/>
          <w:sz w:val="24"/>
          <w:highlight w:val="none"/>
        </w:rPr>
      </w:pPr>
      <w:bookmarkStart w:id="1280" w:name="_Toc283558782"/>
      <w:bookmarkStart w:id="1281" w:name="_Toc286759124"/>
      <w:bookmarkStart w:id="1282" w:name="_Toc307991221"/>
      <w:bookmarkStart w:id="1283" w:name="_Toc283559279"/>
      <w:bookmarkStart w:id="1284" w:name="_Toc341015692"/>
      <w:bookmarkStart w:id="1285" w:name="_Toc341805317"/>
      <w:bookmarkStart w:id="1286" w:name="_Toc330384480"/>
      <w:bookmarkStart w:id="1287" w:name="_Toc336172266"/>
      <w:bookmarkStart w:id="1288" w:name="_Toc356567995"/>
      <w:r>
        <w:rPr>
          <w:rFonts w:hint="eastAsia" w:cs="宋体"/>
          <w:color w:val="auto"/>
          <w:sz w:val="24"/>
          <w:highlight w:val="none"/>
        </w:rPr>
        <w:t>4.3.2  对第三方履约管理的服务目标：</w:t>
      </w:r>
      <w:bookmarkEnd w:id="1280"/>
      <w:bookmarkEnd w:id="1281"/>
      <w:bookmarkEnd w:id="1282"/>
      <w:bookmarkEnd w:id="1283"/>
      <w:r>
        <w:rPr>
          <w:rFonts w:hint="eastAsia" w:cs="宋体"/>
          <w:color w:val="auto"/>
          <w:sz w:val="24"/>
          <w:highlight w:val="none"/>
          <w:u w:val="single"/>
        </w:rPr>
        <w:t xml:space="preserve">                                     </w:t>
      </w:r>
      <w:r>
        <w:rPr>
          <w:rFonts w:hint="eastAsia" w:cs="宋体"/>
          <w:color w:val="auto"/>
          <w:sz w:val="24"/>
          <w:highlight w:val="none"/>
        </w:rPr>
        <w:t>。</w:t>
      </w:r>
      <w:bookmarkEnd w:id="1284"/>
      <w:bookmarkEnd w:id="1285"/>
      <w:bookmarkEnd w:id="1286"/>
      <w:bookmarkEnd w:id="1287"/>
      <w:bookmarkEnd w:id="1288"/>
    </w:p>
    <w:p>
      <w:pPr>
        <w:spacing w:line="324" w:lineRule="auto"/>
        <w:ind w:firstLine="480" w:firstLineChars="200"/>
        <w:outlineLvl w:val="0"/>
        <w:rPr>
          <w:color w:val="auto"/>
          <w:sz w:val="24"/>
          <w:highlight w:val="none"/>
        </w:rPr>
      </w:pPr>
      <w:bookmarkStart w:id="1289" w:name="_Toc283558783"/>
      <w:bookmarkStart w:id="1290" w:name="_Toc283559280"/>
      <w:bookmarkStart w:id="1291" w:name="_Toc307991222"/>
      <w:bookmarkStart w:id="1292" w:name="_Toc286759125"/>
      <w:bookmarkStart w:id="1293" w:name="_Toc488650916"/>
      <w:bookmarkStart w:id="1294" w:name="_Toc487619566"/>
      <w:bookmarkStart w:id="1295" w:name="_Toc487291595"/>
      <w:bookmarkStart w:id="1296" w:name="_Toc487653484"/>
      <w:r>
        <w:rPr>
          <w:rFonts w:hint="eastAsia"/>
          <w:color w:val="auto"/>
          <w:sz w:val="24"/>
          <w:highlight w:val="none"/>
        </w:rPr>
        <w:t xml:space="preserve">4.4  </w:t>
      </w:r>
      <w:bookmarkEnd w:id="1289"/>
      <w:bookmarkEnd w:id="1290"/>
      <w:bookmarkEnd w:id="1291"/>
      <w:bookmarkEnd w:id="1292"/>
      <w:r>
        <w:rPr>
          <w:rFonts w:hint="eastAsia"/>
          <w:color w:val="auto"/>
          <w:sz w:val="24"/>
          <w:highlight w:val="none"/>
        </w:rPr>
        <w:t>服务内容</w:t>
      </w:r>
      <w:bookmarkEnd w:id="1293"/>
      <w:bookmarkEnd w:id="1294"/>
      <w:bookmarkEnd w:id="1295"/>
      <w:bookmarkEnd w:id="1296"/>
    </w:p>
    <w:p>
      <w:pPr>
        <w:autoSpaceDE w:val="0"/>
        <w:autoSpaceDN w:val="0"/>
        <w:adjustRightInd w:val="0"/>
        <w:snapToGrid w:val="0"/>
        <w:spacing w:line="324" w:lineRule="auto"/>
        <w:ind w:firstLine="480" w:firstLineChars="200"/>
        <w:rPr>
          <w:rFonts w:cs="宋体"/>
          <w:color w:val="auto"/>
          <w:sz w:val="24"/>
          <w:highlight w:val="none"/>
          <w:u w:val="single"/>
        </w:rPr>
      </w:pPr>
      <w:r>
        <w:rPr>
          <w:rFonts w:hint="eastAsia" w:cs="宋体"/>
          <w:color w:val="auto"/>
          <w:sz w:val="24"/>
          <w:highlight w:val="none"/>
        </w:rPr>
        <w:t>服务内容：</w:t>
      </w:r>
      <w:r>
        <w:rPr>
          <w:rFonts w:hint="eastAsia" w:cs="宋体"/>
          <w:color w:val="auto"/>
          <w:sz w:val="24"/>
          <w:highlight w:val="none"/>
          <w:u w:val="single"/>
        </w:rPr>
        <w:t xml:space="preserve">                                                             。</w:t>
      </w:r>
    </w:p>
    <w:p>
      <w:pPr>
        <w:spacing w:line="324" w:lineRule="auto"/>
        <w:ind w:firstLine="480" w:firstLineChars="200"/>
        <w:rPr>
          <w:color w:val="auto"/>
          <w:sz w:val="24"/>
          <w:highlight w:val="none"/>
        </w:rPr>
      </w:pPr>
      <w:bookmarkStart w:id="1297" w:name="_Toc283558784"/>
      <w:bookmarkStart w:id="1298" w:name="_Toc286759126"/>
      <w:bookmarkStart w:id="1299" w:name="_Toc283559281"/>
      <w:bookmarkStart w:id="1300" w:name="_Toc307991223"/>
      <w:r>
        <w:rPr>
          <w:rFonts w:hint="eastAsia"/>
          <w:color w:val="auto"/>
          <w:sz w:val="24"/>
          <w:highlight w:val="none"/>
        </w:rPr>
        <w:t>4.7  发包人对监理人的授权</w:t>
      </w:r>
      <w:bookmarkEnd w:id="1297"/>
      <w:bookmarkEnd w:id="1298"/>
      <w:bookmarkEnd w:id="1299"/>
      <w:bookmarkEnd w:id="1300"/>
    </w:p>
    <w:p>
      <w:pPr>
        <w:tabs>
          <w:tab w:val="left" w:pos="8400"/>
        </w:tabs>
        <w:autoSpaceDE w:val="0"/>
        <w:autoSpaceDN w:val="0"/>
        <w:adjustRightInd w:val="0"/>
        <w:snapToGrid w:val="0"/>
        <w:spacing w:line="324" w:lineRule="auto"/>
        <w:ind w:firstLine="480" w:firstLineChars="200"/>
        <w:rPr>
          <w:rFonts w:cs="宋体"/>
          <w:color w:val="auto"/>
          <w:sz w:val="24"/>
          <w:highlight w:val="none"/>
        </w:rPr>
      </w:pPr>
      <w:r>
        <w:rPr>
          <w:rFonts w:hint="eastAsia" w:cs="宋体"/>
          <w:color w:val="auto"/>
          <w:sz w:val="24"/>
          <w:highlight w:val="none"/>
        </w:rPr>
        <w:t>发包人对监理人的授权：</w:t>
      </w:r>
      <w:r>
        <w:rPr>
          <w:rFonts w:hint="eastAsia" w:cs="宋体"/>
          <w:color w:val="auto"/>
          <w:sz w:val="24"/>
          <w:highlight w:val="none"/>
          <w:u w:val="single"/>
        </w:rPr>
        <w:t xml:space="preserve">                                                </w:t>
      </w:r>
      <w:r>
        <w:rPr>
          <w:rFonts w:hint="eastAsia" w:cs="宋体"/>
          <w:color w:val="auto"/>
          <w:sz w:val="24"/>
          <w:highlight w:val="none"/>
        </w:rPr>
        <w:t xml:space="preserve"> 。</w:t>
      </w:r>
    </w:p>
    <w:p>
      <w:pPr>
        <w:spacing w:line="324" w:lineRule="auto"/>
        <w:ind w:firstLine="480" w:firstLineChars="200"/>
        <w:rPr>
          <w:color w:val="auto"/>
          <w:sz w:val="24"/>
          <w:highlight w:val="none"/>
        </w:rPr>
      </w:pPr>
      <w:bookmarkStart w:id="1301" w:name="_Toc283558789"/>
      <w:bookmarkStart w:id="1302" w:name="_Toc283559286"/>
      <w:bookmarkStart w:id="1303" w:name="_Toc336172267"/>
      <w:bookmarkStart w:id="1304" w:name="_Toc307991228"/>
      <w:bookmarkStart w:id="1305" w:name="_Toc330384481"/>
      <w:bookmarkStart w:id="1306" w:name="_Toc341015693"/>
      <w:bookmarkStart w:id="1307" w:name="_Toc286759131"/>
      <w:bookmarkStart w:id="1308" w:name="_Toc341805318"/>
      <w:r>
        <w:rPr>
          <w:color w:val="auto"/>
          <w:sz w:val="24"/>
          <w:highlight w:val="none"/>
        </w:rPr>
        <w:t>5</w:t>
      </w:r>
      <w:r>
        <w:rPr>
          <w:rFonts w:hint="eastAsia"/>
          <w:color w:val="auto"/>
          <w:sz w:val="24"/>
          <w:highlight w:val="none"/>
        </w:rPr>
        <w:t>．合同的生效、终止、服务时间和期限、变更、暂停与解除</w:t>
      </w:r>
      <w:bookmarkEnd w:id="1301"/>
      <w:bookmarkEnd w:id="1302"/>
      <w:bookmarkEnd w:id="1303"/>
      <w:bookmarkEnd w:id="1304"/>
      <w:bookmarkEnd w:id="1305"/>
      <w:bookmarkEnd w:id="1306"/>
      <w:bookmarkEnd w:id="1307"/>
      <w:bookmarkEnd w:id="1308"/>
      <w:r>
        <w:rPr>
          <w:rFonts w:hint="eastAsia"/>
          <w:color w:val="auto"/>
          <w:sz w:val="24"/>
          <w:highlight w:val="none"/>
        </w:rPr>
        <w:t xml:space="preserve"> </w:t>
      </w:r>
    </w:p>
    <w:p>
      <w:pPr>
        <w:spacing w:line="324" w:lineRule="auto"/>
        <w:ind w:firstLine="480" w:firstLineChars="200"/>
        <w:outlineLvl w:val="0"/>
        <w:rPr>
          <w:color w:val="auto"/>
          <w:sz w:val="24"/>
          <w:highlight w:val="none"/>
        </w:rPr>
      </w:pPr>
      <w:bookmarkStart w:id="1309" w:name="_Toc487291596"/>
      <w:bookmarkStart w:id="1310" w:name="_Toc488650917"/>
      <w:bookmarkStart w:id="1311" w:name="_Toc487653485"/>
      <w:bookmarkStart w:id="1312" w:name="_Toc487619567"/>
      <w:r>
        <w:rPr>
          <w:rFonts w:hint="eastAsia"/>
          <w:color w:val="auto"/>
          <w:sz w:val="24"/>
          <w:highlight w:val="none"/>
        </w:rPr>
        <w:t>5.3  监理服务的时间和期限</w:t>
      </w:r>
      <w:bookmarkEnd w:id="1309"/>
      <w:bookmarkEnd w:id="1310"/>
      <w:bookmarkEnd w:id="1311"/>
      <w:bookmarkEnd w:id="1312"/>
    </w:p>
    <w:p>
      <w:pPr>
        <w:spacing w:line="420" w:lineRule="exact"/>
        <w:ind w:firstLine="480" w:firstLineChars="200"/>
        <w:rPr>
          <w:color w:val="auto"/>
          <w:sz w:val="24"/>
          <w:highlight w:val="none"/>
        </w:rPr>
      </w:pPr>
      <w:r>
        <w:rPr>
          <w:color w:val="auto"/>
          <w:sz w:val="24"/>
          <w:highlight w:val="none"/>
        </w:rPr>
        <w:t>进场时间：</w:t>
      </w:r>
      <w:r>
        <w:rPr>
          <w:rFonts w:hint="eastAsia"/>
          <w:color w:val="auto"/>
          <w:sz w:val="24"/>
          <w:highlight w:val="none"/>
          <w:u w:val="single"/>
        </w:rPr>
        <w:t xml:space="preserve">                                      </w:t>
      </w:r>
      <w:r>
        <w:rPr>
          <w:rFonts w:hint="eastAsia" w:cs="宋体"/>
          <w:color w:val="auto"/>
          <w:sz w:val="24"/>
          <w:highlight w:val="none"/>
          <w:u w:val="single"/>
        </w:rPr>
        <w:t xml:space="preserve">               </w:t>
      </w:r>
      <w:r>
        <w:rPr>
          <w:rFonts w:hint="eastAsia"/>
          <w:color w:val="auto"/>
          <w:sz w:val="24"/>
          <w:highlight w:val="none"/>
          <w:u w:val="single"/>
        </w:rPr>
        <w:t xml:space="preserve">        </w:t>
      </w:r>
      <w:r>
        <w:rPr>
          <w:color w:val="auto"/>
          <w:sz w:val="24"/>
          <w:highlight w:val="none"/>
        </w:rPr>
        <w:t>。</w:t>
      </w:r>
    </w:p>
    <w:p>
      <w:pPr>
        <w:spacing w:line="420" w:lineRule="exact"/>
        <w:ind w:firstLine="480" w:firstLineChars="200"/>
        <w:rPr>
          <w:color w:val="auto"/>
          <w:sz w:val="24"/>
          <w:highlight w:val="none"/>
          <w:u w:val="single"/>
        </w:rPr>
      </w:pPr>
      <w:r>
        <w:rPr>
          <w:color w:val="auto"/>
          <w:sz w:val="24"/>
          <w:highlight w:val="none"/>
        </w:rPr>
        <w:t>施工准备阶段</w:t>
      </w:r>
      <w:r>
        <w:rPr>
          <w:rFonts w:hint="eastAsia"/>
          <w:color w:val="auto"/>
          <w:sz w:val="24"/>
          <w:highlight w:val="none"/>
        </w:rPr>
        <w:t>监理</w:t>
      </w:r>
      <w:r>
        <w:rPr>
          <w:color w:val="auto"/>
          <w:sz w:val="24"/>
          <w:highlight w:val="none"/>
        </w:rPr>
        <w:t>服务结束时间：</w:t>
      </w:r>
      <w:r>
        <w:rPr>
          <w:rFonts w:hint="eastAsia"/>
          <w:color w:val="auto"/>
          <w:sz w:val="24"/>
          <w:highlight w:val="none"/>
          <w:u w:val="single"/>
        </w:rPr>
        <w:t xml:space="preserve">                   </w:t>
      </w:r>
      <w:r>
        <w:rPr>
          <w:rFonts w:hint="eastAsia" w:cs="宋体"/>
          <w:color w:val="auto"/>
          <w:sz w:val="24"/>
          <w:highlight w:val="none"/>
          <w:u w:val="single"/>
        </w:rPr>
        <w:t xml:space="preserve">                </w:t>
      </w:r>
      <w:r>
        <w:rPr>
          <w:rFonts w:hint="eastAsia"/>
          <w:color w:val="auto"/>
          <w:sz w:val="24"/>
          <w:highlight w:val="none"/>
          <w:u w:val="single"/>
        </w:rPr>
        <w:t xml:space="preserve">      </w:t>
      </w:r>
      <w:r>
        <w:rPr>
          <w:color w:val="auto"/>
          <w:sz w:val="24"/>
          <w:highlight w:val="none"/>
        </w:rPr>
        <w:t>。</w:t>
      </w:r>
    </w:p>
    <w:p>
      <w:pPr>
        <w:spacing w:line="420" w:lineRule="exact"/>
        <w:ind w:firstLine="480" w:firstLineChars="200"/>
        <w:rPr>
          <w:color w:val="auto"/>
          <w:sz w:val="24"/>
          <w:highlight w:val="none"/>
        </w:rPr>
      </w:pPr>
      <w:r>
        <w:rPr>
          <w:color w:val="auto"/>
          <w:sz w:val="24"/>
          <w:highlight w:val="none"/>
        </w:rPr>
        <w:t>施工阶段监理服务结束时间：</w:t>
      </w:r>
      <w:r>
        <w:rPr>
          <w:rFonts w:hint="eastAsia"/>
          <w:color w:val="auto"/>
          <w:sz w:val="24"/>
          <w:highlight w:val="none"/>
          <w:u w:val="single"/>
        </w:rPr>
        <w:t xml:space="preserve">                          </w:t>
      </w:r>
      <w:r>
        <w:rPr>
          <w:rFonts w:hint="eastAsia" w:cs="宋体"/>
          <w:color w:val="auto"/>
          <w:sz w:val="24"/>
          <w:highlight w:val="none"/>
          <w:u w:val="single"/>
        </w:rPr>
        <w:t xml:space="preserve">            </w:t>
      </w:r>
      <w:r>
        <w:rPr>
          <w:rFonts w:hint="eastAsia"/>
          <w:color w:val="auto"/>
          <w:sz w:val="24"/>
          <w:highlight w:val="none"/>
          <w:u w:val="single"/>
        </w:rPr>
        <w:t xml:space="preserve">       </w:t>
      </w:r>
      <w:r>
        <w:rPr>
          <w:color w:val="auto"/>
          <w:sz w:val="24"/>
          <w:highlight w:val="none"/>
        </w:rPr>
        <w:t>。</w:t>
      </w:r>
    </w:p>
    <w:p>
      <w:pPr>
        <w:spacing w:line="420" w:lineRule="exact"/>
        <w:ind w:firstLine="480" w:firstLineChars="200"/>
        <w:rPr>
          <w:color w:val="auto"/>
          <w:sz w:val="24"/>
          <w:highlight w:val="none"/>
        </w:rPr>
      </w:pPr>
      <w:r>
        <w:rPr>
          <w:color w:val="auto"/>
          <w:sz w:val="24"/>
          <w:highlight w:val="none"/>
        </w:rPr>
        <w:t>缺陷责任期阶段监理服务结束时间：</w:t>
      </w:r>
      <w:r>
        <w:rPr>
          <w:rFonts w:hint="eastAsia"/>
          <w:color w:val="auto"/>
          <w:sz w:val="24"/>
          <w:highlight w:val="none"/>
          <w:u w:val="single"/>
        </w:rPr>
        <w:t xml:space="preserve">                     </w:t>
      </w:r>
      <w:r>
        <w:rPr>
          <w:rFonts w:hint="eastAsia" w:cs="宋体"/>
          <w:color w:val="auto"/>
          <w:sz w:val="24"/>
          <w:highlight w:val="none"/>
          <w:u w:val="single"/>
        </w:rPr>
        <w:t xml:space="preserve">           </w:t>
      </w:r>
      <w:r>
        <w:rPr>
          <w:rFonts w:hint="eastAsia"/>
          <w:color w:val="auto"/>
          <w:sz w:val="24"/>
          <w:highlight w:val="none"/>
          <w:u w:val="single"/>
        </w:rPr>
        <w:t xml:space="preserve">       </w:t>
      </w:r>
      <w:r>
        <w:rPr>
          <w:color w:val="auto"/>
          <w:sz w:val="24"/>
          <w:highlight w:val="none"/>
        </w:rPr>
        <w:t>。</w:t>
      </w:r>
    </w:p>
    <w:p>
      <w:pPr>
        <w:spacing w:line="420" w:lineRule="exact"/>
        <w:ind w:firstLine="480" w:firstLineChars="200"/>
        <w:rPr>
          <w:color w:val="auto"/>
          <w:sz w:val="24"/>
          <w:highlight w:val="none"/>
        </w:rPr>
      </w:pPr>
      <w:r>
        <w:rPr>
          <w:color w:val="auto"/>
          <w:sz w:val="24"/>
          <w:highlight w:val="none"/>
        </w:rPr>
        <w:t>退场</w:t>
      </w:r>
      <w:r>
        <w:rPr>
          <w:rFonts w:hint="eastAsia"/>
          <w:color w:val="auto"/>
          <w:sz w:val="24"/>
          <w:highlight w:val="none"/>
        </w:rPr>
        <w:t>时间</w:t>
      </w:r>
      <w:r>
        <w:rPr>
          <w:color w:val="auto"/>
          <w:sz w:val="24"/>
          <w:highlight w:val="none"/>
        </w:rPr>
        <w:t>：</w:t>
      </w:r>
      <w:r>
        <w:rPr>
          <w:rFonts w:hint="eastAsia"/>
          <w:color w:val="auto"/>
          <w:sz w:val="24"/>
          <w:highlight w:val="none"/>
          <w:u w:val="single"/>
        </w:rPr>
        <w:t xml:space="preserve">                                                             </w:t>
      </w:r>
      <w:r>
        <w:rPr>
          <w:color w:val="auto"/>
          <w:sz w:val="24"/>
          <w:highlight w:val="none"/>
        </w:rPr>
        <w:t>。</w:t>
      </w:r>
    </w:p>
    <w:p>
      <w:pPr>
        <w:spacing w:line="324" w:lineRule="auto"/>
        <w:ind w:firstLine="480" w:firstLineChars="200"/>
        <w:outlineLvl w:val="0"/>
        <w:rPr>
          <w:color w:val="auto"/>
          <w:sz w:val="24"/>
          <w:highlight w:val="none"/>
        </w:rPr>
      </w:pPr>
      <w:bookmarkStart w:id="1313" w:name="_Toc488650918"/>
      <w:bookmarkStart w:id="1314" w:name="_Toc487653486"/>
      <w:bookmarkStart w:id="1315" w:name="_Toc487291597"/>
      <w:bookmarkStart w:id="1316" w:name="_Toc487619568"/>
      <w:r>
        <w:rPr>
          <w:rFonts w:hint="eastAsia"/>
          <w:color w:val="auto"/>
          <w:sz w:val="24"/>
          <w:highlight w:val="none"/>
        </w:rPr>
        <w:t>5.4  合同的变更</w:t>
      </w:r>
      <w:bookmarkEnd w:id="1313"/>
      <w:bookmarkEnd w:id="1314"/>
      <w:bookmarkEnd w:id="1315"/>
      <w:bookmarkEnd w:id="1316"/>
    </w:p>
    <w:p>
      <w:pPr>
        <w:autoSpaceDE w:val="0"/>
        <w:autoSpaceDN w:val="0"/>
        <w:adjustRightInd w:val="0"/>
        <w:snapToGrid w:val="0"/>
        <w:spacing w:line="420" w:lineRule="exact"/>
        <w:ind w:firstLine="435"/>
        <w:rPr>
          <w:rFonts w:ascii="宋体" w:hAnsi="宋体" w:cs="宋体"/>
          <w:color w:val="auto"/>
          <w:sz w:val="24"/>
          <w:highlight w:val="none"/>
        </w:rPr>
      </w:pPr>
      <w:r>
        <w:rPr>
          <w:rFonts w:hint="eastAsia" w:ascii="宋体" w:hAnsi="宋体" w:cs="宋体"/>
          <w:color w:val="auto"/>
          <w:sz w:val="24"/>
          <w:highlight w:val="none"/>
        </w:rPr>
        <w:t>5.4.4  项目开工时间晚于合同签定开工时间90日，或非监理人因素导致监理服务期限超过约定期限的90日，监理服务费用调整办法：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adjustRightInd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5.4.5  因物价变动等因素而引起监理服务费用的变化的调整办法：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adjustRightInd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5.4.6  因国家或地方政府的法律、法规变动而引起监理服务费用的增加或服务时间的延长，应进行调整，具体调整办法：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adjustRightInd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5.5.1（3） 本合同约定的不可抗力其他情形：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24" w:lineRule="auto"/>
        <w:ind w:firstLine="480" w:firstLineChars="200"/>
        <w:outlineLvl w:val="0"/>
        <w:rPr>
          <w:color w:val="auto"/>
          <w:sz w:val="24"/>
          <w:highlight w:val="none"/>
        </w:rPr>
      </w:pPr>
      <w:bookmarkStart w:id="1317" w:name="_Toc330384482"/>
      <w:bookmarkStart w:id="1318" w:name="_Toc488650919"/>
      <w:bookmarkStart w:id="1319" w:name="_Toc487619569"/>
      <w:bookmarkStart w:id="1320" w:name="_Toc283558790"/>
      <w:bookmarkStart w:id="1321" w:name="_Toc487291598"/>
      <w:bookmarkStart w:id="1322" w:name="_Toc336172268"/>
      <w:bookmarkStart w:id="1323" w:name="_Toc283559287"/>
      <w:bookmarkStart w:id="1324" w:name="_Toc341805319"/>
      <w:bookmarkStart w:id="1325" w:name="_Toc341015694"/>
      <w:bookmarkStart w:id="1326" w:name="_Toc487653487"/>
      <w:bookmarkStart w:id="1327" w:name="_Toc307991229"/>
      <w:bookmarkStart w:id="1328" w:name="_Toc286759132"/>
      <w:r>
        <w:rPr>
          <w:rFonts w:hint="eastAsia"/>
          <w:color w:val="auto"/>
          <w:sz w:val="24"/>
          <w:highlight w:val="none"/>
        </w:rPr>
        <w:t>6．监理服务费计费与支付</w:t>
      </w:r>
      <w:bookmarkEnd w:id="1317"/>
      <w:bookmarkEnd w:id="1318"/>
      <w:bookmarkEnd w:id="1319"/>
      <w:bookmarkEnd w:id="1320"/>
      <w:bookmarkEnd w:id="1321"/>
      <w:bookmarkEnd w:id="1322"/>
      <w:bookmarkEnd w:id="1323"/>
      <w:bookmarkEnd w:id="1324"/>
      <w:bookmarkEnd w:id="1325"/>
      <w:bookmarkEnd w:id="1326"/>
      <w:bookmarkEnd w:id="1327"/>
      <w:bookmarkEnd w:id="1328"/>
    </w:p>
    <w:p>
      <w:pPr>
        <w:autoSpaceDE w:val="0"/>
        <w:autoSpaceDN w:val="0"/>
        <w:adjustRightInd w:val="0"/>
        <w:snapToGrid w:val="0"/>
        <w:spacing w:line="420" w:lineRule="exact"/>
        <w:ind w:firstLine="480" w:firstLineChars="200"/>
        <w:rPr>
          <w:rFonts w:ascii="宋体" w:hAnsi="宋体" w:cs="宋体"/>
          <w:color w:val="auto"/>
          <w:sz w:val="24"/>
          <w:highlight w:val="none"/>
        </w:rPr>
      </w:pPr>
      <w:bookmarkStart w:id="1329" w:name="_Toc283559288"/>
      <w:bookmarkStart w:id="1330" w:name="_Toc283558791"/>
      <w:bookmarkStart w:id="1331" w:name="_Toc307991230"/>
      <w:bookmarkStart w:id="1332" w:name="_Toc286759133"/>
      <w:r>
        <w:rPr>
          <w:rFonts w:hint="eastAsia" w:ascii="宋体" w:hAnsi="宋体" w:cs="宋体"/>
          <w:color w:val="auto"/>
          <w:sz w:val="24"/>
          <w:highlight w:val="none"/>
        </w:rPr>
        <w:t>6.1.2  附加监理服务费用计算方法：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adjustRightInd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6.1.3  额外服务费用计算方法：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adjustRightInd w:val="0"/>
        <w:snapToGrid w:val="0"/>
        <w:spacing w:line="420" w:lineRule="exact"/>
        <w:ind w:left="780" w:leftChars="200" w:hanging="360" w:hangingChars="150"/>
        <w:rPr>
          <w:rFonts w:ascii="宋体" w:hAnsi="宋体" w:cs="宋体"/>
          <w:color w:val="auto"/>
          <w:sz w:val="24"/>
          <w:highlight w:val="none"/>
        </w:rPr>
      </w:pPr>
      <w:r>
        <w:rPr>
          <w:rFonts w:hint="eastAsia" w:ascii="宋体" w:hAnsi="宋体" w:cs="宋体"/>
          <w:color w:val="auto"/>
          <w:sz w:val="24"/>
          <w:highlight w:val="none"/>
        </w:rPr>
        <w:t xml:space="preserve"> 6.2    暂列金额额度：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adjustRightInd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6.3.1  第一次付款为监理服务费总额的：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autoSpaceDE w:val="0"/>
        <w:autoSpaceDN w:val="0"/>
        <w:adjustRightInd w:val="0"/>
        <w:snapToGrid w:val="0"/>
        <w:spacing w:line="420" w:lineRule="exact"/>
        <w:rPr>
          <w:rFonts w:ascii="宋体" w:hAnsi="宋体" w:cs="宋体"/>
          <w:color w:val="auto"/>
          <w:sz w:val="24"/>
          <w:highlight w:val="none"/>
        </w:rPr>
      </w:pPr>
      <w:r>
        <w:rPr>
          <w:rFonts w:hint="eastAsia" w:ascii="宋体" w:hAnsi="宋体" w:cs="宋体"/>
          <w:color w:val="auto"/>
          <w:sz w:val="24"/>
          <w:highlight w:val="none"/>
        </w:rPr>
        <w:t xml:space="preserve">    6.3.2（1 ）施工阶段监理服务费支付方式：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1329"/>
    <w:bookmarkEnd w:id="1330"/>
    <w:bookmarkEnd w:id="1331"/>
    <w:bookmarkEnd w:id="1332"/>
    <w:p>
      <w:pPr>
        <w:spacing w:line="324" w:lineRule="auto"/>
        <w:ind w:firstLine="480" w:firstLineChars="200"/>
        <w:outlineLvl w:val="0"/>
        <w:rPr>
          <w:color w:val="auto"/>
          <w:sz w:val="24"/>
          <w:highlight w:val="none"/>
        </w:rPr>
      </w:pPr>
      <w:bookmarkStart w:id="1333" w:name="_Toc487291599"/>
      <w:bookmarkStart w:id="1334" w:name="_Toc488650920"/>
      <w:bookmarkStart w:id="1335" w:name="_Toc487619570"/>
      <w:bookmarkStart w:id="1336" w:name="_Toc487653488"/>
      <w:r>
        <w:rPr>
          <w:rFonts w:hint="eastAsia"/>
          <w:color w:val="auto"/>
          <w:sz w:val="24"/>
          <w:highlight w:val="none"/>
        </w:rPr>
        <w:t>6.4  货币</w:t>
      </w:r>
      <w:bookmarkEnd w:id="1333"/>
      <w:bookmarkEnd w:id="1334"/>
      <w:bookmarkEnd w:id="1335"/>
      <w:bookmarkEnd w:id="1336"/>
    </w:p>
    <w:p>
      <w:pPr>
        <w:spacing w:line="324" w:lineRule="auto"/>
        <w:ind w:firstLine="480" w:firstLineChars="200"/>
        <w:rPr>
          <w:rFonts w:cs="宋体"/>
          <w:color w:val="auto"/>
          <w:sz w:val="24"/>
          <w:highlight w:val="none"/>
        </w:rPr>
      </w:pPr>
      <w:r>
        <w:rPr>
          <w:rFonts w:hint="eastAsia"/>
          <w:color w:val="auto"/>
          <w:sz w:val="24"/>
          <w:highlight w:val="none"/>
        </w:rPr>
        <w:t>涉及外币支付的，货币种类、比例和汇率等约定：</w:t>
      </w:r>
      <w:r>
        <w:rPr>
          <w:rFonts w:hint="eastAsia" w:cs="宋体"/>
          <w:color w:val="auto"/>
          <w:sz w:val="24"/>
          <w:highlight w:val="none"/>
          <w:u w:val="single"/>
        </w:rPr>
        <w:t xml:space="preserve">            </w:t>
      </w:r>
      <w:r>
        <w:rPr>
          <w:rFonts w:hint="eastAsia" w:ascii="宋体" w:hAnsi="宋体"/>
          <w:color w:val="auto"/>
          <w:sz w:val="24"/>
          <w:highlight w:val="none"/>
          <w:u w:val="single"/>
        </w:rPr>
        <w:t xml:space="preserve">  </w:t>
      </w:r>
      <w:r>
        <w:rPr>
          <w:rFonts w:hint="eastAsia" w:cs="宋体"/>
          <w:color w:val="auto"/>
          <w:sz w:val="24"/>
          <w:highlight w:val="none"/>
          <w:u w:val="single"/>
        </w:rPr>
        <w:t xml:space="preserve">         </w:t>
      </w:r>
      <w:r>
        <w:rPr>
          <w:rFonts w:hint="eastAsia" w:cs="宋体"/>
          <w:color w:val="auto"/>
          <w:sz w:val="24"/>
          <w:highlight w:val="none"/>
        </w:rPr>
        <w:t>。</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7.违约</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7.1监理人的违约及赔偿责任</w:t>
      </w:r>
    </w:p>
    <w:p>
      <w:pPr>
        <w:spacing w:line="32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7.1.2监理人违约的处理</w:t>
      </w:r>
    </w:p>
    <w:p>
      <w:pPr>
        <w:spacing w:line="300" w:lineRule="auto"/>
        <w:ind w:firstLine="480" w:firstLineChars="200"/>
        <w:rPr>
          <w:color w:val="auto"/>
          <w:sz w:val="24"/>
          <w:highlight w:val="none"/>
        </w:rPr>
      </w:pPr>
      <w:r>
        <w:rPr>
          <w:rFonts w:hint="eastAsia" w:ascii="宋体" w:hAnsi="宋体" w:cs="宋体"/>
          <w:color w:val="auto"/>
          <w:sz w:val="24"/>
          <w:highlight w:val="none"/>
        </w:rPr>
        <w:t>未经发包人同意，本工程的项目总监理工程师、试验室主任擅自离开现场的，按每天每人次人民币</w:t>
      </w:r>
      <w:r>
        <w:rPr>
          <w:rFonts w:ascii="宋体" w:hAnsi="宋体" w:cs="宋体"/>
          <w:color w:val="auto"/>
          <w:sz w:val="24"/>
          <w:highlight w:val="none"/>
        </w:rPr>
        <w:t xml:space="preserve">    </w:t>
      </w:r>
      <w:r>
        <w:rPr>
          <w:rFonts w:hint="eastAsia" w:ascii="宋体" w:hAnsi="宋体" w:cs="宋体"/>
          <w:color w:val="auto"/>
          <w:sz w:val="24"/>
          <w:highlight w:val="none"/>
        </w:rPr>
        <w:t>元向承包人处罚；经发包人同意后在不影响工作前提下方可离开现场。无论发包人同意与否，承包人在施工期间更换本工程项目总监理工程师、试验室主任，每更换一人次，罚款人民币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元；未经项目法人书面同意，投标承诺的总监理工程师、试验室主任不得更换；若有更换，总监理工程师、试验室主任不得低于投标时的人员资格标准。</w:t>
      </w:r>
    </w:p>
    <w:p>
      <w:pPr>
        <w:numPr>
          <w:ilvl w:val="0"/>
          <w:numId w:val="12"/>
        </w:numPr>
        <w:spacing w:line="300" w:lineRule="auto"/>
        <w:ind w:firstLine="480" w:firstLineChars="200"/>
        <w:rPr>
          <w:rFonts w:hint="eastAsia" w:ascii="宋体" w:hAnsi="宋体" w:cs="宋体"/>
          <w:color w:val="auto"/>
          <w:sz w:val="24"/>
          <w:highlight w:val="none"/>
        </w:rPr>
      </w:pPr>
      <w:bookmarkStart w:id="1337" w:name="_Toc341015695"/>
      <w:bookmarkStart w:id="1338" w:name="_Toc336172269"/>
      <w:bookmarkStart w:id="1339" w:name="_Toc330384485"/>
      <w:bookmarkStart w:id="1340" w:name="_Toc283559292"/>
      <w:bookmarkStart w:id="1341" w:name="_Toc307991233"/>
      <w:bookmarkStart w:id="1342" w:name="_Toc341805320"/>
      <w:bookmarkStart w:id="1343" w:name="_Toc286759136"/>
      <w:bookmarkStart w:id="1344" w:name="_Toc283558795"/>
      <w:r>
        <w:rPr>
          <w:rFonts w:hint="eastAsia" w:ascii="宋体" w:hAnsi="宋体" w:cs="宋体"/>
          <w:color w:val="auto"/>
          <w:sz w:val="24"/>
          <w:highlight w:val="none"/>
        </w:rPr>
        <w:t>党建工作要求：监理人要按照有关要求开展工地党建工作。</w:t>
      </w:r>
    </w:p>
    <w:p>
      <w:pPr>
        <w:numPr>
          <w:ilvl w:val="0"/>
          <w:numId w:val="12"/>
        </w:num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农民工工资工作要求：将农民工工资有关工作纳入监理范畴，督促总承包单位创建“无欠薪项目部”，建立农民工工资专用账户管理制度，实行人工费（工资款）与其他工程款分账管理，将应付工程款中的人工费单独拨付到承包人开设的民工工资专用账户，工资专户资金专项用于支付农民工工资。</w:t>
      </w:r>
    </w:p>
    <w:p>
      <w:pPr>
        <w:spacing w:line="324" w:lineRule="auto"/>
        <w:ind w:firstLine="480" w:firstLineChars="200"/>
        <w:rPr>
          <w:color w:val="auto"/>
          <w:sz w:val="24"/>
          <w:highlight w:val="none"/>
        </w:rPr>
      </w:pPr>
      <w:r>
        <w:rPr>
          <w:rFonts w:hint="eastAsia"/>
          <w:color w:val="auto"/>
          <w:sz w:val="24"/>
          <w:highlight w:val="none"/>
          <w:lang w:val="en-US" w:eastAsia="zh-CN"/>
        </w:rPr>
        <w:t>10</w:t>
      </w:r>
      <w:r>
        <w:rPr>
          <w:rFonts w:hint="eastAsia"/>
          <w:color w:val="auto"/>
          <w:sz w:val="24"/>
          <w:highlight w:val="none"/>
        </w:rPr>
        <w:t>．争议的解决</w:t>
      </w:r>
      <w:bookmarkEnd w:id="1337"/>
      <w:bookmarkEnd w:id="1338"/>
      <w:bookmarkEnd w:id="1339"/>
      <w:bookmarkEnd w:id="1340"/>
      <w:bookmarkEnd w:id="1341"/>
      <w:bookmarkEnd w:id="1342"/>
      <w:bookmarkEnd w:id="1343"/>
      <w:bookmarkEnd w:id="1344"/>
    </w:p>
    <w:p>
      <w:pPr>
        <w:spacing w:line="324" w:lineRule="auto"/>
        <w:ind w:firstLine="480" w:firstLineChars="200"/>
        <w:rPr>
          <w:color w:val="auto"/>
          <w:sz w:val="24"/>
          <w:highlight w:val="none"/>
        </w:rPr>
      </w:pPr>
      <w:r>
        <w:rPr>
          <w:rFonts w:hint="eastAsia"/>
          <w:color w:val="auto"/>
          <w:sz w:val="24"/>
          <w:highlight w:val="none"/>
          <w:lang w:val="en-US" w:eastAsia="zh-CN"/>
        </w:rPr>
        <w:t>10</w:t>
      </w:r>
      <w:r>
        <w:rPr>
          <w:rFonts w:hint="eastAsia"/>
          <w:color w:val="auto"/>
          <w:sz w:val="24"/>
          <w:highlight w:val="none"/>
        </w:rPr>
        <w:t>.1  争议的解决方式</w:t>
      </w:r>
    </w:p>
    <w:p>
      <w:pPr>
        <w:autoSpaceDE w:val="0"/>
        <w:autoSpaceDN w:val="0"/>
        <w:adjustRightInd w:val="0"/>
        <w:snapToGrid w:val="0"/>
        <w:spacing w:line="324" w:lineRule="auto"/>
        <w:ind w:firstLine="480" w:firstLineChars="200"/>
        <w:rPr>
          <w:rFonts w:cs="宋体"/>
          <w:color w:val="auto"/>
          <w:sz w:val="24"/>
          <w:highlight w:val="none"/>
        </w:rPr>
      </w:pPr>
      <w:r>
        <w:rPr>
          <w:rFonts w:hint="eastAsia" w:cs="宋体"/>
          <w:color w:val="auto"/>
          <w:sz w:val="24"/>
          <w:highlight w:val="none"/>
        </w:rPr>
        <w:t>争议的解决方式：</w:t>
      </w:r>
      <w:r>
        <w:rPr>
          <w:rFonts w:hint="eastAsia" w:cs="宋体"/>
          <w:color w:val="auto"/>
          <w:sz w:val="24"/>
          <w:highlight w:val="none"/>
          <w:u w:val="single"/>
        </w:rPr>
        <w:t xml:space="preserve">                                                   </w:t>
      </w:r>
      <w:r>
        <w:rPr>
          <w:rFonts w:hint="eastAsia" w:cs="宋体"/>
          <w:color w:val="auto"/>
          <w:sz w:val="24"/>
          <w:highlight w:val="none"/>
        </w:rPr>
        <w:t>。</w:t>
      </w:r>
    </w:p>
    <w:p>
      <w:pPr>
        <w:spacing w:line="324" w:lineRule="auto"/>
        <w:ind w:firstLine="480" w:firstLineChars="200"/>
        <w:rPr>
          <w:color w:val="auto"/>
          <w:sz w:val="24"/>
          <w:highlight w:val="none"/>
        </w:rPr>
      </w:pPr>
      <w:bookmarkStart w:id="1345" w:name="_Toc341015696"/>
      <w:bookmarkStart w:id="1346" w:name="_Toc330384486"/>
      <w:bookmarkStart w:id="1347" w:name="_Toc341805321"/>
      <w:bookmarkStart w:id="1348" w:name="_Toc336172270"/>
      <w:r>
        <w:rPr>
          <w:rFonts w:hint="eastAsia"/>
          <w:color w:val="auto"/>
          <w:sz w:val="24"/>
          <w:highlight w:val="none"/>
          <w:lang w:val="en-US" w:eastAsia="zh-CN"/>
        </w:rPr>
        <w:t>11</w:t>
      </w:r>
      <w:r>
        <w:rPr>
          <w:rFonts w:hint="eastAsia"/>
          <w:color w:val="auto"/>
          <w:sz w:val="24"/>
          <w:highlight w:val="none"/>
        </w:rPr>
        <w:t>．其他</w:t>
      </w:r>
      <w:bookmarkEnd w:id="1345"/>
      <w:bookmarkEnd w:id="1346"/>
      <w:bookmarkEnd w:id="1347"/>
      <w:bookmarkEnd w:id="1348"/>
    </w:p>
    <w:p>
      <w:pPr>
        <w:spacing w:line="324" w:lineRule="auto"/>
        <w:ind w:firstLine="480" w:firstLineChars="200"/>
        <w:rPr>
          <w:color w:val="auto"/>
          <w:sz w:val="24"/>
          <w:highlight w:val="none"/>
        </w:rPr>
      </w:pPr>
      <w:r>
        <w:rPr>
          <w:rFonts w:hint="eastAsia"/>
          <w:color w:val="auto"/>
          <w:sz w:val="24"/>
          <w:highlight w:val="none"/>
          <w:lang w:val="en-US" w:eastAsia="zh-CN"/>
        </w:rPr>
        <w:t>11</w:t>
      </w:r>
      <w:r>
        <w:rPr>
          <w:rFonts w:hint="eastAsia"/>
          <w:color w:val="auto"/>
          <w:sz w:val="24"/>
          <w:highlight w:val="none"/>
        </w:rPr>
        <w:t>.2  奖励</w:t>
      </w:r>
    </w:p>
    <w:p>
      <w:pPr>
        <w:autoSpaceDE w:val="0"/>
        <w:autoSpaceDN w:val="0"/>
        <w:adjustRightInd w:val="0"/>
        <w:snapToGrid w:val="0"/>
        <w:spacing w:line="324" w:lineRule="auto"/>
        <w:ind w:firstLine="480" w:firstLineChars="200"/>
        <w:rPr>
          <w:rFonts w:cs="宋体"/>
          <w:color w:val="auto"/>
          <w:sz w:val="24"/>
          <w:highlight w:val="none"/>
        </w:rPr>
      </w:pPr>
      <w:r>
        <w:rPr>
          <w:rFonts w:hint="eastAsia" w:cs="宋体"/>
          <w:color w:val="auto"/>
          <w:sz w:val="24"/>
          <w:highlight w:val="none"/>
          <w:lang w:val="en-US" w:eastAsia="zh-CN"/>
        </w:rPr>
        <w:t>11</w:t>
      </w:r>
      <w:r>
        <w:rPr>
          <w:rFonts w:hint="eastAsia" w:cs="宋体"/>
          <w:color w:val="auto"/>
          <w:sz w:val="24"/>
          <w:highlight w:val="none"/>
        </w:rPr>
        <w:t>.2.1  监理人提出的合理化建议缩短了工期、降低工程造价或产生了经济效益，发包人对监理人的奖励办法：</w:t>
      </w:r>
      <w:r>
        <w:rPr>
          <w:rFonts w:hint="eastAsia" w:cs="宋体"/>
          <w:color w:val="auto"/>
          <w:sz w:val="24"/>
          <w:highlight w:val="none"/>
          <w:u w:val="single"/>
        </w:rPr>
        <w:t xml:space="preserve">                                                 </w:t>
      </w:r>
      <w:r>
        <w:rPr>
          <w:rFonts w:hint="eastAsia" w:cs="宋体"/>
          <w:color w:val="auto"/>
          <w:sz w:val="24"/>
          <w:highlight w:val="none"/>
        </w:rPr>
        <w:t>。</w:t>
      </w:r>
    </w:p>
    <w:p>
      <w:pPr>
        <w:spacing w:line="324" w:lineRule="auto"/>
        <w:ind w:firstLine="480" w:firstLineChars="200"/>
        <w:rPr>
          <w:rFonts w:cs="宋体"/>
          <w:color w:val="auto"/>
          <w:sz w:val="24"/>
          <w:highlight w:val="none"/>
          <w:u w:val="single"/>
        </w:rPr>
      </w:pPr>
      <w:r>
        <w:rPr>
          <w:rFonts w:hint="eastAsia" w:cs="宋体"/>
          <w:color w:val="auto"/>
          <w:sz w:val="24"/>
          <w:highlight w:val="none"/>
          <w:lang w:val="en-US" w:eastAsia="zh-CN"/>
        </w:rPr>
        <w:t>11</w:t>
      </w:r>
      <w:r>
        <w:rPr>
          <w:rFonts w:hint="eastAsia" w:cs="宋体"/>
          <w:color w:val="auto"/>
          <w:sz w:val="24"/>
          <w:highlight w:val="none"/>
        </w:rPr>
        <w:t>.2.2  优质监理服务奖励办法：</w:t>
      </w:r>
      <w:r>
        <w:rPr>
          <w:rFonts w:hint="eastAsia" w:cs="宋体"/>
          <w:color w:val="auto"/>
          <w:sz w:val="24"/>
          <w:highlight w:val="none"/>
          <w:u w:val="single"/>
        </w:rPr>
        <w:t xml:space="preserve">                          </w:t>
      </w:r>
      <w:r>
        <w:rPr>
          <w:rFonts w:hint="eastAsia" w:cs="宋体"/>
          <w:color w:val="auto"/>
          <w:sz w:val="24"/>
          <w:highlight w:val="none"/>
        </w:rPr>
        <w:t>。</w:t>
      </w:r>
    </w:p>
    <w:p>
      <w:pPr>
        <w:spacing w:line="324" w:lineRule="auto"/>
        <w:ind w:firstLine="480" w:firstLineChars="200"/>
        <w:rPr>
          <w:color w:val="auto"/>
          <w:sz w:val="24"/>
          <w:highlight w:val="none"/>
        </w:rPr>
      </w:pPr>
      <w:r>
        <w:rPr>
          <w:rFonts w:hint="eastAsia"/>
          <w:color w:val="auto"/>
          <w:sz w:val="24"/>
          <w:highlight w:val="none"/>
          <w:lang w:val="en-US" w:eastAsia="zh-CN"/>
        </w:rPr>
        <w:t>11</w:t>
      </w:r>
      <w:r>
        <w:rPr>
          <w:rFonts w:hint="eastAsia"/>
          <w:color w:val="auto"/>
          <w:sz w:val="24"/>
          <w:highlight w:val="none"/>
        </w:rPr>
        <w:t>.3  竣工资料</w:t>
      </w:r>
    </w:p>
    <w:p>
      <w:pPr>
        <w:spacing w:line="324" w:lineRule="auto"/>
        <w:ind w:firstLine="480" w:firstLineChars="200"/>
        <w:rPr>
          <w:rFonts w:cs="宋体"/>
          <w:color w:val="auto"/>
          <w:sz w:val="24"/>
          <w:highlight w:val="none"/>
        </w:rPr>
      </w:pPr>
      <w:r>
        <w:rPr>
          <w:rFonts w:hint="eastAsia" w:cs="宋体"/>
          <w:color w:val="auto"/>
          <w:sz w:val="24"/>
          <w:highlight w:val="none"/>
        </w:rPr>
        <w:t>竣工资料：</w:t>
      </w:r>
      <w:r>
        <w:rPr>
          <w:rFonts w:hint="eastAsia" w:cs="宋体"/>
          <w:color w:val="auto"/>
          <w:sz w:val="24"/>
          <w:highlight w:val="none"/>
          <w:u w:val="single"/>
        </w:rPr>
        <w:t xml:space="preserve">                                                </w:t>
      </w:r>
      <w:r>
        <w:rPr>
          <w:rFonts w:hint="eastAsia" w:cs="宋体"/>
          <w:color w:val="auto"/>
          <w:sz w:val="24"/>
          <w:highlight w:val="none"/>
        </w:rPr>
        <w:t xml:space="preserve"> 。</w:t>
      </w:r>
      <w:bookmarkStart w:id="1349" w:name="_Toc341805322"/>
      <w:bookmarkStart w:id="1350" w:name="_Toc330384449"/>
    </w:p>
    <w:bookmarkEnd w:id="1349"/>
    <w:bookmarkEnd w:id="1350"/>
    <w:p>
      <w:pPr>
        <w:pStyle w:val="4"/>
        <w:spacing w:before="0" w:after="0" w:line="324" w:lineRule="auto"/>
        <w:jc w:val="center"/>
        <w:rPr>
          <w:color w:val="auto"/>
          <w:sz w:val="24"/>
          <w:highlight w:val="none"/>
        </w:rPr>
      </w:pPr>
      <w:r>
        <w:rPr>
          <w:rFonts w:hint="eastAsia"/>
          <w:color w:val="auto"/>
          <w:highlight w:val="none"/>
        </w:rPr>
        <w:br w:type="page"/>
      </w:r>
      <w:bookmarkStart w:id="1351" w:name="_Toc488650921"/>
      <w:bookmarkStart w:id="1352" w:name="_Toc487619571"/>
      <w:bookmarkStart w:id="1353" w:name="_Toc487291600"/>
      <w:r>
        <w:rPr>
          <w:rFonts w:hint="eastAsia"/>
          <w:color w:val="auto"/>
          <w:highlight w:val="none"/>
        </w:rPr>
        <w:t>第三节    监理合同附件格式</w:t>
      </w:r>
      <w:bookmarkEnd w:id="1351"/>
      <w:bookmarkEnd w:id="1352"/>
      <w:bookmarkEnd w:id="1353"/>
    </w:p>
    <w:p>
      <w:pPr>
        <w:pStyle w:val="4"/>
        <w:spacing w:before="0" w:after="0" w:line="324" w:lineRule="auto"/>
        <w:jc w:val="center"/>
        <w:rPr>
          <w:color w:val="auto"/>
          <w:sz w:val="24"/>
          <w:highlight w:val="none"/>
        </w:rPr>
      </w:pPr>
    </w:p>
    <w:p>
      <w:pPr>
        <w:pStyle w:val="4"/>
        <w:spacing w:before="0" w:after="0" w:line="324" w:lineRule="auto"/>
        <w:rPr>
          <w:rFonts w:ascii="黑体" w:hAnsi="宋体"/>
          <w:b w:val="0"/>
          <w:color w:val="auto"/>
          <w:sz w:val="24"/>
          <w:szCs w:val="24"/>
          <w:highlight w:val="none"/>
        </w:rPr>
      </w:pPr>
      <w:bookmarkStart w:id="1354" w:name="_Toc487291601"/>
      <w:bookmarkStart w:id="1355" w:name="_Toc487619572"/>
      <w:bookmarkStart w:id="1356" w:name="_Toc341805323"/>
      <w:bookmarkStart w:id="1357" w:name="_Toc488650922"/>
      <w:r>
        <w:rPr>
          <w:rFonts w:hint="eastAsia" w:ascii="黑体" w:hAnsi="宋体"/>
          <w:b w:val="0"/>
          <w:color w:val="auto"/>
          <w:sz w:val="24"/>
          <w:szCs w:val="24"/>
          <w:highlight w:val="none"/>
        </w:rPr>
        <w:t>附件一：合同协议书格式</w:t>
      </w:r>
      <w:bookmarkEnd w:id="1354"/>
      <w:bookmarkEnd w:id="1355"/>
      <w:bookmarkEnd w:id="1356"/>
      <w:bookmarkEnd w:id="1357"/>
    </w:p>
    <w:p>
      <w:pPr>
        <w:autoSpaceDE w:val="0"/>
        <w:autoSpaceDN w:val="0"/>
        <w:adjustRightInd w:val="0"/>
        <w:snapToGrid w:val="0"/>
        <w:spacing w:line="324" w:lineRule="auto"/>
        <w:ind w:firstLine="480" w:firstLineChars="200"/>
        <w:jc w:val="center"/>
        <w:rPr>
          <w:rFonts w:ascii="黑体" w:eastAsia="黑体"/>
          <w:color w:val="auto"/>
          <w:sz w:val="24"/>
          <w:highlight w:val="none"/>
        </w:rPr>
      </w:pPr>
    </w:p>
    <w:p>
      <w:pPr>
        <w:autoSpaceDE w:val="0"/>
        <w:autoSpaceDN w:val="0"/>
        <w:adjustRightInd w:val="0"/>
        <w:snapToGrid w:val="0"/>
        <w:spacing w:line="324" w:lineRule="auto"/>
        <w:ind w:firstLine="480" w:firstLineChars="200"/>
        <w:jc w:val="center"/>
        <w:rPr>
          <w:rFonts w:ascii="黑体" w:eastAsia="黑体"/>
          <w:color w:val="auto"/>
          <w:sz w:val="24"/>
          <w:highlight w:val="none"/>
        </w:rPr>
      </w:pPr>
      <w:r>
        <w:rPr>
          <w:rFonts w:hint="eastAsia" w:ascii="黑体" w:eastAsia="黑体"/>
          <w:color w:val="auto"/>
          <w:sz w:val="24"/>
          <w:highlight w:val="none"/>
        </w:rPr>
        <w:t>合同协议书</w:t>
      </w:r>
    </w:p>
    <w:p>
      <w:pPr>
        <w:autoSpaceDE w:val="0"/>
        <w:autoSpaceDN w:val="0"/>
        <w:adjustRightInd w:val="0"/>
        <w:snapToGrid w:val="0"/>
        <w:spacing w:line="324" w:lineRule="auto"/>
        <w:ind w:firstLine="480" w:firstLineChars="200"/>
        <w:rPr>
          <w:rFonts w:ascii="宋体" w:hAnsi="宋体"/>
          <w:color w:val="auto"/>
          <w:sz w:val="24"/>
          <w:highlight w:val="none"/>
          <w:u w:val="single"/>
        </w:rPr>
      </w:pPr>
    </w:p>
    <w:p>
      <w:pPr>
        <w:autoSpaceDE w:val="0"/>
        <w:autoSpaceDN w:val="0"/>
        <w:adjustRightInd w:val="0"/>
        <w:snapToGrid w:val="0"/>
        <w:spacing w:line="324" w:lineRule="auto"/>
        <w:ind w:firstLine="480" w:firstLineChars="200"/>
        <w:jc w:val="left"/>
        <w:rPr>
          <w:rFonts w:ascii="宋体" w:hAnsi="宋体" w:cs="宋体"/>
          <w:color w:val="auto"/>
          <w:spacing w:val="14"/>
          <w:kern w:val="0"/>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w:t>
      </w:r>
      <w:r>
        <w:rPr>
          <w:rFonts w:ascii="宋体" w:hAnsi="宋体"/>
          <w:color w:val="auto"/>
          <w:sz w:val="24"/>
          <w:highlight w:val="none"/>
        </w:rPr>
        <w:t>”</w:t>
      </w:r>
      <w:r>
        <w:rPr>
          <w:rFonts w:hint="eastAsia" w:ascii="宋体" w:hAnsi="宋体"/>
          <w:color w:val="auto"/>
          <w:sz w:val="24"/>
          <w:highlight w:val="none"/>
        </w:rPr>
        <w:t xml:space="preserve"> ）为实施</w:t>
      </w:r>
      <w:r>
        <w:rPr>
          <w:rFonts w:hint="eastAsia" w:ascii="宋体" w:hAnsi="宋体"/>
          <w:color w:val="auto"/>
          <w:sz w:val="24"/>
          <w:highlight w:val="none"/>
          <w:u w:val="single"/>
        </w:rPr>
        <w:t xml:space="preserve">                    </w:t>
      </w:r>
      <w:r>
        <w:rPr>
          <w:rFonts w:hint="eastAsia" w:ascii="宋体" w:hAnsi="宋体"/>
          <w:color w:val="auto"/>
          <w:sz w:val="24"/>
          <w:highlight w:val="none"/>
        </w:rPr>
        <w:t>（项目名称、施工监理标段），己接受</w:t>
      </w:r>
      <w:r>
        <w:rPr>
          <w:rFonts w:hint="eastAsia" w:ascii="宋体" w:hAnsi="宋体"/>
          <w:color w:val="auto"/>
          <w:sz w:val="24"/>
          <w:highlight w:val="none"/>
          <w:u w:val="single"/>
        </w:rPr>
        <w:t xml:space="preserve">                     </w:t>
      </w:r>
      <w:r>
        <w:rPr>
          <w:rFonts w:hint="eastAsia" w:ascii="宋体" w:hAnsi="宋体"/>
          <w:color w:val="auto"/>
          <w:sz w:val="24"/>
          <w:highlight w:val="none"/>
        </w:rPr>
        <w:t>（监理人名称，以下简称“监理人</w:t>
      </w:r>
      <w:r>
        <w:rPr>
          <w:rFonts w:ascii="宋体" w:hAnsi="宋体"/>
          <w:color w:val="auto"/>
          <w:sz w:val="24"/>
          <w:highlight w:val="none"/>
        </w:rPr>
        <w:t>”</w:t>
      </w:r>
      <w:r>
        <w:rPr>
          <w:rFonts w:hint="eastAsia" w:ascii="宋体" w:hAnsi="宋体"/>
          <w:color w:val="auto"/>
          <w:sz w:val="24"/>
          <w:highlight w:val="none"/>
        </w:rPr>
        <w:t>）的施工监理投标文件。发包人和监理人共同达成如下协议。</w:t>
      </w:r>
    </w:p>
    <w:p>
      <w:pPr>
        <w:spacing w:line="324" w:lineRule="auto"/>
        <w:ind w:firstLine="480" w:firstLineChars="200"/>
        <w:rPr>
          <w:rFonts w:ascii="宋体" w:hAnsi="宋体"/>
          <w:color w:val="auto"/>
          <w:sz w:val="24"/>
          <w:highlight w:val="none"/>
        </w:rPr>
      </w:pPr>
      <w:r>
        <w:rPr>
          <w:color w:val="auto"/>
          <w:sz w:val="24"/>
          <w:highlight w:val="none"/>
        </w:rPr>
        <w:t>1</w:t>
      </w:r>
      <w:r>
        <w:rPr>
          <w:rFonts w:hAnsi="宋体"/>
          <w:color w:val="auto"/>
          <w:sz w:val="24"/>
          <w:highlight w:val="none"/>
        </w:rPr>
        <w:t>．</w:t>
      </w:r>
      <w:r>
        <w:rPr>
          <w:rFonts w:hint="eastAsia" w:hAnsi="宋体"/>
          <w:color w:val="auto"/>
          <w:sz w:val="24"/>
          <w:highlight w:val="none"/>
        </w:rPr>
        <w:t>本协议书与</w:t>
      </w:r>
      <w:r>
        <w:rPr>
          <w:rFonts w:hint="eastAsia" w:ascii="宋体" w:hAnsi="宋体"/>
          <w:color w:val="auto"/>
          <w:sz w:val="24"/>
          <w:highlight w:val="none"/>
        </w:rPr>
        <w:t>下列文件一起构成合同文件：</w:t>
      </w:r>
    </w:p>
    <w:p>
      <w:pPr>
        <w:autoSpaceDE w:val="0"/>
        <w:autoSpaceDN w:val="0"/>
        <w:adjustRightInd w:val="0"/>
        <w:snapToGrid w:val="0"/>
        <w:spacing w:line="324" w:lineRule="auto"/>
        <w:ind w:firstLine="480" w:firstLineChars="200"/>
        <w:rPr>
          <w:rFonts w:cs="宋体"/>
          <w:color w:val="auto"/>
          <w:sz w:val="24"/>
          <w:highlight w:val="none"/>
        </w:rPr>
      </w:pPr>
      <w:r>
        <w:rPr>
          <w:color w:val="auto"/>
          <w:sz w:val="24"/>
          <w:highlight w:val="none"/>
        </w:rPr>
        <w:t>（1）</w:t>
      </w:r>
      <w:r>
        <w:rPr>
          <w:rFonts w:hint="eastAsia" w:cs="宋体"/>
          <w:color w:val="auto"/>
          <w:sz w:val="24"/>
          <w:highlight w:val="none"/>
        </w:rPr>
        <w:t>中标通知书；</w:t>
      </w:r>
    </w:p>
    <w:p>
      <w:pPr>
        <w:autoSpaceDE w:val="0"/>
        <w:autoSpaceDN w:val="0"/>
        <w:adjustRightInd w:val="0"/>
        <w:snapToGrid w:val="0"/>
        <w:spacing w:line="324" w:lineRule="auto"/>
        <w:ind w:firstLine="480" w:firstLineChars="200"/>
        <w:rPr>
          <w:rFonts w:cs="宋体"/>
          <w:color w:val="auto"/>
          <w:sz w:val="24"/>
          <w:highlight w:val="none"/>
        </w:rPr>
      </w:pPr>
      <w:r>
        <w:rPr>
          <w:color w:val="auto"/>
          <w:sz w:val="24"/>
          <w:highlight w:val="none"/>
        </w:rPr>
        <w:t>（</w:t>
      </w:r>
      <w:r>
        <w:rPr>
          <w:rFonts w:hint="eastAsia"/>
          <w:color w:val="auto"/>
          <w:sz w:val="24"/>
          <w:highlight w:val="none"/>
        </w:rPr>
        <w:t>2</w:t>
      </w:r>
      <w:r>
        <w:rPr>
          <w:color w:val="auto"/>
          <w:sz w:val="24"/>
          <w:highlight w:val="none"/>
        </w:rPr>
        <w:t>）</w:t>
      </w:r>
      <w:r>
        <w:rPr>
          <w:rFonts w:hint="eastAsia" w:cs="宋体"/>
          <w:color w:val="auto"/>
          <w:sz w:val="24"/>
          <w:highlight w:val="none"/>
        </w:rPr>
        <w:t>投标文件；</w:t>
      </w:r>
    </w:p>
    <w:p>
      <w:pPr>
        <w:autoSpaceDE w:val="0"/>
        <w:autoSpaceDN w:val="0"/>
        <w:adjustRightInd w:val="0"/>
        <w:snapToGrid w:val="0"/>
        <w:spacing w:line="324" w:lineRule="auto"/>
        <w:ind w:firstLine="480" w:firstLineChars="200"/>
        <w:rPr>
          <w:rFonts w:cs="宋体"/>
          <w:color w:val="auto"/>
          <w:sz w:val="24"/>
          <w:highlight w:val="none"/>
        </w:rPr>
      </w:pPr>
      <w:r>
        <w:rPr>
          <w:color w:val="auto"/>
          <w:sz w:val="24"/>
          <w:highlight w:val="none"/>
        </w:rPr>
        <w:t>（</w:t>
      </w:r>
      <w:r>
        <w:rPr>
          <w:rFonts w:hint="eastAsia"/>
          <w:color w:val="auto"/>
          <w:sz w:val="24"/>
          <w:highlight w:val="none"/>
        </w:rPr>
        <w:t>3</w:t>
      </w:r>
      <w:r>
        <w:rPr>
          <w:color w:val="auto"/>
          <w:sz w:val="24"/>
          <w:highlight w:val="none"/>
        </w:rPr>
        <w:t>）</w:t>
      </w:r>
      <w:r>
        <w:rPr>
          <w:rFonts w:hint="eastAsia" w:cs="宋体"/>
          <w:color w:val="auto"/>
          <w:sz w:val="24"/>
          <w:highlight w:val="none"/>
        </w:rPr>
        <w:t>招标文件；</w:t>
      </w:r>
    </w:p>
    <w:p>
      <w:pPr>
        <w:autoSpaceDE w:val="0"/>
        <w:autoSpaceDN w:val="0"/>
        <w:adjustRightInd w:val="0"/>
        <w:snapToGrid w:val="0"/>
        <w:spacing w:line="324" w:lineRule="auto"/>
        <w:ind w:firstLine="480" w:firstLineChars="200"/>
        <w:rPr>
          <w:rFonts w:cs="宋体"/>
          <w:color w:val="auto"/>
          <w:sz w:val="24"/>
          <w:highlight w:val="none"/>
        </w:rPr>
      </w:pPr>
      <w:r>
        <w:rPr>
          <w:color w:val="auto"/>
          <w:sz w:val="24"/>
          <w:highlight w:val="none"/>
        </w:rPr>
        <w:t>（</w:t>
      </w:r>
      <w:r>
        <w:rPr>
          <w:rFonts w:hint="eastAsia"/>
          <w:color w:val="auto"/>
          <w:sz w:val="24"/>
          <w:highlight w:val="none"/>
        </w:rPr>
        <w:t>4</w:t>
      </w:r>
      <w:r>
        <w:rPr>
          <w:color w:val="auto"/>
          <w:sz w:val="24"/>
          <w:highlight w:val="none"/>
        </w:rPr>
        <w:t>）</w:t>
      </w:r>
      <w:r>
        <w:rPr>
          <w:rFonts w:hint="eastAsia" w:cs="宋体"/>
          <w:color w:val="auto"/>
          <w:sz w:val="24"/>
          <w:highlight w:val="none"/>
        </w:rPr>
        <w:t>其他相关合同文件。</w:t>
      </w:r>
    </w:p>
    <w:p>
      <w:pPr>
        <w:spacing w:line="324" w:lineRule="auto"/>
        <w:ind w:firstLine="480" w:firstLineChars="200"/>
        <w:rPr>
          <w:rFonts w:ascii="宋体" w:hAnsi="宋体"/>
          <w:color w:val="auto"/>
          <w:sz w:val="24"/>
          <w:highlight w:val="none"/>
        </w:rPr>
      </w:pPr>
      <w:r>
        <w:rPr>
          <w:rFonts w:hint="eastAsia"/>
          <w:color w:val="auto"/>
          <w:sz w:val="24"/>
          <w:highlight w:val="none"/>
        </w:rPr>
        <w:t>2．</w:t>
      </w:r>
      <w:r>
        <w:rPr>
          <w:rFonts w:hint="eastAsia" w:ascii="宋体" w:hAnsi="宋体"/>
          <w:color w:val="auto"/>
          <w:sz w:val="24"/>
          <w:highlight w:val="none"/>
        </w:rPr>
        <w:t>上述文件互相补充和解释，如有不明确或不一致之处，以合同约定次序在先者为准。</w:t>
      </w:r>
    </w:p>
    <w:p>
      <w:pPr>
        <w:autoSpaceDE w:val="0"/>
        <w:autoSpaceDN w:val="0"/>
        <w:adjustRightInd w:val="0"/>
        <w:snapToGrid w:val="0"/>
        <w:spacing w:line="324" w:lineRule="auto"/>
        <w:ind w:firstLine="480" w:firstLineChars="200"/>
        <w:rPr>
          <w:rFonts w:ascii="宋体" w:hAnsi="宋体" w:cs="宋体"/>
          <w:color w:val="auto"/>
          <w:spacing w:val="13"/>
          <w:kern w:val="0"/>
          <w:sz w:val="24"/>
          <w:highlight w:val="none"/>
        </w:rPr>
      </w:pPr>
      <w:r>
        <w:rPr>
          <w:rFonts w:hint="eastAsia"/>
          <w:color w:val="auto"/>
          <w:sz w:val="24"/>
          <w:highlight w:val="none"/>
        </w:rPr>
        <w:t>3．</w:t>
      </w:r>
      <w:r>
        <w:rPr>
          <w:rFonts w:hint="eastAsia" w:ascii="宋体" w:hAnsi="宋体" w:cs="宋体"/>
          <w:color w:val="auto"/>
          <w:spacing w:val="13"/>
          <w:kern w:val="0"/>
          <w:sz w:val="24"/>
          <w:highlight w:val="none"/>
        </w:rPr>
        <w:t>监理服务费总价：</w:t>
      </w:r>
      <w:r>
        <w:rPr>
          <w:rFonts w:ascii="宋体" w:hAnsi="宋体" w:cs="宋体"/>
          <w:color w:val="auto"/>
          <w:spacing w:val="13"/>
          <w:kern w:val="0"/>
          <w:sz w:val="24"/>
          <w:highlight w:val="none"/>
        </w:rPr>
        <w:t>(</w:t>
      </w:r>
      <w:r>
        <w:rPr>
          <w:rFonts w:hint="eastAsia" w:ascii="宋体" w:hAnsi="宋体" w:cs="宋体"/>
          <w:color w:val="auto"/>
          <w:spacing w:val="13"/>
          <w:kern w:val="0"/>
          <w:sz w:val="24"/>
          <w:highlight w:val="none"/>
        </w:rPr>
        <w:t>大写</w:t>
      </w:r>
      <w:r>
        <w:rPr>
          <w:rFonts w:ascii="宋体" w:hAnsi="宋体" w:cs="宋体"/>
          <w:color w:val="auto"/>
          <w:spacing w:val="13"/>
          <w:kern w:val="0"/>
          <w:sz w:val="24"/>
          <w:highlight w:val="none"/>
        </w:rPr>
        <w:t>)</w:t>
      </w:r>
      <w:r>
        <w:rPr>
          <w:rFonts w:hint="eastAsia" w:ascii="宋体" w:hAnsi="宋体" w:cs="宋体"/>
          <w:color w:val="auto"/>
          <w:spacing w:val="13"/>
          <w:kern w:val="0"/>
          <w:sz w:val="24"/>
          <w:highlight w:val="none"/>
        </w:rPr>
        <w:t xml:space="preserve"> </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元</w:t>
      </w:r>
      <w:r>
        <w:rPr>
          <w:rFonts w:ascii="宋体" w:hAnsi="宋体" w:cs="宋体"/>
          <w:color w:val="auto"/>
          <w:spacing w:val="13"/>
          <w:kern w:val="0"/>
          <w:sz w:val="24"/>
          <w:highlight w:val="none"/>
        </w:rPr>
        <w:t>(</w:t>
      </w:r>
      <w:r>
        <w:rPr>
          <w:rFonts w:hint="eastAsia" w:ascii="宋体" w:hAnsi="宋体" w:cs="宋体"/>
          <w:color w:val="auto"/>
          <w:spacing w:val="13"/>
          <w:kern w:val="0"/>
          <w:sz w:val="24"/>
          <w:highlight w:val="none"/>
        </w:rPr>
        <w:t>￥</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w:t>
      </w:r>
    </w:p>
    <w:p>
      <w:pPr>
        <w:spacing w:line="324" w:lineRule="auto"/>
        <w:ind w:firstLine="480" w:firstLineChars="200"/>
        <w:rPr>
          <w:rFonts w:ascii="宋体" w:hAnsi="宋体" w:cs="宋体"/>
          <w:color w:val="auto"/>
          <w:spacing w:val="13"/>
          <w:kern w:val="0"/>
          <w:sz w:val="24"/>
          <w:highlight w:val="none"/>
        </w:rPr>
      </w:pPr>
      <w:r>
        <w:rPr>
          <w:rFonts w:hint="eastAsia"/>
          <w:color w:val="auto"/>
          <w:sz w:val="24"/>
          <w:highlight w:val="none"/>
        </w:rPr>
        <w:t>4．</w:t>
      </w:r>
      <w:r>
        <w:rPr>
          <w:rFonts w:hint="eastAsia" w:ascii="宋体" w:hAnsi="宋体" w:cs="宋体"/>
          <w:color w:val="auto"/>
          <w:spacing w:val="13"/>
          <w:kern w:val="0"/>
          <w:sz w:val="24"/>
          <w:highlight w:val="none"/>
        </w:rPr>
        <w:t>总监理工程师：</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，监理资格证书编号：</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w:t>
      </w:r>
    </w:p>
    <w:p>
      <w:pPr>
        <w:spacing w:line="324" w:lineRule="auto"/>
        <w:ind w:firstLine="480" w:firstLineChars="200"/>
        <w:outlineLvl w:val="0"/>
        <w:rPr>
          <w:color w:val="auto"/>
          <w:sz w:val="24"/>
          <w:highlight w:val="none"/>
        </w:rPr>
      </w:pPr>
      <w:bookmarkStart w:id="1358" w:name="_Toc487619573"/>
      <w:bookmarkStart w:id="1359" w:name="_Toc488650923"/>
      <w:bookmarkStart w:id="1360" w:name="_Toc487653491"/>
      <w:bookmarkStart w:id="1361" w:name="_Toc487291602"/>
      <w:r>
        <w:rPr>
          <w:rFonts w:hint="eastAsia"/>
          <w:color w:val="auto"/>
          <w:sz w:val="24"/>
          <w:highlight w:val="none"/>
        </w:rPr>
        <w:t>5. 监理人承诺按合同约定提供监理服务。</w:t>
      </w:r>
      <w:bookmarkEnd w:id="1358"/>
      <w:bookmarkEnd w:id="1359"/>
      <w:bookmarkEnd w:id="1360"/>
      <w:bookmarkEnd w:id="1361"/>
    </w:p>
    <w:p>
      <w:pPr>
        <w:spacing w:line="324" w:lineRule="auto"/>
        <w:ind w:firstLine="480" w:firstLineChars="200"/>
        <w:rPr>
          <w:rFonts w:ascii="宋体" w:hAnsi="宋体"/>
          <w:color w:val="auto"/>
          <w:sz w:val="24"/>
          <w:highlight w:val="none"/>
        </w:rPr>
      </w:pPr>
      <w:r>
        <w:rPr>
          <w:rFonts w:hint="eastAsia"/>
          <w:color w:val="auto"/>
          <w:sz w:val="24"/>
          <w:highlight w:val="none"/>
        </w:rPr>
        <w:t>6．</w:t>
      </w:r>
      <w:r>
        <w:rPr>
          <w:rFonts w:hint="eastAsia" w:ascii="宋体" w:hAnsi="宋体" w:cs="宋体"/>
          <w:color w:val="auto"/>
          <w:spacing w:val="13"/>
          <w:kern w:val="0"/>
          <w:sz w:val="24"/>
          <w:highlight w:val="none"/>
        </w:rPr>
        <w:t>发包人承诺按合同约定的时间、条件和方式向监理人支付其应支付的监理费用和提供监理工作条件。</w:t>
      </w:r>
    </w:p>
    <w:p>
      <w:pPr>
        <w:autoSpaceDE w:val="0"/>
        <w:autoSpaceDN w:val="0"/>
        <w:adjustRightInd w:val="0"/>
        <w:snapToGrid w:val="0"/>
        <w:spacing w:line="324" w:lineRule="auto"/>
        <w:ind w:firstLine="480" w:firstLineChars="200"/>
        <w:rPr>
          <w:rFonts w:ascii="宋体" w:hAnsi="宋体" w:cs="宋体"/>
          <w:color w:val="auto"/>
          <w:spacing w:val="13"/>
          <w:kern w:val="0"/>
          <w:sz w:val="24"/>
          <w:highlight w:val="none"/>
        </w:rPr>
      </w:pPr>
      <w:r>
        <w:rPr>
          <w:rFonts w:hint="eastAsia"/>
          <w:color w:val="auto"/>
          <w:sz w:val="24"/>
          <w:highlight w:val="none"/>
        </w:rPr>
        <w:t>7．</w:t>
      </w:r>
      <w:r>
        <w:rPr>
          <w:rFonts w:hint="eastAsia" w:ascii="宋体" w:hAnsi="宋体" w:cs="宋体"/>
          <w:color w:val="auto"/>
          <w:spacing w:val="13"/>
          <w:kern w:val="0"/>
          <w:sz w:val="24"/>
          <w:highlight w:val="none"/>
        </w:rPr>
        <w:t>监理服务期：</w:t>
      </w:r>
      <w:r>
        <w:rPr>
          <w:rFonts w:hint="eastAsia" w:ascii="宋体" w:hAnsi="宋体"/>
          <w:color w:val="auto"/>
          <w:sz w:val="24"/>
          <w:highlight w:val="none"/>
          <w:u w:val="single"/>
        </w:rPr>
        <w:t xml:space="preserve">                                    </w:t>
      </w:r>
      <w:r>
        <w:rPr>
          <w:rFonts w:hint="eastAsia" w:ascii="宋体" w:hAnsi="宋体" w:cs="宋体"/>
          <w:bCs/>
          <w:color w:val="auto"/>
          <w:sz w:val="24"/>
          <w:highlight w:val="none"/>
        </w:rPr>
        <w:t>。</w:t>
      </w:r>
    </w:p>
    <w:p>
      <w:pPr>
        <w:spacing w:line="324" w:lineRule="auto"/>
        <w:ind w:firstLine="480" w:firstLineChars="200"/>
        <w:rPr>
          <w:rFonts w:ascii="宋体" w:hAnsi="宋体" w:cs="宋体"/>
          <w:color w:val="auto"/>
          <w:spacing w:val="13"/>
          <w:kern w:val="0"/>
          <w:sz w:val="24"/>
          <w:highlight w:val="none"/>
        </w:rPr>
      </w:pPr>
      <w:r>
        <w:rPr>
          <w:rFonts w:hint="eastAsia"/>
          <w:color w:val="auto"/>
          <w:sz w:val="24"/>
          <w:highlight w:val="none"/>
        </w:rPr>
        <w:t>8．</w:t>
      </w:r>
      <w:r>
        <w:rPr>
          <w:rFonts w:hint="eastAsia" w:ascii="宋体" w:hAnsi="宋体" w:cs="宋体"/>
          <w:color w:val="auto"/>
          <w:spacing w:val="13"/>
          <w:kern w:val="0"/>
          <w:sz w:val="24"/>
          <w:highlight w:val="none"/>
        </w:rPr>
        <w:t>本协议书经双方签字盖章后，监理人按约定提交履约保证金后生效，至双方按照监理合同的约定履行完各自的义务和责任后自然失效。</w:t>
      </w:r>
    </w:p>
    <w:p>
      <w:pPr>
        <w:spacing w:line="324" w:lineRule="auto"/>
        <w:ind w:firstLine="480" w:firstLineChars="200"/>
        <w:rPr>
          <w:rFonts w:ascii="宋体" w:hAnsi="宋体"/>
          <w:color w:val="auto"/>
          <w:sz w:val="24"/>
          <w:highlight w:val="none"/>
        </w:rPr>
      </w:pPr>
      <w:r>
        <w:rPr>
          <w:rFonts w:hint="eastAsia"/>
          <w:color w:val="auto"/>
          <w:sz w:val="24"/>
          <w:highlight w:val="none"/>
        </w:rPr>
        <w:t>9．</w:t>
      </w:r>
      <w:r>
        <w:rPr>
          <w:rFonts w:hint="eastAsia" w:ascii="宋体" w:hAnsi="宋体"/>
          <w:color w:val="auto"/>
          <w:sz w:val="24"/>
          <w:highlight w:val="none"/>
        </w:rPr>
        <w:t>合同未尽事宜，双方另行签订补充协议。补充协议是合同的组成部分。</w:t>
      </w:r>
    </w:p>
    <w:p>
      <w:pPr>
        <w:spacing w:line="324" w:lineRule="auto"/>
        <w:ind w:firstLine="480" w:firstLineChars="200"/>
        <w:rPr>
          <w:color w:val="auto"/>
          <w:sz w:val="24"/>
          <w:highlight w:val="none"/>
        </w:rPr>
      </w:pPr>
      <w:r>
        <w:rPr>
          <w:rFonts w:hint="eastAsia"/>
          <w:color w:val="auto"/>
          <w:sz w:val="24"/>
          <w:highlight w:val="none"/>
        </w:rPr>
        <w:t>10．</w:t>
      </w:r>
      <w:r>
        <w:rPr>
          <w:rFonts w:hint="eastAsia" w:ascii="宋体" w:hAnsi="宋体" w:cs="宋体"/>
          <w:color w:val="auto"/>
          <w:spacing w:val="13"/>
          <w:kern w:val="0"/>
          <w:sz w:val="24"/>
          <w:highlight w:val="none"/>
        </w:rPr>
        <w:t>本监理合同协议书正本一式两份，双方各执一份，具有同等法律效力。 协议书副本</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份，双方各执</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份。</w:t>
      </w:r>
    </w:p>
    <w:p>
      <w:pPr>
        <w:spacing w:line="324" w:lineRule="auto"/>
        <w:rPr>
          <w:color w:val="auto"/>
          <w:sz w:val="24"/>
          <w:highlight w:val="none"/>
        </w:rPr>
      </w:pPr>
    </w:p>
    <w:p>
      <w:pPr>
        <w:spacing w:line="324" w:lineRule="auto"/>
        <w:rPr>
          <w:rFonts w:ascii="宋体" w:hAnsi="宋体" w:cs="宋体"/>
          <w:color w:val="auto"/>
          <w:spacing w:val="13"/>
          <w:kern w:val="0"/>
          <w:sz w:val="24"/>
          <w:highlight w:val="none"/>
        </w:rPr>
      </w:pPr>
      <w:r>
        <w:rPr>
          <w:rFonts w:hint="eastAsia" w:ascii="宋体" w:hAnsi="宋体" w:cs="宋体"/>
          <w:color w:val="auto"/>
          <w:spacing w:val="13"/>
          <w:kern w:val="0"/>
          <w:sz w:val="24"/>
          <w:highlight w:val="none"/>
        </w:rPr>
        <w:t>发包人（全称并盖章）：</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 xml:space="preserve">         监理人（全称并盖章）：</w:t>
      </w:r>
      <w:r>
        <w:rPr>
          <w:rFonts w:hint="eastAsia" w:ascii="宋体" w:hAnsi="宋体" w:cs="宋体"/>
          <w:color w:val="auto"/>
          <w:spacing w:val="13"/>
          <w:kern w:val="0"/>
          <w:sz w:val="24"/>
          <w:highlight w:val="none"/>
          <w:u w:val="single"/>
        </w:rPr>
        <w:t xml:space="preserve">       </w:t>
      </w:r>
    </w:p>
    <w:p>
      <w:pPr>
        <w:spacing w:line="324" w:lineRule="auto"/>
        <w:rPr>
          <w:rFonts w:ascii="宋体" w:hAnsi="宋体" w:cs="宋体"/>
          <w:color w:val="auto"/>
          <w:spacing w:val="13"/>
          <w:kern w:val="0"/>
          <w:sz w:val="24"/>
          <w:highlight w:val="none"/>
        </w:rPr>
      </w:pPr>
    </w:p>
    <w:p>
      <w:pPr>
        <w:spacing w:line="324" w:lineRule="auto"/>
        <w:rPr>
          <w:rFonts w:ascii="宋体" w:hAnsi="宋体" w:cs="宋体"/>
          <w:color w:val="auto"/>
          <w:spacing w:val="13"/>
          <w:kern w:val="0"/>
          <w:sz w:val="24"/>
          <w:highlight w:val="none"/>
        </w:rPr>
      </w:pPr>
      <w:r>
        <w:rPr>
          <w:rFonts w:hint="eastAsia" w:ascii="宋体" w:hAnsi="宋体" w:cs="宋体"/>
          <w:color w:val="auto"/>
          <w:spacing w:val="13"/>
          <w:kern w:val="0"/>
          <w:sz w:val="24"/>
          <w:highlight w:val="none"/>
        </w:rPr>
        <w:t>法定代表人                          法定代表人</w:t>
      </w:r>
    </w:p>
    <w:p>
      <w:pPr>
        <w:spacing w:line="324" w:lineRule="auto"/>
        <w:rPr>
          <w:rFonts w:ascii="宋体" w:hAnsi="宋体" w:cs="宋体"/>
          <w:color w:val="auto"/>
          <w:spacing w:val="13"/>
          <w:kern w:val="0"/>
          <w:sz w:val="24"/>
          <w:highlight w:val="none"/>
        </w:rPr>
      </w:pPr>
      <w:r>
        <w:rPr>
          <w:rFonts w:hint="eastAsia" w:ascii="宋体" w:hAnsi="宋体" w:cs="宋体"/>
          <w:color w:val="auto"/>
          <w:spacing w:val="13"/>
          <w:kern w:val="0"/>
          <w:sz w:val="24"/>
          <w:highlight w:val="none"/>
        </w:rPr>
        <w:t>或其委托代理人（签字）：</w:t>
      </w:r>
      <w:r>
        <w:rPr>
          <w:rFonts w:hint="eastAsia" w:ascii="宋体" w:hAnsi="宋体" w:cs="宋体"/>
          <w:color w:val="auto"/>
          <w:spacing w:val="13"/>
          <w:kern w:val="0"/>
          <w:sz w:val="24"/>
          <w:highlight w:val="none"/>
          <w:u w:val="single"/>
        </w:rPr>
        <w:t xml:space="preserve">     </w:t>
      </w:r>
      <w:r>
        <w:rPr>
          <w:rFonts w:ascii="宋体" w:hAnsi="宋体" w:cs="宋体"/>
          <w:color w:val="auto"/>
          <w:spacing w:val="13"/>
          <w:kern w:val="0"/>
          <w:sz w:val="24"/>
          <w:highlight w:val="none"/>
        </w:rPr>
        <w:t xml:space="preserve">   </w:t>
      </w:r>
      <w:r>
        <w:rPr>
          <w:rFonts w:hint="eastAsia" w:ascii="宋体" w:hAnsi="宋体" w:cs="宋体"/>
          <w:color w:val="auto"/>
          <w:spacing w:val="13"/>
          <w:kern w:val="0"/>
          <w:sz w:val="24"/>
          <w:highlight w:val="none"/>
        </w:rPr>
        <w:t xml:space="preserve">     或其委托代理人（签字）：</w:t>
      </w:r>
      <w:r>
        <w:rPr>
          <w:rFonts w:hint="eastAsia" w:ascii="宋体" w:hAnsi="宋体" w:cs="宋体"/>
          <w:color w:val="auto"/>
          <w:spacing w:val="13"/>
          <w:kern w:val="0"/>
          <w:sz w:val="24"/>
          <w:highlight w:val="none"/>
          <w:u w:val="single"/>
        </w:rPr>
        <w:t xml:space="preserve">        </w:t>
      </w:r>
    </w:p>
    <w:p>
      <w:pPr>
        <w:spacing w:line="324" w:lineRule="auto"/>
        <w:rPr>
          <w:rFonts w:ascii="宋体" w:hAnsi="宋体" w:cs="宋体"/>
          <w:color w:val="auto"/>
          <w:spacing w:val="13"/>
          <w:kern w:val="0"/>
          <w:sz w:val="24"/>
          <w:highlight w:val="none"/>
        </w:rPr>
      </w:pPr>
      <w:r>
        <w:rPr>
          <w:rFonts w:hint="eastAsia" w:ascii="宋体" w:hAnsi="宋体" w:cs="宋体"/>
          <w:color w:val="auto"/>
          <w:spacing w:val="13"/>
          <w:kern w:val="0"/>
          <w:sz w:val="24"/>
          <w:highlight w:val="none"/>
        </w:rPr>
        <w:t>日  期：</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年</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月</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日         日  期：</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年</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月</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日</w:t>
      </w:r>
    </w:p>
    <w:p>
      <w:pPr>
        <w:spacing w:line="324" w:lineRule="auto"/>
        <w:rPr>
          <w:rFonts w:ascii="宋体" w:hAnsi="宋体" w:cs="宋体"/>
          <w:color w:val="auto"/>
          <w:spacing w:val="13"/>
          <w:kern w:val="0"/>
          <w:sz w:val="24"/>
          <w:highlight w:val="none"/>
          <w:u w:val="single"/>
        </w:rPr>
      </w:pPr>
      <w:r>
        <w:rPr>
          <w:rFonts w:hint="eastAsia" w:ascii="宋体" w:hAnsi="宋体" w:cs="宋体"/>
          <w:color w:val="auto"/>
          <w:spacing w:val="13"/>
          <w:kern w:val="0"/>
          <w:sz w:val="24"/>
          <w:highlight w:val="none"/>
        </w:rPr>
        <w:t>单位地址：</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 xml:space="preserve">      单位地址：</w:t>
      </w:r>
      <w:r>
        <w:rPr>
          <w:rFonts w:hint="eastAsia" w:ascii="宋体" w:hAnsi="宋体" w:cs="宋体"/>
          <w:color w:val="auto"/>
          <w:spacing w:val="13"/>
          <w:kern w:val="0"/>
          <w:sz w:val="24"/>
          <w:highlight w:val="none"/>
          <w:u w:val="single"/>
        </w:rPr>
        <w:t xml:space="preserve">                    </w:t>
      </w:r>
    </w:p>
    <w:p>
      <w:pPr>
        <w:tabs>
          <w:tab w:val="left" w:pos="5565"/>
        </w:tabs>
        <w:spacing w:line="324" w:lineRule="auto"/>
        <w:rPr>
          <w:rFonts w:ascii="宋体" w:hAnsi="宋体" w:cs="宋体"/>
          <w:color w:val="auto"/>
          <w:spacing w:val="13"/>
          <w:kern w:val="0"/>
          <w:sz w:val="24"/>
          <w:highlight w:val="none"/>
          <w:u w:val="single"/>
        </w:rPr>
      </w:pPr>
      <w:r>
        <w:rPr>
          <w:rFonts w:hint="eastAsia" w:ascii="宋体" w:hAnsi="宋体" w:cs="宋体"/>
          <w:color w:val="auto"/>
          <w:spacing w:val="13"/>
          <w:kern w:val="0"/>
          <w:sz w:val="24"/>
          <w:highlight w:val="none"/>
        </w:rPr>
        <w:t>邮编：</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 xml:space="preserve">      邮编：</w:t>
      </w:r>
      <w:r>
        <w:rPr>
          <w:rFonts w:hint="eastAsia" w:ascii="宋体" w:hAnsi="宋体" w:cs="宋体"/>
          <w:color w:val="auto"/>
          <w:spacing w:val="13"/>
          <w:kern w:val="0"/>
          <w:sz w:val="24"/>
          <w:highlight w:val="none"/>
          <w:u w:val="single"/>
        </w:rPr>
        <w:t xml:space="preserve">                       </w:t>
      </w:r>
    </w:p>
    <w:p>
      <w:pPr>
        <w:spacing w:line="324" w:lineRule="auto"/>
        <w:rPr>
          <w:rFonts w:ascii="宋体" w:hAnsi="宋体" w:cs="宋体"/>
          <w:color w:val="auto"/>
          <w:spacing w:val="13"/>
          <w:kern w:val="0"/>
          <w:sz w:val="24"/>
          <w:highlight w:val="none"/>
          <w:u w:val="single"/>
        </w:rPr>
      </w:pPr>
      <w:r>
        <w:rPr>
          <w:rFonts w:hint="eastAsia" w:ascii="宋体" w:hAnsi="宋体" w:cs="宋体"/>
          <w:color w:val="auto"/>
          <w:spacing w:val="13"/>
          <w:kern w:val="0"/>
          <w:sz w:val="24"/>
          <w:highlight w:val="none"/>
        </w:rPr>
        <w:t>电子邮箱：</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 xml:space="preserve">      电子邮箱：</w:t>
      </w:r>
      <w:r>
        <w:rPr>
          <w:rFonts w:hint="eastAsia" w:ascii="宋体" w:hAnsi="宋体" w:cs="宋体"/>
          <w:color w:val="auto"/>
          <w:spacing w:val="13"/>
          <w:kern w:val="0"/>
          <w:sz w:val="24"/>
          <w:highlight w:val="none"/>
          <w:u w:val="single"/>
        </w:rPr>
        <w:t xml:space="preserve">                    </w:t>
      </w:r>
    </w:p>
    <w:p>
      <w:pPr>
        <w:spacing w:line="324" w:lineRule="auto"/>
        <w:rPr>
          <w:rFonts w:ascii="宋体" w:hAnsi="宋体" w:cs="宋体"/>
          <w:color w:val="auto"/>
          <w:spacing w:val="13"/>
          <w:kern w:val="0"/>
          <w:sz w:val="24"/>
          <w:highlight w:val="none"/>
          <w:u w:val="single"/>
        </w:rPr>
      </w:pPr>
      <w:r>
        <w:rPr>
          <w:rFonts w:hint="eastAsia" w:ascii="宋体" w:hAnsi="宋体" w:cs="宋体"/>
          <w:color w:val="auto"/>
          <w:spacing w:val="13"/>
          <w:kern w:val="0"/>
          <w:sz w:val="24"/>
          <w:highlight w:val="none"/>
        </w:rPr>
        <w:t>电话：</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 xml:space="preserve">       电话：</w:t>
      </w:r>
      <w:r>
        <w:rPr>
          <w:rFonts w:hint="eastAsia" w:ascii="宋体" w:hAnsi="宋体" w:cs="宋体"/>
          <w:color w:val="auto"/>
          <w:spacing w:val="13"/>
          <w:kern w:val="0"/>
          <w:sz w:val="24"/>
          <w:highlight w:val="none"/>
          <w:u w:val="single"/>
        </w:rPr>
        <w:t xml:space="preserve">                       </w:t>
      </w:r>
    </w:p>
    <w:p>
      <w:pPr>
        <w:spacing w:line="324" w:lineRule="auto"/>
        <w:rPr>
          <w:rFonts w:ascii="宋体" w:hAnsi="宋体" w:cs="宋体"/>
          <w:color w:val="auto"/>
          <w:spacing w:val="13"/>
          <w:kern w:val="0"/>
          <w:sz w:val="24"/>
          <w:highlight w:val="none"/>
          <w:u w:val="single"/>
        </w:rPr>
      </w:pPr>
      <w:r>
        <w:rPr>
          <w:rFonts w:hint="eastAsia" w:ascii="宋体" w:hAnsi="宋体" w:cs="宋体"/>
          <w:color w:val="auto"/>
          <w:spacing w:val="13"/>
          <w:kern w:val="0"/>
          <w:sz w:val="24"/>
          <w:highlight w:val="none"/>
        </w:rPr>
        <w:t>传真：</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 xml:space="preserve">       传真：</w:t>
      </w:r>
      <w:r>
        <w:rPr>
          <w:rFonts w:hint="eastAsia" w:ascii="宋体" w:hAnsi="宋体" w:cs="宋体"/>
          <w:color w:val="auto"/>
          <w:spacing w:val="13"/>
          <w:kern w:val="0"/>
          <w:sz w:val="24"/>
          <w:highlight w:val="none"/>
          <w:u w:val="single"/>
        </w:rPr>
        <w:t xml:space="preserve">                       </w:t>
      </w:r>
    </w:p>
    <w:p>
      <w:pPr>
        <w:spacing w:line="324" w:lineRule="auto"/>
        <w:rPr>
          <w:rFonts w:ascii="宋体" w:hAnsi="宋体" w:cs="宋体"/>
          <w:color w:val="auto"/>
          <w:spacing w:val="13"/>
          <w:kern w:val="0"/>
          <w:sz w:val="24"/>
          <w:highlight w:val="none"/>
          <w:u w:val="single"/>
        </w:rPr>
      </w:pPr>
      <w:r>
        <w:rPr>
          <w:rFonts w:hint="eastAsia" w:ascii="宋体" w:hAnsi="宋体" w:cs="宋体"/>
          <w:color w:val="auto"/>
          <w:spacing w:val="13"/>
          <w:kern w:val="0"/>
          <w:sz w:val="24"/>
          <w:highlight w:val="none"/>
        </w:rPr>
        <w:t>开户银行：</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 xml:space="preserve">       开户银行：</w:t>
      </w:r>
      <w:r>
        <w:rPr>
          <w:rFonts w:hint="eastAsia" w:ascii="宋体" w:hAnsi="宋体" w:cs="宋体"/>
          <w:color w:val="auto"/>
          <w:spacing w:val="13"/>
          <w:kern w:val="0"/>
          <w:sz w:val="24"/>
          <w:highlight w:val="none"/>
          <w:u w:val="single"/>
        </w:rPr>
        <w:t xml:space="preserve">                    </w:t>
      </w:r>
    </w:p>
    <w:p>
      <w:pPr>
        <w:spacing w:line="324" w:lineRule="auto"/>
        <w:rPr>
          <w:rFonts w:ascii="宋体" w:hAnsi="宋体" w:cs="宋体"/>
          <w:color w:val="auto"/>
          <w:spacing w:val="13"/>
          <w:kern w:val="0"/>
          <w:sz w:val="24"/>
          <w:highlight w:val="none"/>
          <w:u w:val="single"/>
        </w:rPr>
      </w:pPr>
      <w:r>
        <w:rPr>
          <w:rFonts w:hint="eastAsia" w:ascii="宋体" w:hAnsi="宋体" w:cs="宋体"/>
          <w:color w:val="auto"/>
          <w:spacing w:val="13"/>
          <w:kern w:val="0"/>
          <w:sz w:val="24"/>
          <w:highlight w:val="none"/>
        </w:rPr>
        <w:t>账号：</w:t>
      </w:r>
      <w:r>
        <w:rPr>
          <w:rFonts w:hint="eastAsia" w:ascii="宋体" w:hAnsi="宋体" w:cs="宋体"/>
          <w:color w:val="auto"/>
          <w:spacing w:val="13"/>
          <w:kern w:val="0"/>
          <w:sz w:val="24"/>
          <w:highlight w:val="none"/>
          <w:u w:val="single"/>
        </w:rPr>
        <w:t xml:space="preserve">                      </w:t>
      </w:r>
      <w:r>
        <w:rPr>
          <w:rFonts w:hint="eastAsia" w:ascii="宋体" w:hAnsi="宋体" w:cs="宋体"/>
          <w:color w:val="auto"/>
          <w:spacing w:val="13"/>
          <w:kern w:val="0"/>
          <w:sz w:val="24"/>
          <w:highlight w:val="none"/>
        </w:rPr>
        <w:t xml:space="preserve">        账号：</w:t>
      </w:r>
      <w:r>
        <w:rPr>
          <w:rFonts w:hint="eastAsia" w:ascii="宋体" w:hAnsi="宋体" w:cs="宋体"/>
          <w:color w:val="auto"/>
          <w:spacing w:val="13"/>
          <w:kern w:val="0"/>
          <w:sz w:val="24"/>
          <w:highlight w:val="none"/>
          <w:u w:val="single"/>
        </w:rPr>
        <w:t xml:space="preserve">                       </w:t>
      </w:r>
    </w:p>
    <w:p>
      <w:pPr>
        <w:pStyle w:val="4"/>
        <w:spacing w:before="0" w:after="0" w:line="324" w:lineRule="auto"/>
        <w:rPr>
          <w:rFonts w:ascii="黑体" w:hAnsi="宋体"/>
          <w:b w:val="0"/>
          <w:color w:val="auto"/>
          <w:sz w:val="24"/>
          <w:szCs w:val="24"/>
          <w:highlight w:val="none"/>
        </w:rPr>
      </w:pPr>
      <w:bookmarkStart w:id="1362" w:name="_Toc341805324"/>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rPr>
          <w:rFonts w:ascii="黑体" w:hAnsi="宋体"/>
          <w:b/>
          <w:color w:val="auto"/>
          <w:sz w:val="24"/>
          <w:highlight w:val="none"/>
        </w:rPr>
      </w:pPr>
    </w:p>
    <w:p>
      <w:pPr>
        <w:pStyle w:val="4"/>
        <w:spacing w:before="0" w:after="0" w:line="324" w:lineRule="auto"/>
        <w:rPr>
          <w:rFonts w:ascii="黑体" w:hAnsi="宋体"/>
          <w:b w:val="0"/>
          <w:color w:val="auto"/>
          <w:sz w:val="24"/>
          <w:szCs w:val="24"/>
          <w:highlight w:val="none"/>
        </w:rPr>
      </w:pPr>
    </w:p>
    <w:p>
      <w:pPr>
        <w:pStyle w:val="4"/>
        <w:spacing w:before="0" w:after="0" w:line="324" w:lineRule="auto"/>
        <w:rPr>
          <w:rFonts w:ascii="黑体" w:hAnsi="宋体"/>
          <w:b w:val="0"/>
          <w:color w:val="auto"/>
          <w:sz w:val="24"/>
          <w:szCs w:val="24"/>
          <w:highlight w:val="none"/>
        </w:rPr>
      </w:pPr>
      <w:bookmarkStart w:id="1363" w:name="_Toc488650924"/>
      <w:bookmarkStart w:id="1364" w:name="_Toc487619574"/>
      <w:bookmarkStart w:id="1365" w:name="_Toc487291603"/>
      <w:r>
        <w:rPr>
          <w:rFonts w:hint="eastAsia" w:ascii="黑体" w:hAnsi="宋体"/>
          <w:b w:val="0"/>
          <w:color w:val="auto"/>
          <w:sz w:val="24"/>
          <w:szCs w:val="24"/>
          <w:highlight w:val="none"/>
        </w:rPr>
        <w:t>附件二：履约保证金格式</w:t>
      </w:r>
      <w:bookmarkEnd w:id="1362"/>
      <w:bookmarkEnd w:id="1363"/>
      <w:bookmarkEnd w:id="1364"/>
      <w:bookmarkEnd w:id="1365"/>
    </w:p>
    <w:p>
      <w:pPr>
        <w:autoSpaceDE w:val="0"/>
        <w:autoSpaceDN w:val="0"/>
        <w:adjustRightInd w:val="0"/>
        <w:snapToGrid w:val="0"/>
        <w:spacing w:line="324" w:lineRule="auto"/>
        <w:rPr>
          <w:rFonts w:ascii="黑体" w:eastAsia="黑体"/>
          <w:color w:val="auto"/>
          <w:sz w:val="24"/>
          <w:highlight w:val="none"/>
        </w:rPr>
      </w:pPr>
    </w:p>
    <w:p>
      <w:pPr>
        <w:spacing w:line="324" w:lineRule="auto"/>
        <w:rPr>
          <w:rFonts w:ascii="仿宋_GB2312" w:eastAsia="仿宋_GB2312"/>
          <w:color w:val="auto"/>
          <w:sz w:val="24"/>
          <w:highlight w:val="none"/>
        </w:rPr>
      </w:pPr>
    </w:p>
    <w:p>
      <w:pPr>
        <w:spacing w:line="324" w:lineRule="auto"/>
        <w:ind w:firstLine="480" w:firstLineChars="200"/>
        <w:rPr>
          <w:color w:val="auto"/>
          <w:sz w:val="24"/>
          <w:highlight w:val="none"/>
        </w:rPr>
      </w:pPr>
      <w:r>
        <w:rPr>
          <w:rFonts w:hint="eastAsia"/>
          <w:color w:val="auto"/>
          <w:sz w:val="24"/>
          <w:highlight w:val="none"/>
        </w:rPr>
        <w:t>监理人按照第二章“投标人须知”第7.3条履约保证金规定的形式和金额，办理履约保证金。履约担保、履约保函格式执行专业担保人、银行提供的格式。</w:t>
      </w:r>
    </w:p>
    <w:p>
      <w:pPr>
        <w:pStyle w:val="4"/>
        <w:spacing w:before="0" w:after="0" w:line="324" w:lineRule="auto"/>
        <w:rPr>
          <w:rFonts w:ascii="黑体" w:hAnsi="宋体"/>
          <w:b w:val="0"/>
          <w:bCs w:val="0"/>
          <w:color w:val="auto"/>
          <w:sz w:val="24"/>
          <w:szCs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rPr>
          <w:rFonts w:ascii="黑体" w:hAnsi="宋体"/>
          <w:b/>
          <w:bCs/>
          <w:color w:val="auto"/>
          <w:sz w:val="24"/>
          <w:highlight w:val="none"/>
        </w:rPr>
      </w:pPr>
    </w:p>
    <w:p>
      <w:pPr>
        <w:pStyle w:val="4"/>
        <w:spacing w:before="0" w:after="0" w:line="324" w:lineRule="auto"/>
        <w:rPr>
          <w:color w:val="auto"/>
          <w:sz w:val="24"/>
          <w:highlight w:val="none"/>
        </w:rPr>
      </w:pPr>
      <w:bookmarkStart w:id="1366" w:name="_Toc487619575"/>
      <w:bookmarkStart w:id="1367" w:name="_Toc487291604"/>
      <w:bookmarkStart w:id="1368" w:name="_Toc488650925"/>
      <w:r>
        <w:rPr>
          <w:rFonts w:hint="eastAsia" w:ascii="黑体" w:hAnsi="宋体"/>
          <w:b w:val="0"/>
          <w:bCs w:val="0"/>
          <w:color w:val="auto"/>
          <w:sz w:val="24"/>
          <w:szCs w:val="24"/>
          <w:highlight w:val="none"/>
        </w:rPr>
        <w:t>附件三：工程监理廉政合同</w:t>
      </w:r>
      <w:bookmarkEnd w:id="1366"/>
      <w:bookmarkEnd w:id="1367"/>
      <w:bookmarkEnd w:id="1368"/>
    </w:p>
    <w:p>
      <w:pPr>
        <w:spacing w:line="324" w:lineRule="auto"/>
        <w:ind w:firstLine="480" w:firstLineChars="200"/>
        <w:rPr>
          <w:color w:val="auto"/>
          <w:sz w:val="24"/>
          <w:highlight w:val="none"/>
        </w:rPr>
      </w:pPr>
      <w:r>
        <w:rPr>
          <w:rFonts w:hint="eastAsia"/>
          <w:color w:val="auto"/>
          <w:sz w:val="24"/>
          <w:highlight w:val="none"/>
        </w:rPr>
        <w:t>工程项目名称：</w:t>
      </w:r>
    </w:p>
    <w:p>
      <w:pPr>
        <w:spacing w:line="324" w:lineRule="auto"/>
        <w:ind w:firstLine="480" w:firstLineChars="200"/>
        <w:rPr>
          <w:color w:val="auto"/>
          <w:sz w:val="24"/>
          <w:highlight w:val="none"/>
        </w:rPr>
      </w:pPr>
      <w:r>
        <w:rPr>
          <w:rFonts w:hint="eastAsia"/>
          <w:color w:val="auto"/>
          <w:sz w:val="24"/>
          <w:highlight w:val="none"/>
        </w:rPr>
        <w:t>工程项目地址：</w:t>
      </w:r>
    </w:p>
    <w:p>
      <w:pPr>
        <w:spacing w:line="324" w:lineRule="auto"/>
        <w:ind w:firstLine="480" w:firstLineChars="200"/>
        <w:rPr>
          <w:color w:val="auto"/>
          <w:sz w:val="24"/>
          <w:highlight w:val="none"/>
        </w:rPr>
      </w:pPr>
      <w:r>
        <w:rPr>
          <w:rFonts w:hint="eastAsia"/>
          <w:color w:val="auto"/>
          <w:sz w:val="24"/>
          <w:highlight w:val="none"/>
        </w:rPr>
        <w:t>发包人（甲方）：</w:t>
      </w:r>
    </w:p>
    <w:p>
      <w:pPr>
        <w:spacing w:line="324" w:lineRule="auto"/>
        <w:ind w:firstLine="480" w:firstLineChars="200"/>
        <w:rPr>
          <w:color w:val="auto"/>
          <w:sz w:val="24"/>
          <w:highlight w:val="none"/>
        </w:rPr>
      </w:pPr>
      <w:r>
        <w:rPr>
          <w:rFonts w:hint="eastAsia"/>
          <w:color w:val="auto"/>
          <w:sz w:val="24"/>
          <w:highlight w:val="none"/>
        </w:rPr>
        <w:t>监理人（乙方）：</w:t>
      </w:r>
    </w:p>
    <w:p>
      <w:pPr>
        <w:spacing w:line="324" w:lineRule="auto"/>
        <w:ind w:firstLine="480" w:firstLineChars="200"/>
        <w:rPr>
          <w:color w:val="auto"/>
          <w:sz w:val="24"/>
          <w:highlight w:val="none"/>
        </w:rPr>
      </w:pPr>
      <w:r>
        <w:rPr>
          <w:rFonts w:hint="eastAsia"/>
          <w:color w:val="auto"/>
          <w:sz w:val="24"/>
          <w:highlight w:val="none"/>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廉政合同。</w:t>
      </w:r>
    </w:p>
    <w:p>
      <w:pPr>
        <w:spacing w:line="324" w:lineRule="auto"/>
        <w:ind w:firstLine="480" w:firstLineChars="200"/>
        <w:outlineLvl w:val="0"/>
        <w:rPr>
          <w:color w:val="auto"/>
          <w:sz w:val="24"/>
          <w:highlight w:val="none"/>
        </w:rPr>
      </w:pPr>
      <w:bookmarkStart w:id="1369" w:name="_Toc487619576"/>
      <w:bookmarkStart w:id="1370" w:name="_Toc487653494"/>
      <w:bookmarkStart w:id="1371" w:name="_Toc488650926"/>
      <w:bookmarkStart w:id="1372" w:name="_Toc487291605"/>
      <w:r>
        <w:rPr>
          <w:rFonts w:hint="eastAsia"/>
          <w:color w:val="auto"/>
          <w:sz w:val="24"/>
          <w:highlight w:val="none"/>
        </w:rPr>
        <w:t>第一条  甲乙双方的责任</w:t>
      </w:r>
      <w:bookmarkEnd w:id="1369"/>
      <w:bookmarkEnd w:id="1370"/>
      <w:bookmarkEnd w:id="1371"/>
      <w:bookmarkEnd w:id="1372"/>
    </w:p>
    <w:p>
      <w:pPr>
        <w:spacing w:line="324" w:lineRule="auto"/>
        <w:ind w:firstLine="480" w:firstLineChars="200"/>
        <w:rPr>
          <w:color w:val="auto"/>
          <w:sz w:val="24"/>
          <w:highlight w:val="none"/>
        </w:rPr>
      </w:pPr>
      <w:r>
        <w:rPr>
          <w:rFonts w:hint="eastAsia"/>
          <w:color w:val="auto"/>
          <w:sz w:val="24"/>
          <w:highlight w:val="none"/>
        </w:rPr>
        <w:t>（一）应严格遵守国家关于市场准入、项目招标投标、工程建设、工程监理和市场活动的有关法律、法规，相关政策，以及廉政建设的各项规定。</w:t>
      </w:r>
    </w:p>
    <w:p>
      <w:pPr>
        <w:spacing w:line="324" w:lineRule="auto"/>
        <w:ind w:firstLine="480" w:firstLineChars="200"/>
        <w:rPr>
          <w:color w:val="auto"/>
          <w:sz w:val="24"/>
          <w:highlight w:val="none"/>
        </w:rPr>
      </w:pPr>
      <w:r>
        <w:rPr>
          <w:rFonts w:hint="eastAsia"/>
          <w:color w:val="auto"/>
          <w:sz w:val="24"/>
          <w:highlight w:val="none"/>
        </w:rPr>
        <w:t>（二）严格执行建设工程项目监理合同文件，自觉按合同办事。</w:t>
      </w:r>
    </w:p>
    <w:p>
      <w:pPr>
        <w:spacing w:line="324" w:lineRule="auto"/>
        <w:ind w:firstLine="480" w:firstLineChars="200"/>
        <w:rPr>
          <w:color w:val="auto"/>
          <w:sz w:val="24"/>
          <w:highlight w:val="none"/>
        </w:rPr>
      </w:pPr>
      <w:r>
        <w:rPr>
          <w:rFonts w:hint="eastAsia"/>
          <w:color w:val="auto"/>
          <w:sz w:val="24"/>
          <w:highlight w:val="none"/>
        </w:rPr>
        <w:t>（三）业务活动必须坚持公开、公平、公正、诚信、透明的原则（除法律法规另有规定者外），不得为获取不正当的利益，损害国家、集体和对方利益，不得违反工程建设管理、建设监理的规章制度。</w:t>
      </w:r>
    </w:p>
    <w:p>
      <w:pPr>
        <w:spacing w:line="324" w:lineRule="auto"/>
        <w:ind w:firstLine="480" w:firstLineChars="200"/>
        <w:rPr>
          <w:color w:val="auto"/>
          <w:sz w:val="24"/>
          <w:highlight w:val="none"/>
        </w:rPr>
      </w:pPr>
      <w:r>
        <w:rPr>
          <w:rFonts w:hint="eastAsia"/>
          <w:color w:val="auto"/>
          <w:sz w:val="24"/>
          <w:highlight w:val="none"/>
        </w:rPr>
        <w:t>（四）发现对方在业务活动中有违规、违纪、违法行为的，应及时提醒对方，情节严重的，应向其上级主管部门或纪检监察、司法等有关机关举报。</w:t>
      </w:r>
    </w:p>
    <w:p>
      <w:pPr>
        <w:spacing w:line="324" w:lineRule="auto"/>
        <w:ind w:firstLine="480" w:firstLineChars="200"/>
        <w:outlineLvl w:val="0"/>
        <w:rPr>
          <w:color w:val="auto"/>
          <w:sz w:val="24"/>
          <w:highlight w:val="none"/>
        </w:rPr>
      </w:pPr>
      <w:bookmarkStart w:id="1373" w:name="_Toc488650927"/>
      <w:bookmarkStart w:id="1374" w:name="_Toc487619577"/>
      <w:bookmarkStart w:id="1375" w:name="_Toc487653495"/>
      <w:bookmarkStart w:id="1376" w:name="_Toc487291606"/>
      <w:r>
        <w:rPr>
          <w:rFonts w:hint="eastAsia"/>
          <w:color w:val="auto"/>
          <w:sz w:val="24"/>
          <w:highlight w:val="none"/>
        </w:rPr>
        <w:t>第二条  甲方的责任</w:t>
      </w:r>
      <w:bookmarkEnd w:id="1373"/>
      <w:bookmarkEnd w:id="1374"/>
      <w:bookmarkEnd w:id="1375"/>
      <w:bookmarkEnd w:id="1376"/>
    </w:p>
    <w:p>
      <w:pPr>
        <w:spacing w:line="324" w:lineRule="auto"/>
        <w:ind w:firstLine="480" w:firstLineChars="200"/>
        <w:rPr>
          <w:color w:val="auto"/>
          <w:sz w:val="24"/>
          <w:highlight w:val="none"/>
        </w:rPr>
      </w:pPr>
      <w:r>
        <w:rPr>
          <w:rFonts w:hint="eastAsia"/>
          <w:color w:val="auto"/>
          <w:sz w:val="24"/>
          <w:highlight w:val="none"/>
        </w:rPr>
        <w:t>甲方的领导和从事该建设工程项目的工作人员在工程建设的事前、事中、事后应遵守以下规定：</w:t>
      </w:r>
    </w:p>
    <w:p>
      <w:pPr>
        <w:spacing w:line="324" w:lineRule="auto"/>
        <w:ind w:firstLine="480" w:firstLineChars="200"/>
        <w:rPr>
          <w:color w:val="auto"/>
          <w:sz w:val="24"/>
          <w:highlight w:val="none"/>
        </w:rPr>
      </w:pPr>
      <w:r>
        <w:rPr>
          <w:rFonts w:hint="eastAsia"/>
          <w:color w:val="auto"/>
          <w:sz w:val="24"/>
          <w:highlight w:val="none"/>
        </w:rPr>
        <w:t>（一）不准向乙方和相关单位索要或接受回扣、礼金、有价证券、贵重物品和好处费、感谢费等。</w:t>
      </w:r>
    </w:p>
    <w:p>
      <w:pPr>
        <w:spacing w:line="324" w:lineRule="auto"/>
        <w:ind w:firstLine="480" w:firstLineChars="200"/>
        <w:rPr>
          <w:color w:val="auto"/>
          <w:sz w:val="24"/>
          <w:highlight w:val="none"/>
        </w:rPr>
      </w:pPr>
      <w:r>
        <w:rPr>
          <w:rFonts w:hint="eastAsia"/>
          <w:color w:val="auto"/>
          <w:sz w:val="24"/>
          <w:highlight w:val="none"/>
        </w:rPr>
        <w:t>（二）不准在乙方和相关单位报销任何应由甲方或个人支付的费用。</w:t>
      </w:r>
    </w:p>
    <w:p>
      <w:pPr>
        <w:spacing w:line="324" w:lineRule="auto"/>
        <w:ind w:firstLine="480" w:firstLineChars="200"/>
        <w:rPr>
          <w:color w:val="auto"/>
          <w:sz w:val="24"/>
          <w:highlight w:val="none"/>
        </w:rPr>
      </w:pPr>
      <w:r>
        <w:rPr>
          <w:rFonts w:hint="eastAsia"/>
          <w:color w:val="auto"/>
          <w:sz w:val="24"/>
          <w:highlight w:val="none"/>
        </w:rPr>
        <w:t>（三）不准要求、暗示或接受乙方和相关单位为个人装修住房、婚丧嫁娶、配偶子女的工作安排以及出国（境）、旅游等提供方便。</w:t>
      </w:r>
    </w:p>
    <w:p>
      <w:pPr>
        <w:spacing w:line="324" w:lineRule="auto"/>
        <w:ind w:firstLine="480" w:firstLineChars="200"/>
        <w:rPr>
          <w:color w:val="auto"/>
          <w:sz w:val="24"/>
          <w:highlight w:val="none"/>
        </w:rPr>
      </w:pPr>
      <w:r>
        <w:rPr>
          <w:rFonts w:hint="eastAsia"/>
          <w:color w:val="auto"/>
          <w:sz w:val="24"/>
          <w:highlight w:val="none"/>
        </w:rPr>
        <w:t>（四）不准参加有可能影响公正执行公务的乙方和相关单位的宴请、健身、娱乐等活动。</w:t>
      </w:r>
    </w:p>
    <w:p>
      <w:pPr>
        <w:spacing w:line="324" w:lineRule="auto"/>
        <w:ind w:firstLine="480" w:firstLineChars="200"/>
        <w:rPr>
          <w:color w:val="auto"/>
          <w:sz w:val="24"/>
          <w:highlight w:val="none"/>
        </w:rPr>
      </w:pPr>
      <w:r>
        <w:rPr>
          <w:rFonts w:hint="eastAsia"/>
          <w:color w:val="auto"/>
          <w:sz w:val="24"/>
          <w:highlight w:val="none"/>
        </w:rPr>
        <w:t>（五）不准向乙方和相关单位介绍或为配偶、子女、亲属参与同甲方工程项目合同有关的监理分包项目等活动。不准向乙方和相关单位介绍或为配偶、子女、亲属参加与同项目工程合同有关的设备、材料、工程分包、劳务等经济活动。不得以任何理由向乙方和相关单位推荐分包单位和要求购买与项目工程合同规定以外的材料、设备等。</w:t>
      </w:r>
    </w:p>
    <w:p>
      <w:pPr>
        <w:spacing w:line="324" w:lineRule="auto"/>
        <w:ind w:firstLine="480" w:firstLineChars="200"/>
        <w:outlineLvl w:val="0"/>
        <w:rPr>
          <w:color w:val="auto"/>
          <w:sz w:val="24"/>
          <w:highlight w:val="none"/>
        </w:rPr>
      </w:pPr>
      <w:bookmarkStart w:id="1377" w:name="_Toc487653496"/>
      <w:bookmarkStart w:id="1378" w:name="_Toc487619578"/>
      <w:bookmarkStart w:id="1379" w:name="_Toc488650928"/>
      <w:bookmarkStart w:id="1380" w:name="_Toc487291607"/>
      <w:r>
        <w:rPr>
          <w:rFonts w:hint="eastAsia"/>
          <w:color w:val="auto"/>
          <w:sz w:val="24"/>
          <w:highlight w:val="none"/>
        </w:rPr>
        <w:t>第三条  乙方的责任</w:t>
      </w:r>
      <w:bookmarkEnd w:id="1377"/>
      <w:bookmarkEnd w:id="1378"/>
      <w:bookmarkEnd w:id="1379"/>
      <w:bookmarkEnd w:id="1380"/>
    </w:p>
    <w:p>
      <w:pPr>
        <w:spacing w:line="324" w:lineRule="auto"/>
        <w:ind w:firstLine="480" w:firstLineChars="200"/>
        <w:rPr>
          <w:color w:val="auto"/>
          <w:sz w:val="24"/>
          <w:highlight w:val="none"/>
        </w:rPr>
      </w:pPr>
      <w:r>
        <w:rPr>
          <w:rFonts w:hint="eastAsia"/>
          <w:color w:val="auto"/>
          <w:sz w:val="24"/>
          <w:highlight w:val="none"/>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spacing w:line="324" w:lineRule="auto"/>
        <w:ind w:firstLine="480" w:firstLineChars="200"/>
        <w:rPr>
          <w:color w:val="auto"/>
          <w:sz w:val="24"/>
          <w:highlight w:val="none"/>
        </w:rPr>
      </w:pPr>
      <w:r>
        <w:rPr>
          <w:rFonts w:hint="eastAsia"/>
          <w:color w:val="auto"/>
          <w:sz w:val="24"/>
          <w:highlight w:val="none"/>
        </w:rPr>
        <w:t>（一）不准以任何理由向甲方和相关单位及其工作人员索要、接受或赠送礼金、有价证券、贵重物品及回扣、好处费、感谢费等。</w:t>
      </w:r>
    </w:p>
    <w:p>
      <w:pPr>
        <w:spacing w:line="324" w:lineRule="auto"/>
        <w:ind w:firstLine="480" w:firstLineChars="200"/>
        <w:rPr>
          <w:color w:val="auto"/>
          <w:sz w:val="24"/>
          <w:highlight w:val="none"/>
        </w:rPr>
      </w:pPr>
      <w:r>
        <w:rPr>
          <w:rFonts w:hint="eastAsia"/>
          <w:color w:val="auto"/>
          <w:sz w:val="24"/>
          <w:highlight w:val="none"/>
        </w:rPr>
        <w:t>（二）不准以任何理由为甲方和相关单位报销应由对方或个人支付的费用。</w:t>
      </w:r>
    </w:p>
    <w:p>
      <w:pPr>
        <w:spacing w:line="324" w:lineRule="auto"/>
        <w:ind w:firstLine="480" w:firstLineChars="200"/>
        <w:rPr>
          <w:color w:val="auto"/>
          <w:sz w:val="24"/>
          <w:highlight w:val="none"/>
        </w:rPr>
      </w:pPr>
      <w:r>
        <w:rPr>
          <w:rFonts w:hint="eastAsia"/>
          <w:color w:val="auto"/>
          <w:sz w:val="24"/>
          <w:highlight w:val="none"/>
        </w:rPr>
        <w:t>（三）不准接受或暗示为甲方、相关单位或个人装修住房、婚丧嫁娶、配偶子女的工作安排以及出国（境）、旅游等提供方便。</w:t>
      </w:r>
    </w:p>
    <w:p>
      <w:pPr>
        <w:spacing w:line="324" w:lineRule="auto"/>
        <w:ind w:firstLine="480" w:firstLineChars="200"/>
        <w:rPr>
          <w:color w:val="auto"/>
          <w:sz w:val="24"/>
          <w:highlight w:val="none"/>
        </w:rPr>
      </w:pPr>
      <w:r>
        <w:rPr>
          <w:rFonts w:hint="eastAsia"/>
          <w:color w:val="auto"/>
          <w:sz w:val="24"/>
          <w:highlight w:val="none"/>
        </w:rPr>
        <w:t>（四）不准违反合同约定而使用甲方、相关单位提供的通信、交通工具和高档办公用品。</w:t>
      </w:r>
    </w:p>
    <w:p>
      <w:pPr>
        <w:spacing w:line="324" w:lineRule="auto"/>
        <w:ind w:firstLine="480" w:firstLineChars="200"/>
        <w:rPr>
          <w:color w:val="auto"/>
          <w:sz w:val="24"/>
          <w:highlight w:val="none"/>
        </w:rPr>
      </w:pPr>
      <w:r>
        <w:rPr>
          <w:rFonts w:hint="eastAsia"/>
          <w:color w:val="auto"/>
          <w:sz w:val="24"/>
          <w:highlight w:val="none"/>
        </w:rPr>
        <w:t>（五）不准以任何理由为甲方、相关单位或个人组织有可能影响公正执行公务的宴请、健身、娱乐等活动。</w:t>
      </w:r>
    </w:p>
    <w:p>
      <w:pPr>
        <w:spacing w:line="324" w:lineRule="auto"/>
        <w:ind w:firstLine="480" w:firstLineChars="200"/>
        <w:outlineLvl w:val="0"/>
        <w:rPr>
          <w:color w:val="auto"/>
          <w:sz w:val="24"/>
          <w:highlight w:val="none"/>
        </w:rPr>
      </w:pPr>
      <w:bookmarkStart w:id="1381" w:name="_Toc487619579"/>
      <w:bookmarkStart w:id="1382" w:name="_Toc488650929"/>
      <w:bookmarkStart w:id="1383" w:name="_Toc487653497"/>
      <w:bookmarkStart w:id="1384" w:name="_Toc487291608"/>
      <w:r>
        <w:rPr>
          <w:rFonts w:hint="eastAsia"/>
          <w:color w:val="auto"/>
          <w:sz w:val="24"/>
          <w:highlight w:val="none"/>
        </w:rPr>
        <w:t>第四条  违约责任</w:t>
      </w:r>
      <w:bookmarkEnd w:id="1381"/>
      <w:bookmarkEnd w:id="1382"/>
      <w:bookmarkEnd w:id="1383"/>
      <w:bookmarkEnd w:id="1384"/>
    </w:p>
    <w:p>
      <w:pPr>
        <w:spacing w:line="324" w:lineRule="auto"/>
        <w:ind w:firstLine="480" w:firstLineChars="200"/>
        <w:rPr>
          <w:color w:val="auto"/>
          <w:sz w:val="24"/>
          <w:highlight w:val="none"/>
        </w:rPr>
      </w:pPr>
      <w:r>
        <w:rPr>
          <w:rFonts w:hint="eastAsia"/>
          <w:color w:val="auto"/>
          <w:sz w:val="24"/>
          <w:highlight w:val="none"/>
        </w:rPr>
        <w:t>（一）甲方工作人员有违反本合同第一、二条责任行为的，按照管理权限，依据有关法律法规和规定给予党纪、政纪处分或组织处理；涉嫌犯罪的，移交司法机关追究刑事责任；给乙方单位造成经济损失的，应予以赔偿。</w:t>
      </w:r>
    </w:p>
    <w:p>
      <w:pPr>
        <w:spacing w:line="324" w:lineRule="auto"/>
        <w:ind w:firstLine="480" w:firstLineChars="200"/>
        <w:rPr>
          <w:color w:val="auto"/>
          <w:sz w:val="24"/>
          <w:highlight w:val="none"/>
        </w:rPr>
      </w:pPr>
      <w:r>
        <w:rPr>
          <w:rFonts w:hint="eastAsia"/>
          <w:color w:val="auto"/>
          <w:sz w:val="24"/>
          <w:highlight w:val="none"/>
        </w:rPr>
        <w:t>（二）乙方工作人员有违反本合同第一、三条责任行为的，按照管理权限，依据有关法律法规和规定给予党纪、政纪处分或组织处理；涉嫌犯罪的，移交司法机关追究刑事责任；给甲方单位造成经济损失的，应予以赔偿。</w:t>
      </w:r>
    </w:p>
    <w:p>
      <w:pPr>
        <w:spacing w:line="324" w:lineRule="auto"/>
        <w:ind w:firstLine="480" w:firstLineChars="200"/>
        <w:outlineLvl w:val="0"/>
        <w:rPr>
          <w:color w:val="auto"/>
          <w:sz w:val="24"/>
          <w:highlight w:val="none"/>
        </w:rPr>
      </w:pPr>
      <w:bookmarkStart w:id="1385" w:name="_Toc488650930"/>
      <w:bookmarkStart w:id="1386" w:name="_Toc487653498"/>
      <w:bookmarkStart w:id="1387" w:name="_Toc487291609"/>
      <w:bookmarkStart w:id="1388" w:name="_Toc487619580"/>
      <w:r>
        <w:rPr>
          <w:rFonts w:hint="eastAsia"/>
          <w:color w:val="auto"/>
          <w:sz w:val="24"/>
          <w:highlight w:val="none"/>
        </w:rPr>
        <w:t>第五条  本合同作为工程监理合同的附件，与工程监理合同具有同等法律效力。经双方签署后立即生效。</w:t>
      </w:r>
      <w:bookmarkEnd w:id="1385"/>
      <w:bookmarkEnd w:id="1386"/>
      <w:bookmarkEnd w:id="1387"/>
      <w:bookmarkEnd w:id="1388"/>
    </w:p>
    <w:p>
      <w:pPr>
        <w:spacing w:line="324" w:lineRule="auto"/>
        <w:ind w:firstLine="480" w:firstLineChars="200"/>
        <w:outlineLvl w:val="0"/>
        <w:rPr>
          <w:color w:val="auto"/>
          <w:sz w:val="24"/>
          <w:highlight w:val="none"/>
        </w:rPr>
      </w:pPr>
      <w:bookmarkStart w:id="1389" w:name="_Toc487653499"/>
      <w:bookmarkStart w:id="1390" w:name="_Toc487619581"/>
      <w:bookmarkStart w:id="1391" w:name="_Toc487291610"/>
      <w:bookmarkStart w:id="1392" w:name="_Toc488650931"/>
      <w:r>
        <w:rPr>
          <w:rFonts w:hint="eastAsia"/>
          <w:color w:val="auto"/>
          <w:sz w:val="24"/>
          <w:highlight w:val="none"/>
        </w:rPr>
        <w:t>第六条  本合同的有效期为双方签署之日起至该工程项目竣工验收合格时止。</w:t>
      </w:r>
      <w:bookmarkEnd w:id="1389"/>
      <w:bookmarkEnd w:id="1390"/>
      <w:bookmarkEnd w:id="1391"/>
      <w:bookmarkEnd w:id="1392"/>
    </w:p>
    <w:p>
      <w:pPr>
        <w:spacing w:line="324" w:lineRule="auto"/>
        <w:ind w:firstLine="480" w:firstLineChars="200"/>
        <w:outlineLvl w:val="0"/>
        <w:rPr>
          <w:color w:val="auto"/>
          <w:sz w:val="24"/>
          <w:highlight w:val="none"/>
        </w:rPr>
      </w:pPr>
      <w:bookmarkStart w:id="1393" w:name="_Toc487653500"/>
      <w:bookmarkStart w:id="1394" w:name="_Toc487619582"/>
      <w:bookmarkStart w:id="1395" w:name="_Toc488650932"/>
      <w:bookmarkStart w:id="1396" w:name="_Toc487291611"/>
      <w:r>
        <w:rPr>
          <w:rFonts w:hint="eastAsia"/>
          <w:color w:val="auto"/>
          <w:sz w:val="24"/>
          <w:highlight w:val="none"/>
        </w:rPr>
        <w:t>第七条  本合同一式四份，由甲乙双方各执一份，送交甲乙双方的监督单位各一份。</w:t>
      </w:r>
      <w:bookmarkEnd w:id="1393"/>
      <w:bookmarkEnd w:id="1394"/>
      <w:bookmarkEnd w:id="1395"/>
      <w:bookmarkEnd w:id="1396"/>
    </w:p>
    <w:p>
      <w:pPr>
        <w:spacing w:line="324" w:lineRule="auto"/>
        <w:ind w:firstLine="480" w:firstLineChars="200"/>
        <w:rPr>
          <w:color w:val="auto"/>
          <w:sz w:val="24"/>
          <w:highlight w:val="none"/>
        </w:rPr>
      </w:pPr>
      <w:r>
        <w:rPr>
          <w:rFonts w:hint="eastAsia"/>
          <w:color w:val="auto"/>
          <w:sz w:val="24"/>
          <w:highlight w:val="none"/>
        </w:rPr>
        <w:t xml:space="preserve">               </w:t>
      </w:r>
    </w:p>
    <w:p>
      <w:pPr>
        <w:spacing w:line="324" w:lineRule="auto"/>
        <w:ind w:firstLine="480" w:firstLineChars="200"/>
        <w:rPr>
          <w:color w:val="auto"/>
          <w:sz w:val="24"/>
          <w:highlight w:val="none"/>
        </w:rPr>
      </w:pPr>
      <w:r>
        <w:rPr>
          <w:rFonts w:hint="eastAsia"/>
          <w:color w:val="auto"/>
          <w:sz w:val="24"/>
          <w:highlight w:val="none"/>
        </w:rPr>
        <w:t xml:space="preserve">发包人：（单位全称）(盖 章)             监理人：（单位全称）(盖 章)     </w:t>
      </w:r>
    </w:p>
    <w:p>
      <w:pPr>
        <w:spacing w:line="324" w:lineRule="auto"/>
        <w:ind w:firstLine="480" w:firstLineChars="200"/>
        <w:rPr>
          <w:color w:val="auto"/>
          <w:sz w:val="24"/>
          <w:highlight w:val="none"/>
        </w:rPr>
      </w:pPr>
      <w:r>
        <w:rPr>
          <w:rFonts w:hint="eastAsia"/>
          <w:color w:val="auto"/>
          <w:sz w:val="24"/>
          <w:highlight w:val="none"/>
        </w:rPr>
        <w:t xml:space="preserve">            </w:t>
      </w:r>
    </w:p>
    <w:p>
      <w:pPr>
        <w:spacing w:line="324" w:lineRule="auto"/>
        <w:ind w:firstLine="480" w:firstLineChars="200"/>
        <w:rPr>
          <w:color w:val="auto"/>
          <w:sz w:val="24"/>
          <w:highlight w:val="none"/>
        </w:rPr>
      </w:pPr>
      <w:r>
        <w:rPr>
          <w:rFonts w:hint="eastAsia"/>
          <w:color w:val="auto"/>
          <w:sz w:val="24"/>
          <w:highlight w:val="none"/>
        </w:rPr>
        <w:t xml:space="preserve">法定代表人：(签字并盖章)                法定代表人：   (签字并盖章)  </w:t>
      </w:r>
    </w:p>
    <w:p>
      <w:pPr>
        <w:spacing w:line="324" w:lineRule="auto"/>
        <w:ind w:firstLine="480" w:firstLineChars="200"/>
        <w:rPr>
          <w:color w:val="auto"/>
          <w:sz w:val="24"/>
          <w:highlight w:val="none"/>
        </w:rPr>
      </w:pPr>
      <w:r>
        <w:rPr>
          <w:rFonts w:hint="eastAsia"/>
          <w:color w:val="auto"/>
          <w:sz w:val="24"/>
          <w:highlight w:val="none"/>
        </w:rPr>
        <w:t xml:space="preserve">地址：                                 地址：                        </w:t>
      </w:r>
    </w:p>
    <w:p>
      <w:pPr>
        <w:spacing w:line="324" w:lineRule="auto"/>
        <w:ind w:firstLine="480" w:firstLineChars="200"/>
        <w:rPr>
          <w:color w:val="auto"/>
          <w:sz w:val="24"/>
          <w:highlight w:val="none"/>
        </w:rPr>
      </w:pPr>
      <w:r>
        <w:rPr>
          <w:rFonts w:hint="eastAsia"/>
          <w:color w:val="auto"/>
          <w:sz w:val="24"/>
          <w:highlight w:val="none"/>
        </w:rPr>
        <w:t xml:space="preserve">电话：                                 电话：                         </w:t>
      </w:r>
    </w:p>
    <w:p>
      <w:pPr>
        <w:spacing w:line="324" w:lineRule="auto"/>
        <w:ind w:firstLine="480" w:firstLineChars="200"/>
        <w:rPr>
          <w:color w:val="auto"/>
          <w:sz w:val="24"/>
          <w:highlight w:val="none"/>
        </w:rPr>
      </w:pPr>
      <w:r>
        <w:rPr>
          <w:rFonts w:hint="eastAsia"/>
          <w:color w:val="auto"/>
          <w:sz w:val="24"/>
          <w:highlight w:val="none"/>
        </w:rPr>
        <w:t xml:space="preserve">日期：                                 日期：                            </w:t>
      </w:r>
    </w:p>
    <w:p>
      <w:pPr>
        <w:spacing w:line="324" w:lineRule="auto"/>
        <w:ind w:firstLine="480" w:firstLineChars="200"/>
        <w:rPr>
          <w:color w:val="auto"/>
          <w:sz w:val="24"/>
          <w:highlight w:val="none"/>
        </w:rPr>
      </w:pPr>
      <w:r>
        <w:rPr>
          <w:rFonts w:hint="eastAsia"/>
          <w:color w:val="auto"/>
          <w:sz w:val="24"/>
          <w:highlight w:val="none"/>
        </w:rPr>
        <w:t xml:space="preserve">甲方监督单位：（盖章）                  乙方监督单位：（盖章）         </w:t>
      </w:r>
    </w:p>
    <w:p>
      <w:pPr>
        <w:spacing w:line="324" w:lineRule="auto"/>
        <w:ind w:firstLine="480" w:firstLineChars="200"/>
        <w:rPr>
          <w:color w:val="auto"/>
          <w:sz w:val="24"/>
          <w:highlight w:val="none"/>
        </w:rPr>
      </w:pPr>
      <w:r>
        <w:rPr>
          <w:rFonts w:hint="eastAsia"/>
          <w:color w:val="auto"/>
          <w:sz w:val="24"/>
          <w:highlight w:val="none"/>
        </w:rPr>
        <w:t xml:space="preserve">日期：                                 日期:                         </w:t>
      </w:r>
    </w:p>
    <w:p>
      <w:pPr>
        <w:spacing w:line="324" w:lineRule="auto"/>
        <w:ind w:firstLine="480" w:firstLineChars="200"/>
        <w:rPr>
          <w:color w:val="auto"/>
          <w:sz w:val="24"/>
          <w:highlight w:val="none"/>
        </w:rPr>
      </w:pPr>
    </w:p>
    <w:p>
      <w:pPr>
        <w:spacing w:line="324" w:lineRule="auto"/>
        <w:ind w:firstLine="480" w:firstLineChars="200"/>
        <w:rPr>
          <w:color w:val="auto"/>
          <w:sz w:val="24"/>
          <w:highlight w:val="none"/>
        </w:rPr>
      </w:pPr>
    </w:p>
    <w:p>
      <w:pPr>
        <w:pStyle w:val="4"/>
        <w:spacing w:before="0" w:after="0" w:line="324" w:lineRule="auto"/>
        <w:rPr>
          <w:rFonts w:ascii="黑体" w:hAnsi="宋体"/>
          <w:b w:val="0"/>
          <w:bCs w:val="0"/>
          <w:color w:val="auto"/>
          <w:sz w:val="24"/>
          <w:szCs w:val="24"/>
          <w:highlight w:val="none"/>
        </w:rPr>
      </w:pPr>
      <w:bookmarkStart w:id="1397" w:name="_Toc488650933"/>
      <w:bookmarkStart w:id="1398" w:name="_Toc487291612"/>
      <w:bookmarkStart w:id="1399" w:name="_Toc487619583"/>
      <w:r>
        <w:rPr>
          <w:rFonts w:hint="eastAsia" w:ascii="黑体" w:hAnsi="宋体"/>
          <w:b w:val="0"/>
          <w:bCs w:val="0"/>
          <w:color w:val="auto"/>
          <w:sz w:val="24"/>
          <w:szCs w:val="24"/>
          <w:highlight w:val="none"/>
        </w:rPr>
        <w:t>附件四：安全监理责任合同格式</w:t>
      </w:r>
      <w:bookmarkEnd w:id="1397"/>
      <w:bookmarkEnd w:id="1398"/>
      <w:bookmarkEnd w:id="1399"/>
    </w:p>
    <w:p>
      <w:pPr>
        <w:spacing w:line="324" w:lineRule="auto"/>
        <w:ind w:firstLine="480" w:firstLineChars="200"/>
        <w:rPr>
          <w:color w:val="auto"/>
          <w:sz w:val="24"/>
          <w:highlight w:val="none"/>
        </w:rPr>
      </w:pPr>
      <w:r>
        <w:rPr>
          <w:rFonts w:hint="eastAsia"/>
          <w:color w:val="auto"/>
          <w:sz w:val="24"/>
          <w:highlight w:val="none"/>
        </w:rPr>
        <w:t>(本格式为安全监理责任合同标准格式，投标时不需填写)</w:t>
      </w:r>
    </w:p>
    <w:p>
      <w:pPr>
        <w:spacing w:line="324" w:lineRule="auto"/>
        <w:ind w:firstLine="480" w:firstLineChars="200"/>
        <w:rPr>
          <w:color w:val="auto"/>
          <w:sz w:val="24"/>
          <w:highlight w:val="none"/>
        </w:rPr>
      </w:pPr>
      <w:r>
        <w:rPr>
          <w:rFonts w:hint="eastAsia"/>
          <w:color w:val="auto"/>
          <w:sz w:val="24"/>
          <w:highlight w:val="none"/>
        </w:rPr>
        <w:t xml:space="preserve">根据国务院《建设工程安全生产管理条例》，为在 </w:t>
      </w:r>
      <w:r>
        <w:rPr>
          <w:rFonts w:hint="eastAsia"/>
          <w:color w:val="auto"/>
          <w:sz w:val="24"/>
          <w:highlight w:val="none"/>
          <w:u w:val="single"/>
        </w:rPr>
        <w:t xml:space="preserve">            </w:t>
      </w:r>
      <w:r>
        <w:rPr>
          <w:rFonts w:hint="eastAsia"/>
          <w:color w:val="auto"/>
          <w:sz w:val="24"/>
          <w:highlight w:val="none"/>
        </w:rPr>
        <w:t>监理服务合同的实施过程中切实搞好本工程的安全生产管理工作，发包人</w:t>
      </w:r>
      <w:r>
        <w:rPr>
          <w:rFonts w:hint="eastAsia"/>
          <w:color w:val="auto"/>
          <w:sz w:val="24"/>
          <w:highlight w:val="none"/>
          <w:u w:val="single"/>
        </w:rPr>
        <w:t xml:space="preserve">                </w:t>
      </w:r>
      <w:r>
        <w:rPr>
          <w:rFonts w:hint="eastAsia"/>
          <w:color w:val="auto"/>
          <w:sz w:val="24"/>
          <w:highlight w:val="none"/>
        </w:rPr>
        <w:t xml:space="preserve"> (以下简称“甲方”)与监理人</w:t>
      </w:r>
      <w:r>
        <w:rPr>
          <w:rFonts w:hint="eastAsia"/>
          <w:color w:val="auto"/>
          <w:sz w:val="24"/>
          <w:highlight w:val="none"/>
          <w:u w:val="single"/>
        </w:rPr>
        <w:t xml:space="preserve">                    </w:t>
      </w:r>
      <w:r>
        <w:rPr>
          <w:rFonts w:hint="eastAsia"/>
          <w:color w:val="auto"/>
          <w:sz w:val="24"/>
          <w:highlight w:val="none"/>
        </w:rPr>
        <w:t>(以下简称“乙方”)签订如下安全监理责任合同：</w:t>
      </w:r>
    </w:p>
    <w:p>
      <w:pPr>
        <w:spacing w:line="324" w:lineRule="auto"/>
        <w:ind w:firstLine="480" w:firstLineChars="200"/>
        <w:outlineLvl w:val="0"/>
        <w:rPr>
          <w:color w:val="auto"/>
          <w:sz w:val="24"/>
          <w:highlight w:val="none"/>
        </w:rPr>
      </w:pPr>
      <w:bookmarkStart w:id="1400" w:name="_Toc487291613"/>
      <w:bookmarkStart w:id="1401" w:name="_Toc487619584"/>
      <w:bookmarkStart w:id="1402" w:name="_Toc487653502"/>
      <w:bookmarkStart w:id="1403" w:name="_Toc488650934"/>
      <w:r>
        <w:rPr>
          <w:rFonts w:hint="eastAsia"/>
          <w:color w:val="auto"/>
          <w:sz w:val="24"/>
          <w:highlight w:val="none"/>
        </w:rPr>
        <w:t>一、甲方职责</w:t>
      </w:r>
      <w:bookmarkEnd w:id="1400"/>
      <w:bookmarkEnd w:id="1401"/>
      <w:bookmarkEnd w:id="1402"/>
      <w:bookmarkEnd w:id="1403"/>
    </w:p>
    <w:p>
      <w:pPr>
        <w:spacing w:line="324" w:lineRule="auto"/>
        <w:ind w:firstLine="480" w:firstLineChars="200"/>
        <w:rPr>
          <w:color w:val="auto"/>
          <w:sz w:val="24"/>
          <w:highlight w:val="none"/>
        </w:rPr>
      </w:pPr>
      <w:r>
        <w:rPr>
          <w:rFonts w:hint="eastAsia"/>
          <w:color w:val="auto"/>
          <w:sz w:val="24"/>
          <w:highlight w:val="none"/>
        </w:rPr>
        <w:t>1．严格遵守国家有关安全生产的法律法规，支持乙方按条例要求对规定的施工安全实施监理。</w:t>
      </w:r>
    </w:p>
    <w:p>
      <w:pPr>
        <w:spacing w:line="324" w:lineRule="auto"/>
        <w:ind w:firstLine="480" w:firstLineChars="200"/>
        <w:rPr>
          <w:color w:val="auto"/>
          <w:sz w:val="24"/>
          <w:highlight w:val="none"/>
        </w:rPr>
      </w:pPr>
      <w:r>
        <w:rPr>
          <w:rFonts w:hint="eastAsia"/>
          <w:color w:val="auto"/>
          <w:sz w:val="24"/>
          <w:highlight w:val="none"/>
        </w:rPr>
        <w:t>2．按照“安全第一、预防为主”和坚持“管生产必须管安全”的原则进行安全生产管理，做到生产与安全工作同时计划、布置、检查、总结和评比。</w:t>
      </w:r>
    </w:p>
    <w:p>
      <w:pPr>
        <w:spacing w:line="324" w:lineRule="auto"/>
        <w:ind w:firstLine="480" w:firstLineChars="200"/>
        <w:rPr>
          <w:color w:val="auto"/>
          <w:sz w:val="24"/>
          <w:highlight w:val="none"/>
        </w:rPr>
      </w:pPr>
      <w:r>
        <w:rPr>
          <w:rFonts w:hint="eastAsia"/>
          <w:color w:val="auto"/>
          <w:sz w:val="24"/>
          <w:highlight w:val="none"/>
        </w:rPr>
        <w:t>3．重要的安全设施必须坚持与主体工程“三同时”的原则，即：同时设计、审批，同时施工，同时验收，投入使用。</w:t>
      </w:r>
    </w:p>
    <w:p>
      <w:pPr>
        <w:spacing w:line="324" w:lineRule="auto"/>
        <w:ind w:firstLine="480" w:firstLineChars="200"/>
        <w:rPr>
          <w:color w:val="auto"/>
          <w:sz w:val="24"/>
          <w:highlight w:val="none"/>
        </w:rPr>
      </w:pPr>
      <w:r>
        <w:rPr>
          <w:rFonts w:hint="eastAsia"/>
          <w:color w:val="auto"/>
          <w:sz w:val="24"/>
          <w:highlight w:val="none"/>
        </w:rPr>
        <w:t>4．定期召开安全生产调度会，及时传达中央及地方有关安全生产的精神。</w:t>
      </w:r>
    </w:p>
    <w:p>
      <w:pPr>
        <w:spacing w:line="324" w:lineRule="auto"/>
        <w:ind w:firstLine="480" w:firstLineChars="200"/>
        <w:rPr>
          <w:color w:val="auto"/>
          <w:sz w:val="24"/>
          <w:highlight w:val="none"/>
        </w:rPr>
      </w:pPr>
      <w:r>
        <w:rPr>
          <w:rFonts w:hint="eastAsia"/>
          <w:color w:val="auto"/>
          <w:sz w:val="24"/>
          <w:highlight w:val="none"/>
        </w:rPr>
        <w:t>5．组织对施工现场的安全生产检查，监督施工单位及时处理发现的各项安全隐患。</w:t>
      </w:r>
    </w:p>
    <w:p>
      <w:pPr>
        <w:spacing w:line="324" w:lineRule="auto"/>
        <w:ind w:firstLine="480" w:firstLineChars="200"/>
        <w:outlineLvl w:val="0"/>
        <w:rPr>
          <w:color w:val="auto"/>
          <w:sz w:val="24"/>
          <w:highlight w:val="none"/>
        </w:rPr>
      </w:pPr>
      <w:bookmarkStart w:id="1404" w:name="_Toc487291614"/>
      <w:bookmarkStart w:id="1405" w:name="_Toc488650935"/>
      <w:bookmarkStart w:id="1406" w:name="_Toc487653503"/>
      <w:bookmarkStart w:id="1407" w:name="_Toc487619585"/>
      <w:r>
        <w:rPr>
          <w:rFonts w:hint="eastAsia"/>
          <w:color w:val="auto"/>
          <w:sz w:val="24"/>
          <w:highlight w:val="none"/>
        </w:rPr>
        <w:t>二、乙方职责</w:t>
      </w:r>
      <w:bookmarkEnd w:id="1404"/>
      <w:bookmarkEnd w:id="1405"/>
      <w:bookmarkEnd w:id="1406"/>
      <w:bookmarkEnd w:id="1407"/>
    </w:p>
    <w:p>
      <w:pPr>
        <w:spacing w:line="324" w:lineRule="auto"/>
        <w:ind w:firstLine="480" w:firstLineChars="200"/>
        <w:rPr>
          <w:color w:val="auto"/>
          <w:sz w:val="24"/>
          <w:highlight w:val="none"/>
        </w:rPr>
      </w:pPr>
      <w:r>
        <w:rPr>
          <w:rFonts w:hint="eastAsia"/>
          <w:color w:val="auto"/>
          <w:sz w:val="24"/>
          <w:highlight w:val="none"/>
        </w:rPr>
        <w:t>1．督促施工单位严格遵守国家有关安全生产的法律法规、交通运输部有关安全生产的规定，认真执行工程承包合同中的有关安全要求。</w:t>
      </w:r>
    </w:p>
    <w:p>
      <w:pPr>
        <w:spacing w:line="324" w:lineRule="auto"/>
        <w:ind w:firstLine="480" w:firstLineChars="200"/>
        <w:rPr>
          <w:color w:val="auto"/>
          <w:sz w:val="24"/>
          <w:highlight w:val="none"/>
        </w:rPr>
      </w:pPr>
      <w:r>
        <w:rPr>
          <w:rFonts w:hint="eastAsia"/>
          <w:color w:val="auto"/>
          <w:sz w:val="24"/>
          <w:highlight w:val="none"/>
        </w:rPr>
        <w:t>2．坚持“安全第一、预防为主”和“管生产必须管安全”的原则，督促施工单位加强安全生产宣传教育，增强全员安全生产意识，建立健全各项安全生产的管理机构和安全生产管理制度，配备专职及兼职安全检查人员，有组织有领导地开展安全生产活动。</w:t>
      </w:r>
    </w:p>
    <w:p>
      <w:pPr>
        <w:spacing w:line="324" w:lineRule="auto"/>
        <w:ind w:firstLine="480" w:firstLineChars="200"/>
        <w:rPr>
          <w:color w:val="auto"/>
          <w:sz w:val="24"/>
          <w:highlight w:val="none"/>
        </w:rPr>
      </w:pPr>
      <w:r>
        <w:rPr>
          <w:rFonts w:hint="eastAsia"/>
          <w:color w:val="auto"/>
          <w:sz w:val="24"/>
          <w:highlight w:val="none"/>
        </w:rPr>
        <w:t>3．建立健全安全监理制度，加强安全知识教育培训，明确各岗位监理人员的安全监理职责，增强安全意识。</w:t>
      </w:r>
    </w:p>
    <w:p>
      <w:pPr>
        <w:spacing w:line="324" w:lineRule="auto"/>
        <w:ind w:firstLine="480" w:firstLineChars="200"/>
        <w:rPr>
          <w:color w:val="auto"/>
          <w:sz w:val="24"/>
          <w:highlight w:val="none"/>
        </w:rPr>
      </w:pPr>
      <w:r>
        <w:rPr>
          <w:rFonts w:hint="eastAsia"/>
          <w:color w:val="auto"/>
          <w:sz w:val="24"/>
          <w:highlight w:val="none"/>
        </w:rPr>
        <w:t>4．在审查施工组织设计的同时，要同步审查施工组织设计中的安全技术措施，审查专项施工方案是否符合工程建设强制性标准。</w:t>
      </w:r>
    </w:p>
    <w:p>
      <w:pPr>
        <w:spacing w:line="324" w:lineRule="auto"/>
        <w:ind w:firstLine="480" w:firstLineChars="200"/>
        <w:rPr>
          <w:color w:val="auto"/>
          <w:sz w:val="24"/>
          <w:highlight w:val="none"/>
        </w:rPr>
      </w:pPr>
      <w:r>
        <w:rPr>
          <w:rFonts w:hint="eastAsia"/>
          <w:color w:val="auto"/>
          <w:sz w:val="24"/>
          <w:highlight w:val="none"/>
        </w:rPr>
        <w:t>5．在实施监理过程中，发现存在安全事故隐患的，应立即要求施工单位整改；情况严重的，应立即要求施工单位停止施工，并及时报告建设单位。施工单位拒不整改或不停止施工的，乙方应及时向有关主管部门报告。</w:t>
      </w:r>
    </w:p>
    <w:p>
      <w:pPr>
        <w:spacing w:line="324" w:lineRule="auto"/>
        <w:ind w:firstLine="480" w:firstLineChars="200"/>
        <w:rPr>
          <w:color w:val="auto"/>
          <w:sz w:val="24"/>
          <w:highlight w:val="none"/>
        </w:rPr>
      </w:pPr>
      <w:r>
        <w:rPr>
          <w:rFonts w:hint="eastAsia"/>
          <w:color w:val="auto"/>
          <w:sz w:val="24"/>
          <w:highlight w:val="none"/>
        </w:rPr>
        <w:t>6．乙方及其监理工程师应当按照法律、法规和工程建设强制性标准实施监理，并对建设工程安全生产承担监理责任。</w:t>
      </w:r>
    </w:p>
    <w:p>
      <w:pPr>
        <w:spacing w:line="324" w:lineRule="auto"/>
        <w:ind w:firstLine="480" w:firstLineChars="200"/>
        <w:rPr>
          <w:color w:val="auto"/>
          <w:sz w:val="24"/>
          <w:highlight w:val="none"/>
        </w:rPr>
      </w:pPr>
      <w:r>
        <w:rPr>
          <w:rFonts w:hint="eastAsia"/>
          <w:color w:val="auto"/>
          <w:sz w:val="24"/>
          <w:highlight w:val="none"/>
        </w:rPr>
        <w:t>7．乙方应督促施工单位按照本工程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24" w:lineRule="auto"/>
        <w:ind w:firstLine="480" w:firstLineChars="200"/>
        <w:outlineLvl w:val="0"/>
        <w:rPr>
          <w:color w:val="auto"/>
          <w:sz w:val="24"/>
          <w:highlight w:val="none"/>
        </w:rPr>
      </w:pPr>
      <w:bookmarkStart w:id="1408" w:name="_Toc488650936"/>
      <w:bookmarkStart w:id="1409" w:name="_Toc487653504"/>
      <w:bookmarkStart w:id="1410" w:name="_Toc487291615"/>
      <w:bookmarkStart w:id="1411" w:name="_Toc487619586"/>
      <w:r>
        <w:rPr>
          <w:rFonts w:hint="eastAsia"/>
          <w:color w:val="auto"/>
          <w:sz w:val="24"/>
          <w:highlight w:val="none"/>
        </w:rPr>
        <w:t>三、违约责任</w:t>
      </w:r>
      <w:bookmarkEnd w:id="1408"/>
      <w:bookmarkEnd w:id="1409"/>
      <w:bookmarkEnd w:id="1410"/>
      <w:bookmarkEnd w:id="1411"/>
    </w:p>
    <w:p>
      <w:pPr>
        <w:spacing w:line="324" w:lineRule="auto"/>
        <w:ind w:firstLine="480" w:firstLineChars="200"/>
        <w:rPr>
          <w:color w:val="auto"/>
          <w:sz w:val="24"/>
          <w:highlight w:val="none"/>
        </w:rPr>
      </w:pPr>
      <w:r>
        <w:rPr>
          <w:rFonts w:hint="eastAsia"/>
          <w:color w:val="auto"/>
          <w:sz w:val="24"/>
          <w:highlight w:val="none"/>
        </w:rPr>
        <w:t>如因甲方或乙方违约造成安全事故，将依法追究责任。</w:t>
      </w:r>
    </w:p>
    <w:p>
      <w:pPr>
        <w:spacing w:line="324" w:lineRule="auto"/>
        <w:ind w:firstLine="480" w:firstLineChars="200"/>
        <w:rPr>
          <w:color w:val="auto"/>
          <w:sz w:val="24"/>
          <w:highlight w:val="none"/>
        </w:rPr>
      </w:pPr>
      <w:r>
        <w:rPr>
          <w:rFonts w:hint="eastAsia"/>
          <w:color w:val="auto"/>
          <w:sz w:val="24"/>
          <w:highlight w:val="none"/>
        </w:rPr>
        <w:t>本合同一式十二份，具有同等法律效力，甲方执八份、乙方执四份，其中双方监督单位各执一份。</w:t>
      </w:r>
    </w:p>
    <w:p>
      <w:pPr>
        <w:spacing w:line="324" w:lineRule="auto"/>
        <w:ind w:firstLine="480" w:firstLineChars="200"/>
        <w:rPr>
          <w:color w:val="auto"/>
          <w:sz w:val="24"/>
          <w:highlight w:val="none"/>
        </w:rPr>
      </w:pPr>
      <w:r>
        <w:rPr>
          <w:rFonts w:hint="eastAsia"/>
          <w:color w:val="auto"/>
          <w:sz w:val="24"/>
          <w:highlight w:val="none"/>
        </w:rPr>
        <w:t>由双方法定代表人或其授权的代理人签署并加盖公章之日起生效，全部工程竣工验收后失效。</w:t>
      </w:r>
    </w:p>
    <w:p>
      <w:pPr>
        <w:spacing w:line="324" w:lineRule="auto"/>
        <w:ind w:firstLine="480" w:firstLineChars="200"/>
        <w:rPr>
          <w:color w:val="auto"/>
          <w:sz w:val="24"/>
          <w:highlight w:val="none"/>
        </w:rPr>
      </w:pPr>
    </w:p>
    <w:p>
      <w:pPr>
        <w:spacing w:line="324" w:lineRule="auto"/>
        <w:ind w:firstLine="480" w:firstLineChars="200"/>
        <w:rPr>
          <w:color w:val="auto"/>
          <w:sz w:val="24"/>
          <w:highlight w:val="none"/>
        </w:rPr>
      </w:pPr>
      <w:r>
        <w:rPr>
          <w:rFonts w:hint="eastAsia"/>
          <w:color w:val="auto"/>
          <w:sz w:val="24"/>
          <w:highlight w:val="none"/>
        </w:rPr>
        <w:t>发包人:</w:t>
      </w:r>
      <w:r>
        <w:rPr>
          <w:rFonts w:hint="eastAsia"/>
          <w:color w:val="auto"/>
          <w:sz w:val="24"/>
          <w:highlight w:val="none"/>
        </w:rPr>
        <w:tab/>
      </w:r>
      <w:r>
        <w:rPr>
          <w:rFonts w:hint="eastAsia"/>
          <w:color w:val="auto"/>
          <w:sz w:val="24"/>
          <w:highlight w:val="none"/>
        </w:rPr>
        <w:t>（单位全称）(盖 章)</w:t>
      </w:r>
      <w:r>
        <w:rPr>
          <w:rFonts w:hint="eastAsia"/>
          <w:color w:val="auto"/>
          <w:sz w:val="24"/>
          <w:highlight w:val="none"/>
        </w:rPr>
        <w:tab/>
      </w:r>
      <w:r>
        <w:rPr>
          <w:rFonts w:hint="eastAsia"/>
          <w:color w:val="auto"/>
          <w:sz w:val="24"/>
          <w:highlight w:val="none"/>
        </w:rPr>
        <w:tab/>
      </w:r>
      <w:r>
        <w:rPr>
          <w:rFonts w:hint="eastAsia"/>
          <w:color w:val="auto"/>
          <w:sz w:val="24"/>
          <w:highlight w:val="none"/>
        </w:rPr>
        <w:t>监理人：</w:t>
      </w:r>
      <w:r>
        <w:rPr>
          <w:rFonts w:hint="eastAsia"/>
          <w:color w:val="auto"/>
          <w:sz w:val="24"/>
          <w:highlight w:val="none"/>
        </w:rPr>
        <w:tab/>
      </w:r>
      <w:r>
        <w:rPr>
          <w:rFonts w:hint="eastAsia"/>
          <w:color w:val="auto"/>
          <w:sz w:val="24"/>
          <w:highlight w:val="none"/>
        </w:rPr>
        <w:t>（单位全称）(盖 章)</w:t>
      </w:r>
    </w:p>
    <w:p>
      <w:pPr>
        <w:spacing w:line="324" w:lineRule="auto"/>
        <w:ind w:firstLine="480" w:firstLineChars="200"/>
        <w:rPr>
          <w:color w:val="auto"/>
          <w:sz w:val="24"/>
          <w:highlight w:val="none"/>
        </w:rPr>
      </w:pPr>
      <w:r>
        <w:rPr>
          <w:rFonts w:hint="eastAsia"/>
          <w:color w:val="auto"/>
          <w:sz w:val="24"/>
          <w:highlight w:val="none"/>
        </w:rPr>
        <w:t>法定代表人                        法定代表人</w:t>
      </w:r>
    </w:p>
    <w:p>
      <w:pPr>
        <w:spacing w:line="324" w:lineRule="auto"/>
        <w:ind w:firstLine="480" w:firstLineChars="200"/>
        <w:rPr>
          <w:color w:val="auto"/>
          <w:sz w:val="24"/>
          <w:highlight w:val="none"/>
        </w:rPr>
      </w:pPr>
      <w:r>
        <w:rPr>
          <w:rFonts w:hint="eastAsia"/>
          <w:color w:val="auto"/>
          <w:sz w:val="24"/>
          <w:highlight w:val="none"/>
        </w:rPr>
        <w:t>或                                或</w:t>
      </w:r>
    </w:p>
    <w:p>
      <w:pPr>
        <w:spacing w:line="324" w:lineRule="auto"/>
        <w:ind w:firstLine="480" w:firstLineChars="200"/>
        <w:rPr>
          <w:color w:val="auto"/>
          <w:sz w:val="24"/>
          <w:highlight w:val="none"/>
        </w:rPr>
      </w:pPr>
      <w:r>
        <w:rPr>
          <w:rFonts w:hint="eastAsia"/>
          <w:color w:val="auto"/>
          <w:sz w:val="24"/>
          <w:highlight w:val="none"/>
        </w:rPr>
        <w:t>其授权的代理人：</w:t>
      </w:r>
      <w:r>
        <w:rPr>
          <w:rFonts w:hint="eastAsia"/>
          <w:color w:val="auto"/>
          <w:sz w:val="24"/>
          <w:highlight w:val="none"/>
        </w:rPr>
        <w:tab/>
      </w:r>
      <w:r>
        <w:rPr>
          <w:rFonts w:hint="eastAsia"/>
          <w:color w:val="auto"/>
          <w:sz w:val="24"/>
          <w:highlight w:val="none"/>
        </w:rPr>
        <w:t>(签 字)</w:t>
      </w:r>
      <w:r>
        <w:rPr>
          <w:rFonts w:hint="eastAsia"/>
          <w:color w:val="auto"/>
          <w:sz w:val="24"/>
          <w:highlight w:val="none"/>
        </w:rPr>
        <w:tab/>
      </w:r>
      <w:r>
        <w:rPr>
          <w:rFonts w:hint="eastAsia"/>
          <w:color w:val="auto"/>
          <w:sz w:val="24"/>
          <w:highlight w:val="none"/>
        </w:rPr>
        <w:tab/>
      </w:r>
      <w:r>
        <w:rPr>
          <w:rFonts w:hint="eastAsia"/>
          <w:color w:val="auto"/>
          <w:sz w:val="24"/>
          <w:highlight w:val="none"/>
        </w:rPr>
        <w:t xml:space="preserve">      其授权的代理人：</w:t>
      </w:r>
      <w:r>
        <w:rPr>
          <w:rFonts w:hint="eastAsia"/>
          <w:color w:val="auto"/>
          <w:sz w:val="24"/>
          <w:highlight w:val="none"/>
        </w:rPr>
        <w:tab/>
      </w:r>
      <w:r>
        <w:rPr>
          <w:rFonts w:hint="eastAsia"/>
          <w:color w:val="auto"/>
          <w:sz w:val="24"/>
          <w:highlight w:val="none"/>
        </w:rPr>
        <w:t>(签 字)</w:t>
      </w:r>
    </w:p>
    <w:p>
      <w:pPr>
        <w:spacing w:line="324" w:lineRule="auto"/>
        <w:ind w:firstLine="480" w:firstLineChars="200"/>
        <w:rPr>
          <w:color w:val="auto"/>
          <w:sz w:val="24"/>
          <w:highlight w:val="none"/>
        </w:rPr>
      </w:pPr>
      <w:r>
        <w:rPr>
          <w:rFonts w:hint="eastAsia"/>
          <w:color w:val="auto"/>
          <w:sz w:val="24"/>
          <w:highlight w:val="none"/>
        </w:rPr>
        <w:tab/>
      </w:r>
      <w:r>
        <w:rPr>
          <w:rFonts w:hint="eastAsia"/>
          <w:color w:val="auto"/>
          <w:sz w:val="24"/>
          <w:highlight w:val="none"/>
        </w:rPr>
        <w:t>（姓 名）</w:t>
      </w:r>
      <w:r>
        <w:rPr>
          <w:rFonts w:hint="eastAsia"/>
          <w:color w:val="auto"/>
          <w:sz w:val="24"/>
          <w:highlight w:val="none"/>
        </w:rPr>
        <w:tab/>
      </w:r>
      <w:r>
        <w:rPr>
          <w:rFonts w:hint="eastAsia"/>
          <w:color w:val="auto"/>
          <w:sz w:val="24"/>
          <w:highlight w:val="none"/>
        </w:rPr>
        <w:tab/>
      </w:r>
      <w:r>
        <w:rPr>
          <w:rFonts w:hint="eastAsia"/>
          <w:color w:val="auto"/>
          <w:sz w:val="24"/>
          <w:highlight w:val="none"/>
        </w:rPr>
        <w:t xml:space="preserve">                  </w:t>
      </w:r>
      <w:r>
        <w:rPr>
          <w:rFonts w:hint="eastAsia"/>
          <w:color w:val="auto"/>
          <w:sz w:val="24"/>
          <w:highlight w:val="none"/>
        </w:rPr>
        <w:tab/>
      </w:r>
      <w:r>
        <w:rPr>
          <w:rFonts w:hint="eastAsia"/>
          <w:color w:val="auto"/>
          <w:sz w:val="24"/>
          <w:highlight w:val="none"/>
        </w:rPr>
        <w:t>（姓 名）</w:t>
      </w:r>
    </w:p>
    <w:p>
      <w:pPr>
        <w:spacing w:line="324" w:lineRule="auto"/>
        <w:ind w:firstLine="480" w:firstLineChars="200"/>
        <w:rPr>
          <w:color w:val="auto"/>
          <w:sz w:val="24"/>
          <w:highlight w:val="none"/>
        </w:rPr>
      </w:pPr>
      <w:r>
        <w:rPr>
          <w:rFonts w:hint="eastAsia"/>
          <w:color w:val="auto"/>
          <w:sz w:val="24"/>
          <w:highlight w:val="none"/>
        </w:rPr>
        <w:tab/>
      </w:r>
      <w:r>
        <w:rPr>
          <w:rFonts w:hint="eastAsia"/>
          <w:color w:val="auto"/>
          <w:sz w:val="24"/>
          <w:highlight w:val="none"/>
        </w:rPr>
        <w:t>（签 字）</w:t>
      </w:r>
      <w:r>
        <w:rPr>
          <w:rFonts w:hint="eastAsia"/>
          <w:color w:val="auto"/>
          <w:sz w:val="24"/>
          <w:highlight w:val="none"/>
        </w:rPr>
        <w:tab/>
      </w:r>
      <w:r>
        <w:rPr>
          <w:rFonts w:hint="eastAsia"/>
          <w:color w:val="auto"/>
          <w:sz w:val="24"/>
          <w:highlight w:val="none"/>
        </w:rPr>
        <w:tab/>
      </w:r>
      <w:r>
        <w:rPr>
          <w:rFonts w:hint="eastAsia"/>
          <w:color w:val="auto"/>
          <w:sz w:val="24"/>
          <w:highlight w:val="none"/>
        </w:rPr>
        <w:tab/>
      </w:r>
      <w:r>
        <w:rPr>
          <w:rFonts w:hint="eastAsia"/>
          <w:color w:val="auto"/>
          <w:sz w:val="24"/>
          <w:highlight w:val="none"/>
        </w:rPr>
        <w:t xml:space="preserve">                  （签 字）</w:t>
      </w:r>
    </w:p>
    <w:p>
      <w:pPr>
        <w:spacing w:line="324" w:lineRule="auto"/>
        <w:ind w:firstLine="480" w:firstLineChars="200"/>
        <w:rPr>
          <w:color w:val="auto"/>
          <w:sz w:val="24"/>
          <w:highlight w:val="none"/>
        </w:rPr>
      </w:pPr>
      <w:r>
        <w:rPr>
          <w:rFonts w:hint="eastAsia"/>
          <w:color w:val="auto"/>
          <w:sz w:val="24"/>
          <w:highlight w:val="none"/>
        </w:rPr>
        <w:t>日    期：</w:t>
      </w:r>
      <w:r>
        <w:rPr>
          <w:rFonts w:hint="eastAsia"/>
          <w:color w:val="auto"/>
          <w:sz w:val="24"/>
          <w:highlight w:val="none"/>
        </w:rPr>
        <w:tab/>
      </w:r>
      <w:r>
        <w:rPr>
          <w:rFonts w:hint="eastAsia"/>
          <w:color w:val="auto"/>
          <w:sz w:val="24"/>
          <w:highlight w:val="none"/>
        </w:rPr>
        <w:tab/>
      </w:r>
      <w:r>
        <w:rPr>
          <w:rFonts w:hint="eastAsia"/>
          <w:color w:val="auto"/>
          <w:sz w:val="24"/>
          <w:highlight w:val="none"/>
        </w:rPr>
        <w:t xml:space="preserve">              </w:t>
      </w:r>
      <w:r>
        <w:rPr>
          <w:rFonts w:hint="eastAsia"/>
          <w:color w:val="auto"/>
          <w:sz w:val="24"/>
          <w:highlight w:val="none"/>
        </w:rPr>
        <w:tab/>
      </w:r>
      <w:r>
        <w:rPr>
          <w:rFonts w:hint="eastAsia"/>
          <w:color w:val="auto"/>
          <w:sz w:val="24"/>
          <w:highlight w:val="none"/>
        </w:rPr>
        <w:t>日      期：</w:t>
      </w:r>
      <w:r>
        <w:rPr>
          <w:rFonts w:hint="eastAsia"/>
          <w:color w:val="auto"/>
          <w:sz w:val="24"/>
          <w:highlight w:val="none"/>
        </w:rPr>
        <w:tab/>
      </w:r>
    </w:p>
    <w:p>
      <w:pPr>
        <w:spacing w:line="324" w:lineRule="auto"/>
        <w:ind w:firstLine="480" w:firstLineChars="200"/>
        <w:rPr>
          <w:color w:val="auto"/>
          <w:sz w:val="24"/>
          <w:highlight w:val="none"/>
        </w:rPr>
      </w:pPr>
    </w:p>
    <w:p>
      <w:pPr>
        <w:pStyle w:val="3"/>
        <w:rPr>
          <w:color w:val="auto"/>
          <w:highlight w:val="none"/>
        </w:rPr>
      </w:pPr>
      <w:r>
        <w:rPr>
          <w:rFonts w:hint="eastAsia"/>
          <w:color w:val="auto"/>
          <w:highlight w:val="none"/>
        </w:rPr>
        <w:br w:type="page"/>
      </w:r>
      <w:r>
        <w:rPr>
          <w:rFonts w:hint="eastAsia"/>
          <w:color w:val="auto"/>
          <w:highlight w:val="none"/>
        </w:rPr>
        <w:t xml:space="preserve"> </w:t>
      </w:r>
      <w:bookmarkStart w:id="1412" w:name="_Toc488650937"/>
      <w:r>
        <w:rPr>
          <w:rFonts w:hint="eastAsia"/>
          <w:color w:val="auto"/>
          <w:highlight w:val="none"/>
        </w:rPr>
        <w:t>第六章  监理服务费报价</w:t>
      </w:r>
      <w:bookmarkEnd w:id="1412"/>
    </w:p>
    <w:p>
      <w:pPr>
        <w:pStyle w:val="3"/>
        <w:spacing w:before="0" w:after="0"/>
        <w:rPr>
          <w:rFonts w:ascii="宋体" w:hAnsi="宋体" w:eastAsia="宋体"/>
          <w:b w:val="0"/>
          <w:color w:val="auto"/>
          <w:sz w:val="21"/>
          <w:szCs w:val="21"/>
          <w:highlight w:val="none"/>
        </w:rPr>
      </w:pPr>
      <w:bookmarkStart w:id="1413" w:name="_Toc487291617"/>
      <w:bookmarkStart w:id="1414" w:name="_Toc488650938"/>
      <w:bookmarkStart w:id="1415" w:name="_Toc487653506"/>
      <w:r>
        <w:rPr>
          <w:rFonts w:hint="eastAsia" w:ascii="宋体" w:hAnsi="宋体" w:eastAsia="宋体"/>
          <w:b w:val="0"/>
          <w:color w:val="auto"/>
          <w:sz w:val="21"/>
          <w:szCs w:val="21"/>
          <w:highlight w:val="none"/>
        </w:rPr>
        <w:t>1.监理服务费报价说明</w:t>
      </w:r>
      <w:bookmarkEnd w:id="1413"/>
      <w:bookmarkEnd w:id="1414"/>
      <w:bookmarkEnd w:id="1415"/>
    </w:p>
    <w:p>
      <w:pPr>
        <w:spacing w:line="324" w:lineRule="auto"/>
        <w:ind w:firstLine="420" w:firstLineChars="200"/>
        <w:rPr>
          <w:rFonts w:ascii="宋体" w:hAnsi="宋体"/>
          <w:color w:val="auto"/>
          <w:szCs w:val="21"/>
          <w:highlight w:val="none"/>
        </w:rPr>
      </w:pPr>
      <w:r>
        <w:rPr>
          <w:rFonts w:hint="eastAsia" w:ascii="宋体" w:hAnsi="宋体"/>
          <w:color w:val="auto"/>
          <w:szCs w:val="21"/>
          <w:highlight w:val="none"/>
        </w:rPr>
        <w:t>1.1  本监理服务费报价是根据招标文件及施工监理规范，完成合同条款中约定监理服务阶段的监理服务范围和内容所需要的监理服务费用。</w:t>
      </w:r>
    </w:p>
    <w:p>
      <w:pPr>
        <w:spacing w:line="324" w:lineRule="auto"/>
        <w:ind w:firstLine="420" w:firstLineChars="200"/>
        <w:rPr>
          <w:rFonts w:ascii="宋体" w:hAnsi="宋体"/>
          <w:color w:val="auto"/>
          <w:szCs w:val="21"/>
          <w:highlight w:val="none"/>
        </w:rPr>
      </w:pPr>
      <w:r>
        <w:rPr>
          <w:rFonts w:hint="eastAsia" w:ascii="宋体" w:hAnsi="宋体"/>
          <w:color w:val="auto"/>
          <w:szCs w:val="21"/>
          <w:highlight w:val="none"/>
        </w:rPr>
        <w:t>1.2  本监理服务费报价应与招标文件中的投标人须知、通用合同条款、专用合同条款、标准以及招标范围涵盖工程内容一起阅读和理解。</w:t>
      </w:r>
    </w:p>
    <w:p>
      <w:pPr>
        <w:pStyle w:val="3"/>
        <w:spacing w:before="0" w:after="0"/>
        <w:rPr>
          <w:rFonts w:ascii="宋体" w:hAnsi="宋体" w:eastAsia="宋体"/>
          <w:b w:val="0"/>
          <w:color w:val="auto"/>
          <w:sz w:val="21"/>
          <w:szCs w:val="21"/>
          <w:highlight w:val="none"/>
        </w:rPr>
      </w:pPr>
      <w:bookmarkStart w:id="1416" w:name="_Toc487291618"/>
      <w:bookmarkStart w:id="1417" w:name="_Toc488650939"/>
      <w:bookmarkStart w:id="1418" w:name="_Toc487653507"/>
      <w:r>
        <w:rPr>
          <w:rFonts w:hint="eastAsia" w:ascii="宋体" w:hAnsi="宋体" w:eastAsia="宋体"/>
          <w:b w:val="0"/>
          <w:color w:val="auto"/>
          <w:sz w:val="21"/>
          <w:szCs w:val="21"/>
          <w:highlight w:val="none"/>
        </w:rPr>
        <w:t>2.监理服务费报价表</w:t>
      </w:r>
      <w:bookmarkEnd w:id="1416"/>
      <w:bookmarkEnd w:id="1417"/>
      <w:bookmarkEnd w:id="1418"/>
    </w:p>
    <w:p>
      <w:pPr>
        <w:pStyle w:val="6"/>
        <w:spacing w:before="0" w:after="0" w:line="30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2.1监理服务费报价</w:t>
      </w:r>
      <w:r>
        <w:rPr>
          <w:rFonts w:ascii="宋体" w:hAnsi="宋体"/>
          <w:b w:val="0"/>
          <w:color w:val="auto"/>
          <w:sz w:val="21"/>
          <w:szCs w:val="21"/>
          <w:highlight w:val="none"/>
        </w:rPr>
        <w:t>汇总</w:t>
      </w:r>
      <w:r>
        <w:rPr>
          <w:rFonts w:hint="eastAsia" w:ascii="宋体" w:hAnsi="宋体"/>
          <w:b w:val="0"/>
          <w:color w:val="auto"/>
          <w:sz w:val="21"/>
          <w:szCs w:val="21"/>
          <w:highlight w:val="none"/>
        </w:rPr>
        <w:t>表</w:t>
      </w:r>
    </w:p>
    <w:p>
      <w:pPr>
        <w:pStyle w:val="6"/>
        <w:spacing w:before="0" w:after="0" w:line="300" w:lineRule="auto"/>
        <w:ind w:firstLine="525"/>
        <w:rPr>
          <w:rFonts w:ascii="宋体" w:hAnsi="宋体"/>
          <w:b w:val="0"/>
          <w:color w:val="auto"/>
          <w:sz w:val="21"/>
          <w:szCs w:val="21"/>
          <w:highlight w:val="none"/>
        </w:rPr>
      </w:pPr>
      <w:r>
        <w:rPr>
          <w:rFonts w:hint="eastAsia" w:ascii="宋体" w:hAnsi="宋体"/>
          <w:b w:val="0"/>
          <w:color w:val="auto"/>
          <w:sz w:val="21"/>
          <w:szCs w:val="21"/>
          <w:highlight w:val="none"/>
        </w:rPr>
        <w:t>监理标段名称：</w:t>
      </w:r>
      <w:r>
        <w:rPr>
          <w:rFonts w:hint="eastAsia" w:ascii="宋体" w:hAnsi="宋体"/>
          <w:b w:val="0"/>
          <w:color w:val="auto"/>
          <w:sz w:val="21"/>
          <w:szCs w:val="21"/>
          <w:highlight w:val="none"/>
          <w:u w:val="single"/>
        </w:rPr>
        <w:t xml:space="preserve">  </w:t>
      </w:r>
      <w:r>
        <w:rPr>
          <w:rFonts w:hint="eastAsia" w:ascii="宋体" w:hAnsi="宋体" w:cs="宋体"/>
          <w:b w:val="0"/>
          <w:color w:val="auto"/>
          <w:sz w:val="21"/>
          <w:szCs w:val="21"/>
          <w:highlight w:val="none"/>
          <w:u w:val="single"/>
        </w:rPr>
        <w:t xml:space="preserve">                                    </w:t>
      </w:r>
      <w:r>
        <w:rPr>
          <w:rFonts w:hint="eastAsia" w:ascii="宋体" w:hAnsi="宋体"/>
          <w:b w:val="0"/>
          <w:color w:val="auto"/>
          <w:sz w:val="21"/>
          <w:szCs w:val="21"/>
          <w:highlight w:val="none"/>
          <w:u w:val="single"/>
        </w:rPr>
        <w:t xml:space="preserve">             </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1"/>
        <w:gridCol w:w="2803"/>
        <w:gridCol w:w="2565"/>
        <w:gridCol w:w="2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1401" w:type="dxa"/>
            <w:noWrap w:val="0"/>
            <w:vAlign w:val="center"/>
          </w:tcPr>
          <w:p>
            <w:pPr>
              <w:pStyle w:val="3"/>
              <w:spacing w:before="0" w:after="0"/>
              <w:rPr>
                <w:rFonts w:ascii="宋体" w:hAnsi="宋体" w:eastAsia="宋体"/>
                <w:b w:val="0"/>
                <w:color w:val="auto"/>
                <w:sz w:val="21"/>
                <w:szCs w:val="21"/>
                <w:highlight w:val="none"/>
              </w:rPr>
            </w:pPr>
            <w:bookmarkStart w:id="1419" w:name="_Toc488650940"/>
            <w:bookmarkStart w:id="1420" w:name="_Toc487653508"/>
            <w:r>
              <w:rPr>
                <w:rFonts w:ascii="宋体" w:hAnsi="宋体" w:eastAsia="宋体"/>
                <w:b w:val="0"/>
                <w:color w:val="auto"/>
                <w:sz w:val="21"/>
                <w:szCs w:val="21"/>
                <w:highlight w:val="none"/>
              </w:rPr>
              <w:t>序</w:t>
            </w:r>
            <w:r>
              <w:rPr>
                <w:rFonts w:hint="eastAsia" w:ascii="宋体" w:hAnsi="宋体" w:eastAsia="宋体"/>
                <w:b w:val="0"/>
                <w:color w:val="auto"/>
                <w:sz w:val="21"/>
                <w:szCs w:val="21"/>
                <w:highlight w:val="none"/>
              </w:rPr>
              <w:t xml:space="preserve">  </w:t>
            </w:r>
            <w:r>
              <w:rPr>
                <w:rFonts w:ascii="宋体" w:hAnsi="宋体" w:eastAsia="宋体"/>
                <w:b w:val="0"/>
                <w:color w:val="auto"/>
                <w:sz w:val="21"/>
                <w:szCs w:val="21"/>
                <w:highlight w:val="none"/>
              </w:rPr>
              <w:t>号</w:t>
            </w:r>
            <w:bookmarkEnd w:id="1419"/>
            <w:bookmarkEnd w:id="1420"/>
          </w:p>
        </w:tc>
        <w:tc>
          <w:tcPr>
            <w:tcW w:w="2803" w:type="dxa"/>
            <w:noWrap w:val="0"/>
            <w:vAlign w:val="center"/>
          </w:tcPr>
          <w:p>
            <w:pPr>
              <w:pStyle w:val="3"/>
              <w:spacing w:before="0" w:after="0"/>
              <w:rPr>
                <w:rFonts w:ascii="宋体" w:hAnsi="宋体" w:eastAsia="宋体"/>
                <w:b w:val="0"/>
                <w:color w:val="auto"/>
                <w:sz w:val="21"/>
                <w:szCs w:val="21"/>
                <w:highlight w:val="none"/>
              </w:rPr>
            </w:pPr>
            <w:bookmarkStart w:id="1421" w:name="_Toc488650941"/>
            <w:bookmarkStart w:id="1422" w:name="_Toc487653509"/>
            <w:r>
              <w:rPr>
                <w:rFonts w:ascii="宋体" w:hAnsi="宋体" w:eastAsia="宋体"/>
                <w:b w:val="0"/>
                <w:color w:val="auto"/>
                <w:sz w:val="21"/>
                <w:szCs w:val="21"/>
                <w:highlight w:val="none"/>
              </w:rPr>
              <w:t>项目名称</w:t>
            </w:r>
            <w:bookmarkEnd w:id="1421"/>
            <w:bookmarkEnd w:id="1422"/>
          </w:p>
        </w:tc>
        <w:tc>
          <w:tcPr>
            <w:tcW w:w="2565" w:type="dxa"/>
            <w:noWrap w:val="0"/>
            <w:vAlign w:val="center"/>
          </w:tcPr>
          <w:p>
            <w:pPr>
              <w:pStyle w:val="3"/>
              <w:spacing w:before="0" w:after="0"/>
              <w:rPr>
                <w:rFonts w:ascii="宋体" w:hAnsi="宋体" w:eastAsia="宋体"/>
                <w:b w:val="0"/>
                <w:color w:val="auto"/>
                <w:sz w:val="21"/>
                <w:szCs w:val="21"/>
                <w:highlight w:val="none"/>
              </w:rPr>
            </w:pPr>
            <w:bookmarkStart w:id="1423" w:name="_Toc487653510"/>
            <w:bookmarkStart w:id="1424" w:name="_Toc488650942"/>
            <w:r>
              <w:rPr>
                <w:rFonts w:ascii="宋体" w:hAnsi="宋体" w:eastAsia="宋体"/>
                <w:b w:val="0"/>
                <w:color w:val="auto"/>
                <w:sz w:val="21"/>
                <w:szCs w:val="21"/>
                <w:highlight w:val="none"/>
              </w:rPr>
              <w:t>合计（元）</w:t>
            </w:r>
            <w:bookmarkEnd w:id="1423"/>
            <w:bookmarkEnd w:id="1424"/>
          </w:p>
        </w:tc>
        <w:tc>
          <w:tcPr>
            <w:tcW w:w="2360" w:type="dxa"/>
            <w:noWrap w:val="0"/>
            <w:vAlign w:val="center"/>
          </w:tcPr>
          <w:p>
            <w:pPr>
              <w:pStyle w:val="3"/>
              <w:spacing w:before="0" w:after="0"/>
              <w:rPr>
                <w:rFonts w:ascii="宋体" w:hAnsi="宋体" w:eastAsia="宋体"/>
                <w:b w:val="0"/>
                <w:color w:val="auto"/>
                <w:sz w:val="21"/>
                <w:szCs w:val="21"/>
                <w:highlight w:val="none"/>
              </w:rPr>
            </w:pPr>
            <w:bookmarkStart w:id="1425" w:name="_Toc487653511"/>
            <w:bookmarkStart w:id="1426" w:name="_Toc488650943"/>
            <w:r>
              <w:rPr>
                <w:rFonts w:ascii="宋体" w:hAnsi="宋体" w:eastAsia="宋体"/>
                <w:b w:val="0"/>
                <w:color w:val="auto"/>
                <w:sz w:val="21"/>
                <w:szCs w:val="21"/>
                <w:highlight w:val="none"/>
              </w:rPr>
              <w:t>备</w:t>
            </w:r>
            <w:r>
              <w:rPr>
                <w:rFonts w:hint="eastAsia" w:ascii="宋体" w:hAnsi="宋体" w:eastAsia="宋体"/>
                <w:b w:val="0"/>
                <w:color w:val="auto"/>
                <w:sz w:val="21"/>
                <w:szCs w:val="21"/>
                <w:highlight w:val="none"/>
              </w:rPr>
              <w:t xml:space="preserve">  </w:t>
            </w:r>
            <w:r>
              <w:rPr>
                <w:rFonts w:ascii="宋体" w:hAnsi="宋体" w:eastAsia="宋体"/>
                <w:b w:val="0"/>
                <w:color w:val="auto"/>
                <w:sz w:val="21"/>
                <w:szCs w:val="21"/>
                <w:highlight w:val="none"/>
              </w:rPr>
              <w:t>注</w:t>
            </w:r>
            <w:bookmarkEnd w:id="1425"/>
            <w:bookmarkEnd w:id="14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exact"/>
          <w:jc w:val="center"/>
        </w:trPr>
        <w:tc>
          <w:tcPr>
            <w:tcW w:w="1401" w:type="dxa"/>
            <w:noWrap w:val="0"/>
            <w:vAlign w:val="center"/>
          </w:tcPr>
          <w:p>
            <w:pPr>
              <w:pStyle w:val="3"/>
              <w:spacing w:before="0" w:after="0"/>
              <w:rPr>
                <w:rFonts w:ascii="宋体" w:hAnsi="宋体" w:eastAsia="宋体"/>
                <w:b w:val="0"/>
                <w:color w:val="auto"/>
                <w:sz w:val="21"/>
                <w:szCs w:val="21"/>
                <w:highlight w:val="none"/>
              </w:rPr>
            </w:pPr>
            <w:bookmarkStart w:id="1427" w:name="_Toc487653512"/>
            <w:bookmarkStart w:id="1428" w:name="_Toc488650944"/>
            <w:r>
              <w:rPr>
                <w:rFonts w:ascii="宋体" w:hAnsi="宋体" w:eastAsia="宋体"/>
                <w:b w:val="0"/>
                <w:color w:val="auto"/>
                <w:sz w:val="21"/>
                <w:szCs w:val="21"/>
                <w:highlight w:val="none"/>
              </w:rPr>
              <w:t>1</w:t>
            </w:r>
            <w:bookmarkEnd w:id="1427"/>
            <w:bookmarkEnd w:id="1428"/>
          </w:p>
        </w:tc>
        <w:tc>
          <w:tcPr>
            <w:tcW w:w="2803" w:type="dxa"/>
            <w:noWrap w:val="0"/>
            <w:vAlign w:val="center"/>
          </w:tcPr>
          <w:p>
            <w:pPr>
              <w:pStyle w:val="3"/>
              <w:spacing w:before="0" w:after="0"/>
              <w:rPr>
                <w:rFonts w:ascii="宋体" w:hAnsi="宋体" w:eastAsia="宋体"/>
                <w:b w:val="0"/>
                <w:color w:val="auto"/>
                <w:sz w:val="21"/>
                <w:szCs w:val="21"/>
                <w:highlight w:val="none"/>
              </w:rPr>
            </w:pPr>
            <w:bookmarkStart w:id="1429" w:name="_Toc488650945"/>
            <w:bookmarkStart w:id="1430" w:name="_Toc487653513"/>
            <w:r>
              <w:rPr>
                <w:rFonts w:ascii="宋体" w:hAnsi="宋体" w:eastAsia="宋体"/>
                <w:b w:val="0"/>
                <w:color w:val="auto"/>
                <w:sz w:val="21"/>
                <w:szCs w:val="21"/>
                <w:highlight w:val="none"/>
              </w:rPr>
              <w:t>施工监理服务</w:t>
            </w:r>
            <w:r>
              <w:rPr>
                <w:rFonts w:hint="eastAsia" w:ascii="宋体" w:hAnsi="宋体" w:eastAsia="宋体"/>
                <w:b w:val="0"/>
                <w:color w:val="auto"/>
                <w:sz w:val="21"/>
                <w:szCs w:val="21"/>
                <w:highlight w:val="none"/>
              </w:rPr>
              <w:t>（含施工准备、施工、交工验收阶段）</w:t>
            </w:r>
            <w:bookmarkEnd w:id="1429"/>
            <w:bookmarkEnd w:id="1430"/>
          </w:p>
        </w:tc>
        <w:tc>
          <w:tcPr>
            <w:tcW w:w="2565" w:type="dxa"/>
            <w:noWrap w:val="0"/>
            <w:vAlign w:val="center"/>
          </w:tcPr>
          <w:p>
            <w:pPr>
              <w:pStyle w:val="3"/>
              <w:spacing w:before="0" w:after="0"/>
              <w:rPr>
                <w:rFonts w:ascii="宋体" w:hAnsi="宋体" w:eastAsia="宋体"/>
                <w:b w:val="0"/>
                <w:color w:val="auto"/>
                <w:sz w:val="21"/>
                <w:szCs w:val="21"/>
                <w:highlight w:val="none"/>
              </w:rPr>
            </w:pPr>
          </w:p>
        </w:tc>
        <w:tc>
          <w:tcPr>
            <w:tcW w:w="2360" w:type="dxa"/>
            <w:noWrap w:val="0"/>
            <w:vAlign w:val="center"/>
          </w:tcPr>
          <w:p>
            <w:pPr>
              <w:pStyle w:val="3"/>
              <w:spacing w:before="0" w:after="0"/>
              <w:rPr>
                <w:rFonts w:ascii="宋体" w:hAnsi="宋体" w:eastAsia="宋体"/>
                <w:b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1401" w:type="dxa"/>
            <w:noWrap w:val="0"/>
            <w:vAlign w:val="center"/>
          </w:tcPr>
          <w:p>
            <w:pPr>
              <w:pStyle w:val="3"/>
              <w:spacing w:before="0" w:after="0"/>
              <w:rPr>
                <w:rFonts w:ascii="宋体" w:hAnsi="宋体" w:eastAsia="宋体"/>
                <w:b w:val="0"/>
                <w:color w:val="auto"/>
                <w:sz w:val="21"/>
                <w:szCs w:val="21"/>
                <w:highlight w:val="none"/>
              </w:rPr>
            </w:pPr>
            <w:bookmarkStart w:id="1431" w:name="_Toc488650946"/>
            <w:bookmarkStart w:id="1432" w:name="_Toc487653514"/>
            <w:r>
              <w:rPr>
                <w:rFonts w:ascii="宋体" w:hAnsi="宋体" w:eastAsia="宋体"/>
                <w:b w:val="0"/>
                <w:color w:val="auto"/>
                <w:sz w:val="21"/>
                <w:szCs w:val="21"/>
                <w:highlight w:val="none"/>
              </w:rPr>
              <w:t>2</w:t>
            </w:r>
            <w:bookmarkEnd w:id="1431"/>
            <w:bookmarkEnd w:id="1432"/>
          </w:p>
        </w:tc>
        <w:tc>
          <w:tcPr>
            <w:tcW w:w="2803" w:type="dxa"/>
            <w:noWrap w:val="0"/>
            <w:vAlign w:val="center"/>
          </w:tcPr>
          <w:p>
            <w:pPr>
              <w:pStyle w:val="3"/>
              <w:spacing w:before="0" w:after="0"/>
              <w:rPr>
                <w:rFonts w:ascii="宋体" w:hAnsi="宋体" w:eastAsia="宋体"/>
                <w:b w:val="0"/>
                <w:color w:val="auto"/>
                <w:sz w:val="21"/>
                <w:szCs w:val="21"/>
                <w:highlight w:val="none"/>
              </w:rPr>
            </w:pPr>
            <w:bookmarkStart w:id="1433" w:name="_Toc488650947"/>
            <w:bookmarkStart w:id="1434" w:name="_Toc487653515"/>
            <w:r>
              <w:rPr>
                <w:rFonts w:ascii="宋体" w:hAnsi="宋体" w:eastAsia="宋体"/>
                <w:b w:val="0"/>
                <w:color w:val="auto"/>
                <w:sz w:val="21"/>
                <w:szCs w:val="21"/>
                <w:highlight w:val="none"/>
              </w:rPr>
              <w:t>缺陷责任期</w:t>
            </w:r>
            <w:r>
              <w:rPr>
                <w:rFonts w:hint="eastAsia" w:ascii="宋体" w:hAnsi="宋体" w:eastAsia="宋体"/>
                <w:b w:val="0"/>
                <w:color w:val="auto"/>
                <w:sz w:val="21"/>
                <w:szCs w:val="21"/>
                <w:highlight w:val="none"/>
              </w:rPr>
              <w:t>阶段监理服务费（含试运行、竣工验收阶段）</w:t>
            </w:r>
            <w:bookmarkEnd w:id="1433"/>
            <w:bookmarkEnd w:id="1434"/>
          </w:p>
        </w:tc>
        <w:tc>
          <w:tcPr>
            <w:tcW w:w="2565" w:type="dxa"/>
            <w:noWrap w:val="0"/>
            <w:vAlign w:val="center"/>
          </w:tcPr>
          <w:p>
            <w:pPr>
              <w:pStyle w:val="3"/>
              <w:spacing w:before="0" w:after="0"/>
              <w:rPr>
                <w:rFonts w:ascii="宋体" w:hAnsi="宋体" w:eastAsia="宋体"/>
                <w:b w:val="0"/>
                <w:color w:val="auto"/>
                <w:sz w:val="21"/>
                <w:szCs w:val="21"/>
                <w:highlight w:val="none"/>
              </w:rPr>
            </w:pPr>
          </w:p>
        </w:tc>
        <w:tc>
          <w:tcPr>
            <w:tcW w:w="2360" w:type="dxa"/>
            <w:noWrap w:val="0"/>
            <w:vAlign w:val="center"/>
          </w:tcPr>
          <w:p>
            <w:pPr>
              <w:pStyle w:val="3"/>
              <w:spacing w:before="0" w:after="0"/>
              <w:rPr>
                <w:rFonts w:ascii="宋体" w:hAnsi="宋体" w:eastAsia="宋体"/>
                <w:b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1401" w:type="dxa"/>
            <w:noWrap w:val="0"/>
            <w:vAlign w:val="center"/>
          </w:tcPr>
          <w:p>
            <w:pPr>
              <w:pStyle w:val="3"/>
              <w:spacing w:before="0" w:after="0"/>
              <w:rPr>
                <w:rFonts w:ascii="宋体" w:hAnsi="宋体" w:eastAsia="宋体"/>
                <w:b w:val="0"/>
                <w:color w:val="auto"/>
                <w:sz w:val="21"/>
                <w:szCs w:val="21"/>
                <w:highlight w:val="none"/>
              </w:rPr>
            </w:pPr>
            <w:bookmarkStart w:id="1435" w:name="_Toc487653516"/>
            <w:bookmarkStart w:id="1436" w:name="_Toc488650948"/>
            <w:r>
              <w:rPr>
                <w:rFonts w:hint="eastAsia" w:ascii="宋体" w:hAnsi="宋体" w:eastAsia="宋体"/>
                <w:b w:val="0"/>
                <w:color w:val="auto"/>
                <w:sz w:val="21"/>
                <w:szCs w:val="21"/>
                <w:highlight w:val="none"/>
              </w:rPr>
              <w:t>3</w:t>
            </w:r>
            <w:bookmarkEnd w:id="1435"/>
            <w:bookmarkEnd w:id="1436"/>
          </w:p>
        </w:tc>
        <w:tc>
          <w:tcPr>
            <w:tcW w:w="2803" w:type="dxa"/>
            <w:noWrap w:val="0"/>
            <w:vAlign w:val="center"/>
          </w:tcPr>
          <w:p>
            <w:pPr>
              <w:pStyle w:val="3"/>
              <w:spacing w:before="0" w:after="0"/>
              <w:rPr>
                <w:rFonts w:ascii="宋体" w:hAnsi="宋体" w:eastAsia="宋体"/>
                <w:b w:val="0"/>
                <w:color w:val="auto"/>
                <w:sz w:val="21"/>
                <w:szCs w:val="21"/>
                <w:highlight w:val="none"/>
              </w:rPr>
            </w:pPr>
            <w:bookmarkStart w:id="1437" w:name="_Toc488650949"/>
            <w:bookmarkStart w:id="1438" w:name="_Toc487653517"/>
            <w:r>
              <w:rPr>
                <w:rFonts w:hint="eastAsia" w:ascii="宋体" w:hAnsi="宋体" w:eastAsia="宋体"/>
                <w:b w:val="0"/>
                <w:color w:val="auto"/>
                <w:sz w:val="21"/>
                <w:szCs w:val="21"/>
                <w:highlight w:val="none"/>
              </w:rPr>
              <w:t>其他</w:t>
            </w:r>
            <w:bookmarkEnd w:id="1437"/>
            <w:bookmarkEnd w:id="1438"/>
          </w:p>
        </w:tc>
        <w:tc>
          <w:tcPr>
            <w:tcW w:w="2565" w:type="dxa"/>
            <w:noWrap w:val="0"/>
            <w:vAlign w:val="center"/>
          </w:tcPr>
          <w:p>
            <w:pPr>
              <w:pStyle w:val="3"/>
              <w:spacing w:before="0" w:after="0"/>
              <w:rPr>
                <w:rFonts w:ascii="宋体" w:hAnsi="宋体" w:eastAsia="宋体"/>
                <w:b w:val="0"/>
                <w:color w:val="auto"/>
                <w:sz w:val="21"/>
                <w:szCs w:val="21"/>
                <w:highlight w:val="none"/>
              </w:rPr>
            </w:pPr>
          </w:p>
        </w:tc>
        <w:tc>
          <w:tcPr>
            <w:tcW w:w="2360" w:type="dxa"/>
            <w:noWrap w:val="0"/>
            <w:vAlign w:val="center"/>
          </w:tcPr>
          <w:p>
            <w:pPr>
              <w:pStyle w:val="3"/>
              <w:spacing w:before="0" w:after="0"/>
              <w:rPr>
                <w:rFonts w:ascii="宋体" w:hAnsi="宋体" w:eastAsia="宋体"/>
                <w:b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exact"/>
          <w:jc w:val="center"/>
        </w:trPr>
        <w:tc>
          <w:tcPr>
            <w:tcW w:w="1401" w:type="dxa"/>
            <w:noWrap w:val="0"/>
            <w:vAlign w:val="center"/>
          </w:tcPr>
          <w:p>
            <w:pPr>
              <w:pStyle w:val="3"/>
              <w:spacing w:before="0" w:after="0"/>
              <w:rPr>
                <w:rFonts w:ascii="宋体" w:hAnsi="宋体" w:eastAsia="宋体"/>
                <w:b w:val="0"/>
                <w:color w:val="auto"/>
                <w:sz w:val="21"/>
                <w:szCs w:val="21"/>
                <w:highlight w:val="none"/>
              </w:rPr>
            </w:pPr>
            <w:bookmarkStart w:id="1439" w:name="_Toc488650950"/>
            <w:bookmarkStart w:id="1440" w:name="_Toc487653518"/>
            <w:r>
              <w:rPr>
                <w:rFonts w:hint="eastAsia" w:ascii="宋体" w:hAnsi="宋体" w:eastAsia="宋体"/>
                <w:b w:val="0"/>
                <w:color w:val="auto"/>
                <w:sz w:val="21"/>
                <w:szCs w:val="21"/>
                <w:highlight w:val="none"/>
              </w:rPr>
              <w:t>4</w:t>
            </w:r>
            <w:bookmarkEnd w:id="1439"/>
            <w:bookmarkEnd w:id="1440"/>
          </w:p>
        </w:tc>
        <w:tc>
          <w:tcPr>
            <w:tcW w:w="2803" w:type="dxa"/>
            <w:noWrap w:val="0"/>
            <w:vAlign w:val="center"/>
          </w:tcPr>
          <w:p>
            <w:pPr>
              <w:pStyle w:val="3"/>
              <w:spacing w:before="0" w:after="0"/>
              <w:rPr>
                <w:rFonts w:ascii="宋体" w:hAnsi="宋体" w:eastAsia="宋体"/>
                <w:b w:val="0"/>
                <w:color w:val="auto"/>
                <w:sz w:val="21"/>
                <w:szCs w:val="21"/>
                <w:highlight w:val="none"/>
              </w:rPr>
            </w:pPr>
            <w:bookmarkStart w:id="1441" w:name="_Toc487653519"/>
            <w:bookmarkStart w:id="1442" w:name="_Toc488650951"/>
            <w:r>
              <w:rPr>
                <w:rFonts w:ascii="宋体" w:hAnsi="宋体" w:eastAsia="宋体"/>
                <w:b w:val="0"/>
                <w:color w:val="auto"/>
                <w:sz w:val="21"/>
                <w:szCs w:val="21"/>
                <w:highlight w:val="none"/>
              </w:rPr>
              <w:t>监理服务费</w:t>
            </w:r>
            <w:r>
              <w:rPr>
                <w:rFonts w:hint="eastAsia" w:ascii="宋体" w:hAnsi="宋体" w:eastAsia="宋体"/>
                <w:b w:val="0"/>
                <w:color w:val="auto"/>
                <w:sz w:val="21"/>
                <w:szCs w:val="21"/>
                <w:highlight w:val="none"/>
              </w:rPr>
              <w:t>总价</w:t>
            </w:r>
            <w:bookmarkEnd w:id="1441"/>
            <w:bookmarkEnd w:id="1442"/>
          </w:p>
        </w:tc>
        <w:tc>
          <w:tcPr>
            <w:tcW w:w="2565" w:type="dxa"/>
            <w:noWrap w:val="0"/>
            <w:vAlign w:val="center"/>
          </w:tcPr>
          <w:p>
            <w:pPr>
              <w:pStyle w:val="3"/>
              <w:spacing w:before="0" w:after="0"/>
              <w:rPr>
                <w:rFonts w:ascii="宋体" w:hAnsi="宋体" w:eastAsia="宋体"/>
                <w:b w:val="0"/>
                <w:color w:val="auto"/>
                <w:sz w:val="21"/>
                <w:szCs w:val="21"/>
                <w:highlight w:val="none"/>
              </w:rPr>
            </w:pPr>
          </w:p>
        </w:tc>
        <w:tc>
          <w:tcPr>
            <w:tcW w:w="2360" w:type="dxa"/>
            <w:noWrap w:val="0"/>
            <w:vAlign w:val="center"/>
          </w:tcPr>
          <w:p>
            <w:pPr>
              <w:pStyle w:val="3"/>
              <w:spacing w:before="0" w:after="0"/>
              <w:rPr>
                <w:rFonts w:ascii="宋体" w:hAnsi="宋体" w:eastAsia="宋体"/>
                <w:b w:val="0"/>
                <w:color w:val="auto"/>
                <w:sz w:val="21"/>
                <w:szCs w:val="21"/>
                <w:highlight w:val="none"/>
              </w:rPr>
            </w:pPr>
          </w:p>
        </w:tc>
      </w:tr>
    </w:tbl>
    <w:p>
      <w:pPr>
        <w:pStyle w:val="3"/>
        <w:spacing w:before="0" w:after="0"/>
        <w:rPr>
          <w:rFonts w:ascii="宋体" w:hAnsi="宋体" w:eastAsia="宋体"/>
          <w:b w:val="0"/>
          <w:color w:val="auto"/>
          <w:sz w:val="21"/>
          <w:szCs w:val="21"/>
          <w:highlight w:val="none"/>
        </w:rPr>
      </w:pPr>
    </w:p>
    <w:p>
      <w:pPr>
        <w:pStyle w:val="3"/>
        <w:spacing w:before="0" w:after="156"/>
        <w:rPr>
          <w:rFonts w:ascii="宋体" w:hAnsi="宋体" w:eastAsia="宋体"/>
          <w:b w:val="0"/>
          <w:color w:val="auto"/>
          <w:sz w:val="21"/>
          <w:szCs w:val="21"/>
          <w:highlight w:val="none"/>
          <w:u w:val="single"/>
        </w:rPr>
      </w:pPr>
      <w:bookmarkStart w:id="1443" w:name="_Toc488650953"/>
      <w:bookmarkStart w:id="1444" w:name="_Toc487653521"/>
      <w:r>
        <w:rPr>
          <w:rFonts w:hint="eastAsia" w:ascii="宋体" w:hAnsi="宋体" w:eastAsia="宋体"/>
          <w:b w:val="0"/>
          <w:color w:val="auto"/>
          <w:sz w:val="21"/>
          <w:szCs w:val="21"/>
          <w:highlight w:val="none"/>
        </w:rPr>
        <w:t>投标人（盖单位电子章）：</w:t>
      </w:r>
      <w:bookmarkEnd w:id="1443"/>
      <w:bookmarkEnd w:id="1444"/>
      <w:r>
        <w:rPr>
          <w:rFonts w:hint="eastAsia" w:ascii="宋体" w:hAnsi="宋体" w:eastAsia="宋体"/>
          <w:b w:val="0"/>
          <w:color w:val="auto"/>
          <w:sz w:val="21"/>
          <w:szCs w:val="21"/>
          <w:highlight w:val="none"/>
          <w:u w:val="single"/>
        </w:rPr>
        <w:t xml:space="preserve">              </w:t>
      </w:r>
    </w:p>
    <w:p>
      <w:pPr>
        <w:pStyle w:val="3"/>
        <w:spacing w:before="0" w:after="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 xml:space="preserve">                              </w:t>
      </w:r>
      <w:bookmarkStart w:id="1445" w:name="_Toc487653522"/>
      <w:bookmarkStart w:id="1446" w:name="_Toc488650954"/>
      <w:r>
        <w:rPr>
          <w:rFonts w:ascii="宋体" w:hAnsi="宋体" w:eastAsia="宋体"/>
          <w:b w:val="0"/>
          <w:color w:val="auto"/>
          <w:sz w:val="21"/>
          <w:szCs w:val="21"/>
          <w:highlight w:val="none"/>
        </w:rPr>
        <w:t>日</w:t>
      </w:r>
      <w:r>
        <w:rPr>
          <w:rFonts w:hint="eastAsia" w:ascii="宋体" w:hAnsi="宋体" w:eastAsia="宋体"/>
          <w:b w:val="0"/>
          <w:color w:val="auto"/>
          <w:sz w:val="21"/>
          <w:szCs w:val="21"/>
          <w:highlight w:val="none"/>
        </w:rPr>
        <w:t xml:space="preserve">  </w:t>
      </w:r>
      <w:r>
        <w:rPr>
          <w:rFonts w:ascii="宋体" w:hAnsi="宋体" w:eastAsia="宋体"/>
          <w:b w:val="0"/>
          <w:color w:val="auto"/>
          <w:sz w:val="21"/>
          <w:szCs w:val="21"/>
          <w:highlight w:val="none"/>
        </w:rPr>
        <w:t>期：</w:t>
      </w:r>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rPr>
        <w:t>年</w:t>
      </w:r>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rPr>
        <w:t>月</w:t>
      </w:r>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rPr>
        <w:t>日</w:t>
      </w:r>
      <w:bookmarkEnd w:id="1445"/>
      <w:bookmarkEnd w:id="1446"/>
    </w:p>
    <w:p>
      <w:pPr>
        <w:pStyle w:val="3"/>
        <w:spacing w:before="0" w:after="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br w:type="page"/>
      </w:r>
      <w:bookmarkStart w:id="1447" w:name="_Toc487653547"/>
      <w:bookmarkStart w:id="1448" w:name="_Toc488650979"/>
      <w:r>
        <w:rPr>
          <w:rFonts w:hint="eastAsia" w:ascii="宋体" w:hAnsi="宋体" w:eastAsia="宋体"/>
          <w:b w:val="0"/>
          <w:color w:val="auto"/>
          <w:sz w:val="21"/>
          <w:szCs w:val="21"/>
          <w:highlight w:val="none"/>
        </w:rPr>
        <w:t>2.3 缺陷责任期阶段监理服务费计算表</w:t>
      </w:r>
      <w:bookmarkEnd w:id="1447"/>
      <w:bookmarkEnd w:id="1448"/>
    </w:p>
    <w:p>
      <w:pPr>
        <w:pStyle w:val="3"/>
        <w:spacing w:before="0" w:after="0"/>
        <w:ind w:firstLine="420"/>
        <w:rPr>
          <w:rFonts w:ascii="宋体" w:hAnsi="宋体" w:eastAsia="宋体"/>
          <w:b w:val="0"/>
          <w:color w:val="auto"/>
          <w:sz w:val="21"/>
          <w:szCs w:val="21"/>
          <w:highlight w:val="none"/>
        </w:rPr>
      </w:pPr>
      <w:bookmarkStart w:id="1449" w:name="_Toc487653548"/>
      <w:bookmarkStart w:id="1450" w:name="_Toc488650980"/>
      <w:r>
        <w:rPr>
          <w:rFonts w:hint="eastAsia" w:ascii="宋体" w:hAnsi="宋体" w:eastAsia="宋体"/>
          <w:b w:val="0"/>
          <w:color w:val="auto"/>
          <w:sz w:val="21"/>
          <w:szCs w:val="21"/>
          <w:highlight w:val="none"/>
        </w:rPr>
        <w:t>监理标段名称：</w:t>
      </w:r>
      <w:bookmarkEnd w:id="1449"/>
      <w:bookmarkEnd w:id="1450"/>
      <w:r>
        <w:rPr>
          <w:rFonts w:hint="eastAsia" w:ascii="宋体" w:hAnsi="宋体" w:eastAsia="宋体"/>
          <w:b w:val="0"/>
          <w:color w:val="auto"/>
          <w:sz w:val="21"/>
          <w:szCs w:val="21"/>
          <w:highlight w:val="none"/>
          <w:u w:val="single"/>
        </w:rPr>
        <w:t xml:space="preserve">                                        </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559"/>
        <w:gridCol w:w="1471"/>
        <w:gridCol w:w="1364"/>
        <w:gridCol w:w="1417"/>
        <w:gridCol w:w="1327"/>
        <w:gridCol w:w="10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16" w:type="dxa"/>
            <w:noWrap w:val="0"/>
            <w:vAlign w:val="center"/>
          </w:tcPr>
          <w:p>
            <w:pPr>
              <w:pStyle w:val="3"/>
              <w:spacing w:before="0" w:after="0"/>
              <w:rPr>
                <w:rFonts w:ascii="宋体" w:hAnsi="宋体" w:eastAsia="宋体"/>
                <w:b w:val="0"/>
                <w:color w:val="auto"/>
                <w:sz w:val="21"/>
                <w:szCs w:val="21"/>
                <w:highlight w:val="none"/>
              </w:rPr>
            </w:pPr>
            <w:bookmarkStart w:id="1451" w:name="_Toc488650981"/>
            <w:bookmarkStart w:id="1452" w:name="_Toc487653549"/>
            <w:r>
              <w:rPr>
                <w:rFonts w:ascii="宋体" w:hAnsi="宋体" w:eastAsia="宋体"/>
                <w:b w:val="0"/>
                <w:color w:val="auto"/>
                <w:sz w:val="21"/>
                <w:szCs w:val="21"/>
                <w:highlight w:val="none"/>
              </w:rPr>
              <w:t>序号</w:t>
            </w:r>
            <w:bookmarkEnd w:id="1451"/>
            <w:bookmarkEnd w:id="1452"/>
          </w:p>
        </w:tc>
        <w:tc>
          <w:tcPr>
            <w:tcW w:w="1559" w:type="dxa"/>
            <w:noWrap w:val="0"/>
            <w:vAlign w:val="center"/>
          </w:tcPr>
          <w:p>
            <w:pPr>
              <w:pStyle w:val="3"/>
              <w:spacing w:before="0" w:after="0"/>
              <w:rPr>
                <w:rFonts w:ascii="宋体" w:hAnsi="宋体" w:eastAsia="宋体"/>
                <w:b w:val="0"/>
                <w:color w:val="auto"/>
                <w:sz w:val="21"/>
                <w:szCs w:val="21"/>
                <w:highlight w:val="none"/>
              </w:rPr>
            </w:pPr>
            <w:bookmarkStart w:id="1453" w:name="_Toc487653550"/>
            <w:bookmarkStart w:id="1454" w:name="_Toc488650982"/>
            <w:r>
              <w:rPr>
                <w:rFonts w:hint="eastAsia" w:ascii="宋体" w:hAnsi="宋体" w:eastAsia="宋体"/>
                <w:b w:val="0"/>
                <w:color w:val="auto"/>
                <w:sz w:val="21"/>
                <w:szCs w:val="21"/>
                <w:highlight w:val="none"/>
              </w:rPr>
              <w:t>建设工程监理与相关服务人员职级</w:t>
            </w:r>
            <w:bookmarkEnd w:id="1453"/>
            <w:bookmarkEnd w:id="1454"/>
          </w:p>
        </w:tc>
        <w:tc>
          <w:tcPr>
            <w:tcW w:w="1471" w:type="dxa"/>
            <w:noWrap w:val="0"/>
            <w:vAlign w:val="center"/>
          </w:tcPr>
          <w:p>
            <w:pPr>
              <w:pStyle w:val="3"/>
              <w:spacing w:before="0" w:after="0"/>
              <w:rPr>
                <w:rFonts w:ascii="宋体" w:hAnsi="宋体" w:eastAsia="宋体"/>
                <w:b w:val="0"/>
                <w:color w:val="auto"/>
                <w:sz w:val="21"/>
                <w:szCs w:val="21"/>
                <w:highlight w:val="none"/>
              </w:rPr>
            </w:pPr>
            <w:bookmarkStart w:id="1455" w:name="_Toc487653551"/>
            <w:bookmarkStart w:id="1456" w:name="_Toc488650983"/>
            <w:r>
              <w:rPr>
                <w:rFonts w:hint="eastAsia" w:ascii="宋体" w:hAnsi="宋体" w:eastAsia="宋体"/>
                <w:b w:val="0"/>
                <w:color w:val="auto"/>
                <w:sz w:val="21"/>
                <w:szCs w:val="21"/>
                <w:highlight w:val="none"/>
              </w:rPr>
              <w:t>拟投入监理人员数量</w:t>
            </w:r>
            <w:bookmarkEnd w:id="1455"/>
            <w:bookmarkEnd w:id="1456"/>
          </w:p>
        </w:tc>
        <w:tc>
          <w:tcPr>
            <w:tcW w:w="1364" w:type="dxa"/>
            <w:noWrap w:val="0"/>
            <w:vAlign w:val="center"/>
          </w:tcPr>
          <w:p>
            <w:pPr>
              <w:pStyle w:val="3"/>
              <w:spacing w:before="0" w:after="0"/>
              <w:rPr>
                <w:rFonts w:ascii="宋体" w:hAnsi="宋体" w:eastAsia="宋体"/>
                <w:b w:val="0"/>
                <w:color w:val="auto"/>
                <w:sz w:val="21"/>
                <w:szCs w:val="21"/>
                <w:highlight w:val="none"/>
              </w:rPr>
            </w:pPr>
            <w:bookmarkStart w:id="1457" w:name="_Toc488650984"/>
            <w:bookmarkStart w:id="1458" w:name="_Toc487653552"/>
            <w:r>
              <w:rPr>
                <w:rFonts w:hint="eastAsia" w:ascii="宋体" w:hAnsi="宋体" w:eastAsia="宋体"/>
                <w:b w:val="0"/>
                <w:color w:val="auto"/>
                <w:sz w:val="21"/>
                <w:szCs w:val="21"/>
                <w:highlight w:val="none"/>
              </w:rPr>
              <w:t>服务时间（日）</w:t>
            </w:r>
            <w:bookmarkEnd w:id="1457"/>
            <w:bookmarkEnd w:id="1458"/>
          </w:p>
        </w:tc>
        <w:tc>
          <w:tcPr>
            <w:tcW w:w="1417" w:type="dxa"/>
            <w:noWrap w:val="0"/>
            <w:vAlign w:val="center"/>
          </w:tcPr>
          <w:p>
            <w:pPr>
              <w:pStyle w:val="3"/>
              <w:spacing w:before="0" w:after="0"/>
              <w:rPr>
                <w:rFonts w:ascii="宋体" w:hAnsi="宋体" w:eastAsia="宋体"/>
                <w:b w:val="0"/>
                <w:color w:val="auto"/>
                <w:sz w:val="21"/>
                <w:szCs w:val="21"/>
                <w:highlight w:val="none"/>
              </w:rPr>
            </w:pPr>
            <w:bookmarkStart w:id="1459" w:name="_Toc488650985"/>
            <w:bookmarkStart w:id="1460" w:name="_Toc487653553"/>
            <w:r>
              <w:rPr>
                <w:rFonts w:hint="eastAsia" w:ascii="宋体" w:hAnsi="宋体" w:eastAsia="宋体"/>
                <w:b w:val="0"/>
                <w:color w:val="auto"/>
                <w:sz w:val="21"/>
                <w:szCs w:val="21"/>
                <w:highlight w:val="none"/>
              </w:rPr>
              <w:t>工日费用  标准（元）</w:t>
            </w:r>
            <w:bookmarkEnd w:id="1459"/>
            <w:bookmarkEnd w:id="1460"/>
          </w:p>
        </w:tc>
        <w:tc>
          <w:tcPr>
            <w:tcW w:w="1327" w:type="dxa"/>
            <w:noWrap w:val="0"/>
            <w:vAlign w:val="center"/>
          </w:tcPr>
          <w:p>
            <w:pPr>
              <w:pStyle w:val="3"/>
              <w:spacing w:before="0" w:after="0"/>
              <w:rPr>
                <w:rFonts w:ascii="宋体" w:hAnsi="宋体" w:eastAsia="宋体"/>
                <w:b w:val="0"/>
                <w:color w:val="auto"/>
                <w:sz w:val="21"/>
                <w:szCs w:val="21"/>
                <w:highlight w:val="none"/>
              </w:rPr>
            </w:pPr>
            <w:bookmarkStart w:id="1461" w:name="_Toc487653554"/>
            <w:bookmarkStart w:id="1462" w:name="_Toc488650986"/>
            <w:r>
              <w:rPr>
                <w:rFonts w:hint="eastAsia" w:ascii="宋体" w:hAnsi="宋体" w:eastAsia="宋体"/>
                <w:b w:val="0"/>
                <w:color w:val="auto"/>
                <w:sz w:val="21"/>
                <w:szCs w:val="21"/>
                <w:highlight w:val="none"/>
              </w:rPr>
              <w:t>小计（元）</w:t>
            </w:r>
            <w:bookmarkEnd w:id="1461"/>
            <w:bookmarkEnd w:id="1462"/>
          </w:p>
        </w:tc>
        <w:tc>
          <w:tcPr>
            <w:tcW w:w="1046" w:type="dxa"/>
            <w:noWrap w:val="0"/>
            <w:vAlign w:val="center"/>
          </w:tcPr>
          <w:p>
            <w:pPr>
              <w:pStyle w:val="3"/>
              <w:spacing w:before="0" w:after="0"/>
              <w:rPr>
                <w:rFonts w:ascii="宋体" w:hAnsi="宋体" w:eastAsia="宋体"/>
                <w:b w:val="0"/>
                <w:color w:val="auto"/>
                <w:sz w:val="21"/>
                <w:szCs w:val="21"/>
                <w:highlight w:val="none"/>
              </w:rPr>
            </w:pPr>
            <w:bookmarkStart w:id="1463" w:name="_Toc488650987"/>
            <w:bookmarkStart w:id="1464" w:name="_Toc487653555"/>
            <w:r>
              <w:rPr>
                <w:rFonts w:hint="eastAsia" w:ascii="宋体" w:hAnsi="宋体" w:eastAsia="宋体"/>
                <w:b w:val="0"/>
                <w:color w:val="auto"/>
                <w:sz w:val="21"/>
                <w:szCs w:val="21"/>
                <w:highlight w:val="none"/>
              </w:rPr>
              <w:t>备注</w:t>
            </w:r>
            <w:bookmarkEnd w:id="1463"/>
            <w:bookmarkEnd w:id="146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16" w:type="dxa"/>
            <w:noWrap w:val="0"/>
            <w:vAlign w:val="center"/>
          </w:tcPr>
          <w:p>
            <w:pPr>
              <w:pStyle w:val="3"/>
              <w:spacing w:before="0" w:after="0"/>
              <w:rPr>
                <w:rFonts w:ascii="宋体" w:hAnsi="宋体" w:eastAsia="宋体"/>
                <w:b w:val="0"/>
                <w:color w:val="auto"/>
                <w:sz w:val="21"/>
                <w:szCs w:val="21"/>
                <w:highlight w:val="none"/>
              </w:rPr>
            </w:pPr>
            <w:bookmarkStart w:id="1465" w:name="_Toc487653556"/>
            <w:bookmarkStart w:id="1466" w:name="_Toc488650988"/>
            <w:r>
              <w:rPr>
                <w:rFonts w:hint="eastAsia" w:ascii="宋体" w:hAnsi="宋体" w:eastAsia="宋体"/>
                <w:b w:val="0"/>
                <w:color w:val="auto"/>
                <w:sz w:val="21"/>
                <w:szCs w:val="21"/>
                <w:highlight w:val="none"/>
              </w:rPr>
              <w:t>1</w:t>
            </w:r>
            <w:bookmarkEnd w:id="1465"/>
            <w:bookmarkEnd w:id="1466"/>
          </w:p>
        </w:tc>
        <w:tc>
          <w:tcPr>
            <w:tcW w:w="1559" w:type="dxa"/>
            <w:noWrap w:val="0"/>
            <w:vAlign w:val="center"/>
          </w:tcPr>
          <w:p>
            <w:pPr>
              <w:pStyle w:val="3"/>
              <w:spacing w:before="0" w:after="0"/>
              <w:rPr>
                <w:rFonts w:ascii="宋体" w:hAnsi="宋体" w:eastAsia="宋体"/>
                <w:b w:val="0"/>
                <w:color w:val="auto"/>
                <w:sz w:val="21"/>
                <w:szCs w:val="21"/>
                <w:highlight w:val="none"/>
              </w:rPr>
            </w:pPr>
            <w:bookmarkStart w:id="1467" w:name="_Toc488650989"/>
            <w:bookmarkStart w:id="1468" w:name="_Toc487653557"/>
            <w:r>
              <w:rPr>
                <w:rFonts w:hint="eastAsia" w:ascii="宋体" w:hAnsi="宋体" w:eastAsia="宋体"/>
                <w:b w:val="0"/>
                <w:color w:val="auto"/>
                <w:sz w:val="21"/>
                <w:szCs w:val="21"/>
                <w:highlight w:val="none"/>
              </w:rPr>
              <w:t>高级专家</w:t>
            </w:r>
            <w:bookmarkEnd w:id="1467"/>
            <w:bookmarkEnd w:id="1468"/>
          </w:p>
        </w:tc>
        <w:tc>
          <w:tcPr>
            <w:tcW w:w="1471" w:type="dxa"/>
            <w:noWrap w:val="0"/>
            <w:vAlign w:val="center"/>
          </w:tcPr>
          <w:p>
            <w:pPr>
              <w:pStyle w:val="3"/>
              <w:spacing w:before="0" w:after="0"/>
              <w:rPr>
                <w:rFonts w:ascii="宋体" w:hAnsi="宋体" w:eastAsia="宋体"/>
                <w:b w:val="0"/>
                <w:color w:val="auto"/>
                <w:sz w:val="21"/>
                <w:szCs w:val="21"/>
                <w:highlight w:val="none"/>
              </w:rPr>
            </w:pPr>
          </w:p>
        </w:tc>
        <w:tc>
          <w:tcPr>
            <w:tcW w:w="1364" w:type="dxa"/>
            <w:noWrap w:val="0"/>
            <w:vAlign w:val="center"/>
          </w:tcPr>
          <w:p>
            <w:pPr>
              <w:pStyle w:val="3"/>
              <w:spacing w:before="0" w:after="0"/>
              <w:rPr>
                <w:rFonts w:ascii="宋体" w:hAnsi="宋体" w:eastAsia="宋体"/>
                <w:b w:val="0"/>
                <w:color w:val="auto"/>
                <w:sz w:val="21"/>
                <w:szCs w:val="21"/>
                <w:highlight w:val="none"/>
              </w:rPr>
            </w:pPr>
          </w:p>
        </w:tc>
        <w:tc>
          <w:tcPr>
            <w:tcW w:w="1417" w:type="dxa"/>
            <w:noWrap w:val="0"/>
            <w:vAlign w:val="center"/>
          </w:tcPr>
          <w:p>
            <w:pPr>
              <w:pStyle w:val="3"/>
              <w:spacing w:before="0" w:after="0"/>
              <w:rPr>
                <w:rFonts w:ascii="宋体" w:hAnsi="宋体" w:eastAsia="宋体"/>
                <w:b w:val="0"/>
                <w:color w:val="auto"/>
                <w:sz w:val="21"/>
                <w:szCs w:val="21"/>
                <w:highlight w:val="none"/>
              </w:rPr>
            </w:pPr>
          </w:p>
        </w:tc>
        <w:tc>
          <w:tcPr>
            <w:tcW w:w="1327" w:type="dxa"/>
            <w:noWrap w:val="0"/>
            <w:vAlign w:val="center"/>
          </w:tcPr>
          <w:p>
            <w:pPr>
              <w:pStyle w:val="3"/>
              <w:spacing w:before="0" w:after="0"/>
              <w:rPr>
                <w:rFonts w:ascii="宋体" w:hAnsi="宋体" w:eastAsia="宋体"/>
                <w:b w:val="0"/>
                <w:color w:val="auto"/>
                <w:sz w:val="21"/>
                <w:szCs w:val="21"/>
                <w:highlight w:val="none"/>
              </w:rPr>
            </w:pPr>
          </w:p>
        </w:tc>
        <w:tc>
          <w:tcPr>
            <w:tcW w:w="1046" w:type="dxa"/>
            <w:noWrap w:val="0"/>
            <w:vAlign w:val="center"/>
          </w:tcPr>
          <w:p>
            <w:pPr>
              <w:pStyle w:val="3"/>
              <w:spacing w:before="0" w:after="0"/>
              <w:rPr>
                <w:rFonts w:ascii="宋体" w:hAnsi="宋体" w:eastAsia="宋体"/>
                <w:b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16" w:type="dxa"/>
            <w:noWrap w:val="0"/>
            <w:vAlign w:val="center"/>
          </w:tcPr>
          <w:p>
            <w:pPr>
              <w:pStyle w:val="3"/>
              <w:spacing w:before="0" w:after="0"/>
              <w:rPr>
                <w:rFonts w:ascii="宋体" w:hAnsi="宋体" w:eastAsia="宋体"/>
                <w:b w:val="0"/>
                <w:color w:val="auto"/>
                <w:sz w:val="21"/>
                <w:szCs w:val="21"/>
                <w:highlight w:val="none"/>
              </w:rPr>
            </w:pPr>
            <w:bookmarkStart w:id="1469" w:name="_Toc487653558"/>
            <w:bookmarkStart w:id="1470" w:name="_Toc488650990"/>
            <w:r>
              <w:rPr>
                <w:rFonts w:hint="eastAsia" w:ascii="宋体" w:hAnsi="宋体" w:eastAsia="宋体"/>
                <w:b w:val="0"/>
                <w:color w:val="auto"/>
                <w:sz w:val="21"/>
                <w:szCs w:val="21"/>
                <w:highlight w:val="none"/>
              </w:rPr>
              <w:t>2</w:t>
            </w:r>
            <w:bookmarkEnd w:id="1469"/>
            <w:bookmarkEnd w:id="1470"/>
          </w:p>
        </w:tc>
        <w:tc>
          <w:tcPr>
            <w:tcW w:w="1559" w:type="dxa"/>
            <w:noWrap w:val="0"/>
            <w:vAlign w:val="center"/>
          </w:tcPr>
          <w:p>
            <w:pPr>
              <w:pStyle w:val="3"/>
              <w:spacing w:before="0" w:after="0"/>
              <w:rPr>
                <w:rFonts w:ascii="宋体" w:hAnsi="宋体" w:eastAsia="宋体"/>
                <w:b w:val="0"/>
                <w:color w:val="auto"/>
                <w:sz w:val="21"/>
                <w:szCs w:val="21"/>
                <w:highlight w:val="none"/>
              </w:rPr>
            </w:pPr>
            <w:bookmarkStart w:id="1471" w:name="_Toc488650991"/>
            <w:bookmarkStart w:id="1472" w:name="_Toc487653559"/>
            <w:r>
              <w:rPr>
                <w:rFonts w:hint="eastAsia" w:ascii="宋体" w:hAnsi="宋体" w:eastAsia="宋体"/>
                <w:b w:val="0"/>
                <w:color w:val="auto"/>
                <w:sz w:val="21"/>
                <w:szCs w:val="21"/>
                <w:highlight w:val="none"/>
              </w:rPr>
              <w:t>具有高级专业技术职称</w:t>
            </w:r>
            <w:bookmarkEnd w:id="1471"/>
            <w:bookmarkEnd w:id="1472"/>
          </w:p>
        </w:tc>
        <w:tc>
          <w:tcPr>
            <w:tcW w:w="1471" w:type="dxa"/>
            <w:noWrap w:val="0"/>
            <w:vAlign w:val="center"/>
          </w:tcPr>
          <w:p>
            <w:pPr>
              <w:pStyle w:val="3"/>
              <w:spacing w:before="0" w:after="0"/>
              <w:rPr>
                <w:rFonts w:ascii="宋体" w:hAnsi="宋体" w:eastAsia="宋体"/>
                <w:b w:val="0"/>
                <w:color w:val="auto"/>
                <w:sz w:val="21"/>
                <w:szCs w:val="21"/>
                <w:highlight w:val="none"/>
              </w:rPr>
            </w:pPr>
          </w:p>
        </w:tc>
        <w:tc>
          <w:tcPr>
            <w:tcW w:w="1364" w:type="dxa"/>
            <w:noWrap w:val="0"/>
            <w:vAlign w:val="center"/>
          </w:tcPr>
          <w:p>
            <w:pPr>
              <w:pStyle w:val="3"/>
              <w:spacing w:before="0" w:after="0"/>
              <w:rPr>
                <w:rFonts w:ascii="宋体" w:hAnsi="宋体" w:eastAsia="宋体"/>
                <w:b w:val="0"/>
                <w:color w:val="auto"/>
                <w:sz w:val="21"/>
                <w:szCs w:val="21"/>
                <w:highlight w:val="none"/>
              </w:rPr>
            </w:pPr>
          </w:p>
        </w:tc>
        <w:tc>
          <w:tcPr>
            <w:tcW w:w="1417" w:type="dxa"/>
            <w:noWrap w:val="0"/>
            <w:vAlign w:val="center"/>
          </w:tcPr>
          <w:p>
            <w:pPr>
              <w:pStyle w:val="3"/>
              <w:spacing w:before="0" w:after="0"/>
              <w:rPr>
                <w:rFonts w:ascii="宋体" w:hAnsi="宋体" w:eastAsia="宋体"/>
                <w:b w:val="0"/>
                <w:color w:val="auto"/>
                <w:sz w:val="21"/>
                <w:szCs w:val="21"/>
                <w:highlight w:val="none"/>
              </w:rPr>
            </w:pPr>
          </w:p>
        </w:tc>
        <w:tc>
          <w:tcPr>
            <w:tcW w:w="1327" w:type="dxa"/>
            <w:noWrap w:val="0"/>
            <w:vAlign w:val="center"/>
          </w:tcPr>
          <w:p>
            <w:pPr>
              <w:pStyle w:val="3"/>
              <w:spacing w:before="0" w:after="0"/>
              <w:rPr>
                <w:rFonts w:ascii="宋体" w:hAnsi="宋体" w:eastAsia="宋体"/>
                <w:b w:val="0"/>
                <w:color w:val="auto"/>
                <w:sz w:val="21"/>
                <w:szCs w:val="21"/>
                <w:highlight w:val="none"/>
              </w:rPr>
            </w:pPr>
          </w:p>
        </w:tc>
        <w:tc>
          <w:tcPr>
            <w:tcW w:w="1046" w:type="dxa"/>
            <w:noWrap w:val="0"/>
            <w:vAlign w:val="center"/>
          </w:tcPr>
          <w:p>
            <w:pPr>
              <w:pStyle w:val="3"/>
              <w:spacing w:before="0" w:after="0"/>
              <w:rPr>
                <w:rFonts w:ascii="宋体" w:hAnsi="宋体" w:eastAsia="宋体"/>
                <w:b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16" w:type="dxa"/>
            <w:noWrap w:val="0"/>
            <w:vAlign w:val="center"/>
          </w:tcPr>
          <w:p>
            <w:pPr>
              <w:pStyle w:val="3"/>
              <w:spacing w:before="0" w:after="0"/>
              <w:rPr>
                <w:rFonts w:ascii="宋体" w:hAnsi="宋体" w:eastAsia="宋体"/>
                <w:b w:val="0"/>
                <w:color w:val="auto"/>
                <w:sz w:val="21"/>
                <w:szCs w:val="21"/>
                <w:highlight w:val="none"/>
              </w:rPr>
            </w:pPr>
            <w:bookmarkStart w:id="1473" w:name="_Toc488650992"/>
            <w:bookmarkStart w:id="1474" w:name="_Toc487653560"/>
            <w:r>
              <w:rPr>
                <w:rFonts w:hint="eastAsia" w:ascii="宋体" w:hAnsi="宋体" w:eastAsia="宋体"/>
                <w:b w:val="0"/>
                <w:color w:val="auto"/>
                <w:sz w:val="21"/>
                <w:szCs w:val="21"/>
                <w:highlight w:val="none"/>
              </w:rPr>
              <w:t>3</w:t>
            </w:r>
            <w:bookmarkEnd w:id="1473"/>
            <w:bookmarkEnd w:id="1474"/>
          </w:p>
        </w:tc>
        <w:tc>
          <w:tcPr>
            <w:tcW w:w="1559" w:type="dxa"/>
            <w:noWrap w:val="0"/>
            <w:vAlign w:val="center"/>
          </w:tcPr>
          <w:p>
            <w:pPr>
              <w:pStyle w:val="3"/>
              <w:spacing w:before="0" w:after="0"/>
              <w:rPr>
                <w:rFonts w:ascii="宋体" w:hAnsi="宋体" w:eastAsia="宋体"/>
                <w:b w:val="0"/>
                <w:color w:val="auto"/>
                <w:sz w:val="21"/>
                <w:szCs w:val="21"/>
                <w:highlight w:val="none"/>
              </w:rPr>
            </w:pPr>
            <w:bookmarkStart w:id="1475" w:name="_Toc488650993"/>
            <w:bookmarkStart w:id="1476" w:name="_Toc487653561"/>
            <w:r>
              <w:rPr>
                <w:rFonts w:hint="eastAsia" w:ascii="宋体" w:hAnsi="宋体" w:eastAsia="宋体"/>
                <w:b w:val="0"/>
                <w:color w:val="auto"/>
                <w:sz w:val="21"/>
                <w:szCs w:val="21"/>
                <w:highlight w:val="none"/>
              </w:rPr>
              <w:t>具有中级专业技术职称</w:t>
            </w:r>
            <w:bookmarkEnd w:id="1475"/>
            <w:bookmarkEnd w:id="1476"/>
          </w:p>
        </w:tc>
        <w:tc>
          <w:tcPr>
            <w:tcW w:w="1471" w:type="dxa"/>
            <w:noWrap w:val="0"/>
            <w:vAlign w:val="center"/>
          </w:tcPr>
          <w:p>
            <w:pPr>
              <w:pStyle w:val="3"/>
              <w:spacing w:before="0" w:after="0"/>
              <w:rPr>
                <w:rFonts w:ascii="宋体" w:hAnsi="宋体" w:eastAsia="宋体"/>
                <w:b w:val="0"/>
                <w:color w:val="auto"/>
                <w:sz w:val="21"/>
                <w:szCs w:val="21"/>
                <w:highlight w:val="none"/>
              </w:rPr>
            </w:pPr>
          </w:p>
        </w:tc>
        <w:tc>
          <w:tcPr>
            <w:tcW w:w="1364" w:type="dxa"/>
            <w:noWrap w:val="0"/>
            <w:vAlign w:val="center"/>
          </w:tcPr>
          <w:p>
            <w:pPr>
              <w:pStyle w:val="3"/>
              <w:spacing w:before="0" w:after="0"/>
              <w:rPr>
                <w:rFonts w:ascii="宋体" w:hAnsi="宋体" w:eastAsia="宋体"/>
                <w:b w:val="0"/>
                <w:color w:val="auto"/>
                <w:sz w:val="21"/>
                <w:szCs w:val="21"/>
                <w:highlight w:val="none"/>
              </w:rPr>
            </w:pPr>
          </w:p>
        </w:tc>
        <w:tc>
          <w:tcPr>
            <w:tcW w:w="1417" w:type="dxa"/>
            <w:noWrap w:val="0"/>
            <w:vAlign w:val="center"/>
          </w:tcPr>
          <w:p>
            <w:pPr>
              <w:pStyle w:val="3"/>
              <w:spacing w:before="0" w:after="0"/>
              <w:rPr>
                <w:rFonts w:ascii="宋体" w:hAnsi="宋体" w:eastAsia="宋体"/>
                <w:b w:val="0"/>
                <w:color w:val="auto"/>
                <w:sz w:val="21"/>
                <w:szCs w:val="21"/>
                <w:highlight w:val="none"/>
              </w:rPr>
            </w:pPr>
          </w:p>
        </w:tc>
        <w:tc>
          <w:tcPr>
            <w:tcW w:w="1327" w:type="dxa"/>
            <w:noWrap w:val="0"/>
            <w:vAlign w:val="center"/>
          </w:tcPr>
          <w:p>
            <w:pPr>
              <w:pStyle w:val="3"/>
              <w:spacing w:before="0" w:after="0"/>
              <w:rPr>
                <w:rFonts w:ascii="宋体" w:hAnsi="宋体" w:eastAsia="宋体"/>
                <w:b w:val="0"/>
                <w:color w:val="auto"/>
                <w:sz w:val="21"/>
                <w:szCs w:val="21"/>
                <w:highlight w:val="none"/>
              </w:rPr>
            </w:pPr>
          </w:p>
        </w:tc>
        <w:tc>
          <w:tcPr>
            <w:tcW w:w="1046" w:type="dxa"/>
            <w:noWrap w:val="0"/>
            <w:vAlign w:val="center"/>
          </w:tcPr>
          <w:p>
            <w:pPr>
              <w:pStyle w:val="3"/>
              <w:spacing w:before="0" w:after="0"/>
              <w:rPr>
                <w:rFonts w:ascii="宋体" w:hAnsi="宋体" w:eastAsia="宋体"/>
                <w:b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16" w:type="dxa"/>
            <w:noWrap w:val="0"/>
            <w:vAlign w:val="center"/>
          </w:tcPr>
          <w:p>
            <w:pPr>
              <w:pStyle w:val="3"/>
              <w:spacing w:before="0" w:after="0"/>
              <w:rPr>
                <w:rFonts w:ascii="宋体" w:hAnsi="宋体" w:eastAsia="宋体"/>
                <w:b w:val="0"/>
                <w:color w:val="auto"/>
                <w:sz w:val="21"/>
                <w:szCs w:val="21"/>
                <w:highlight w:val="none"/>
              </w:rPr>
            </w:pPr>
            <w:bookmarkStart w:id="1477" w:name="_Toc487653562"/>
            <w:bookmarkStart w:id="1478" w:name="_Toc488650994"/>
            <w:r>
              <w:rPr>
                <w:rFonts w:hint="eastAsia" w:ascii="宋体" w:hAnsi="宋体" w:eastAsia="宋体"/>
                <w:b w:val="0"/>
                <w:color w:val="auto"/>
                <w:sz w:val="21"/>
                <w:szCs w:val="21"/>
                <w:highlight w:val="none"/>
              </w:rPr>
              <w:t>4</w:t>
            </w:r>
            <w:bookmarkEnd w:id="1477"/>
            <w:bookmarkEnd w:id="1478"/>
          </w:p>
        </w:tc>
        <w:tc>
          <w:tcPr>
            <w:tcW w:w="1559" w:type="dxa"/>
            <w:noWrap w:val="0"/>
            <w:vAlign w:val="center"/>
          </w:tcPr>
          <w:p>
            <w:pPr>
              <w:pStyle w:val="3"/>
              <w:spacing w:before="0" w:after="0"/>
              <w:rPr>
                <w:rFonts w:ascii="宋体" w:hAnsi="宋体" w:eastAsia="宋体"/>
                <w:b w:val="0"/>
                <w:color w:val="auto"/>
                <w:sz w:val="21"/>
                <w:szCs w:val="21"/>
                <w:highlight w:val="none"/>
              </w:rPr>
            </w:pPr>
            <w:bookmarkStart w:id="1479" w:name="_Toc487653563"/>
            <w:bookmarkStart w:id="1480" w:name="_Toc488650995"/>
            <w:r>
              <w:rPr>
                <w:rFonts w:hint="eastAsia" w:ascii="宋体" w:hAnsi="宋体" w:eastAsia="宋体"/>
                <w:b w:val="0"/>
                <w:color w:val="auto"/>
                <w:sz w:val="21"/>
                <w:szCs w:val="21"/>
                <w:highlight w:val="none"/>
              </w:rPr>
              <w:t>具有初级专业技术职称</w:t>
            </w:r>
            <w:bookmarkEnd w:id="1479"/>
            <w:bookmarkEnd w:id="1480"/>
          </w:p>
        </w:tc>
        <w:tc>
          <w:tcPr>
            <w:tcW w:w="1471" w:type="dxa"/>
            <w:noWrap w:val="0"/>
            <w:vAlign w:val="center"/>
          </w:tcPr>
          <w:p>
            <w:pPr>
              <w:pStyle w:val="3"/>
              <w:spacing w:before="0" w:after="0"/>
              <w:rPr>
                <w:rFonts w:ascii="宋体" w:hAnsi="宋体" w:eastAsia="宋体"/>
                <w:b w:val="0"/>
                <w:color w:val="auto"/>
                <w:sz w:val="21"/>
                <w:szCs w:val="21"/>
                <w:highlight w:val="none"/>
              </w:rPr>
            </w:pPr>
          </w:p>
        </w:tc>
        <w:tc>
          <w:tcPr>
            <w:tcW w:w="1364" w:type="dxa"/>
            <w:noWrap w:val="0"/>
            <w:vAlign w:val="center"/>
          </w:tcPr>
          <w:p>
            <w:pPr>
              <w:pStyle w:val="3"/>
              <w:spacing w:before="0" w:after="0"/>
              <w:rPr>
                <w:rFonts w:ascii="宋体" w:hAnsi="宋体" w:eastAsia="宋体"/>
                <w:b w:val="0"/>
                <w:color w:val="auto"/>
                <w:sz w:val="21"/>
                <w:szCs w:val="21"/>
                <w:highlight w:val="none"/>
              </w:rPr>
            </w:pPr>
          </w:p>
        </w:tc>
        <w:tc>
          <w:tcPr>
            <w:tcW w:w="1417" w:type="dxa"/>
            <w:noWrap w:val="0"/>
            <w:vAlign w:val="center"/>
          </w:tcPr>
          <w:p>
            <w:pPr>
              <w:pStyle w:val="3"/>
              <w:spacing w:before="0" w:after="0"/>
              <w:rPr>
                <w:rFonts w:ascii="宋体" w:hAnsi="宋体" w:eastAsia="宋体"/>
                <w:b w:val="0"/>
                <w:color w:val="auto"/>
                <w:sz w:val="21"/>
                <w:szCs w:val="21"/>
                <w:highlight w:val="none"/>
              </w:rPr>
            </w:pPr>
          </w:p>
        </w:tc>
        <w:tc>
          <w:tcPr>
            <w:tcW w:w="1327" w:type="dxa"/>
            <w:noWrap w:val="0"/>
            <w:vAlign w:val="center"/>
          </w:tcPr>
          <w:p>
            <w:pPr>
              <w:pStyle w:val="3"/>
              <w:spacing w:before="0" w:after="0"/>
              <w:rPr>
                <w:rFonts w:ascii="宋体" w:hAnsi="宋体" w:eastAsia="宋体"/>
                <w:b w:val="0"/>
                <w:color w:val="auto"/>
                <w:sz w:val="21"/>
                <w:szCs w:val="21"/>
                <w:highlight w:val="none"/>
              </w:rPr>
            </w:pPr>
          </w:p>
        </w:tc>
        <w:tc>
          <w:tcPr>
            <w:tcW w:w="1046" w:type="dxa"/>
            <w:noWrap w:val="0"/>
            <w:vAlign w:val="center"/>
          </w:tcPr>
          <w:p>
            <w:pPr>
              <w:pStyle w:val="3"/>
              <w:spacing w:before="0" w:after="0"/>
              <w:rPr>
                <w:rFonts w:ascii="宋体" w:hAnsi="宋体" w:eastAsia="宋体"/>
                <w:b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16" w:type="dxa"/>
            <w:noWrap w:val="0"/>
            <w:vAlign w:val="center"/>
          </w:tcPr>
          <w:p>
            <w:pPr>
              <w:pStyle w:val="3"/>
              <w:spacing w:before="0" w:after="0"/>
              <w:rPr>
                <w:rFonts w:ascii="宋体" w:hAnsi="宋体" w:eastAsia="宋体"/>
                <w:b w:val="0"/>
                <w:color w:val="auto"/>
                <w:sz w:val="21"/>
                <w:szCs w:val="21"/>
                <w:highlight w:val="none"/>
              </w:rPr>
            </w:pPr>
            <w:bookmarkStart w:id="1481" w:name="_Toc487653564"/>
            <w:bookmarkStart w:id="1482" w:name="_Toc488650996"/>
            <w:r>
              <w:rPr>
                <w:rFonts w:hint="eastAsia" w:ascii="宋体" w:hAnsi="宋体" w:eastAsia="宋体"/>
                <w:b w:val="0"/>
                <w:color w:val="auto"/>
                <w:sz w:val="21"/>
                <w:szCs w:val="21"/>
                <w:highlight w:val="none"/>
              </w:rPr>
              <w:t>5</w:t>
            </w:r>
            <w:bookmarkEnd w:id="1481"/>
            <w:bookmarkEnd w:id="1482"/>
          </w:p>
        </w:tc>
        <w:tc>
          <w:tcPr>
            <w:tcW w:w="1559" w:type="dxa"/>
            <w:noWrap w:val="0"/>
            <w:vAlign w:val="center"/>
          </w:tcPr>
          <w:p>
            <w:pPr>
              <w:pStyle w:val="3"/>
              <w:spacing w:before="0" w:after="0"/>
              <w:rPr>
                <w:rFonts w:ascii="宋体" w:hAnsi="宋体" w:eastAsia="宋体"/>
                <w:b w:val="0"/>
                <w:color w:val="auto"/>
                <w:sz w:val="21"/>
                <w:szCs w:val="21"/>
                <w:highlight w:val="none"/>
              </w:rPr>
            </w:pPr>
          </w:p>
        </w:tc>
        <w:tc>
          <w:tcPr>
            <w:tcW w:w="1471" w:type="dxa"/>
            <w:noWrap w:val="0"/>
            <w:vAlign w:val="center"/>
          </w:tcPr>
          <w:p>
            <w:pPr>
              <w:pStyle w:val="3"/>
              <w:spacing w:before="0" w:after="0"/>
              <w:rPr>
                <w:rFonts w:ascii="宋体" w:hAnsi="宋体" w:eastAsia="宋体"/>
                <w:b w:val="0"/>
                <w:color w:val="auto"/>
                <w:sz w:val="21"/>
                <w:szCs w:val="21"/>
                <w:highlight w:val="none"/>
              </w:rPr>
            </w:pPr>
          </w:p>
        </w:tc>
        <w:tc>
          <w:tcPr>
            <w:tcW w:w="1364" w:type="dxa"/>
            <w:noWrap w:val="0"/>
            <w:vAlign w:val="center"/>
          </w:tcPr>
          <w:p>
            <w:pPr>
              <w:pStyle w:val="3"/>
              <w:spacing w:before="0" w:after="0"/>
              <w:rPr>
                <w:rFonts w:ascii="宋体" w:hAnsi="宋体" w:eastAsia="宋体"/>
                <w:b w:val="0"/>
                <w:color w:val="auto"/>
                <w:sz w:val="21"/>
                <w:szCs w:val="21"/>
                <w:highlight w:val="none"/>
              </w:rPr>
            </w:pPr>
          </w:p>
        </w:tc>
        <w:tc>
          <w:tcPr>
            <w:tcW w:w="1417" w:type="dxa"/>
            <w:noWrap w:val="0"/>
            <w:vAlign w:val="center"/>
          </w:tcPr>
          <w:p>
            <w:pPr>
              <w:pStyle w:val="3"/>
              <w:spacing w:before="0" w:after="0"/>
              <w:rPr>
                <w:rFonts w:ascii="宋体" w:hAnsi="宋体" w:eastAsia="宋体"/>
                <w:b w:val="0"/>
                <w:color w:val="auto"/>
                <w:sz w:val="21"/>
                <w:szCs w:val="21"/>
                <w:highlight w:val="none"/>
              </w:rPr>
            </w:pPr>
          </w:p>
        </w:tc>
        <w:tc>
          <w:tcPr>
            <w:tcW w:w="1327" w:type="dxa"/>
            <w:noWrap w:val="0"/>
            <w:vAlign w:val="center"/>
          </w:tcPr>
          <w:p>
            <w:pPr>
              <w:pStyle w:val="3"/>
              <w:spacing w:before="0" w:after="0"/>
              <w:rPr>
                <w:rFonts w:ascii="宋体" w:hAnsi="宋体" w:eastAsia="宋体"/>
                <w:b w:val="0"/>
                <w:color w:val="auto"/>
                <w:sz w:val="21"/>
                <w:szCs w:val="21"/>
                <w:highlight w:val="none"/>
              </w:rPr>
            </w:pPr>
          </w:p>
        </w:tc>
        <w:tc>
          <w:tcPr>
            <w:tcW w:w="1046" w:type="dxa"/>
            <w:noWrap w:val="0"/>
            <w:vAlign w:val="center"/>
          </w:tcPr>
          <w:p>
            <w:pPr>
              <w:pStyle w:val="3"/>
              <w:spacing w:before="0" w:after="0"/>
              <w:rPr>
                <w:rFonts w:ascii="宋体" w:hAnsi="宋体" w:eastAsia="宋体"/>
                <w:b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16" w:type="dxa"/>
            <w:noWrap w:val="0"/>
            <w:vAlign w:val="center"/>
          </w:tcPr>
          <w:p>
            <w:pPr>
              <w:pStyle w:val="3"/>
              <w:spacing w:before="0" w:after="0"/>
              <w:rPr>
                <w:rFonts w:ascii="宋体" w:hAnsi="宋体" w:eastAsia="宋体"/>
                <w:b w:val="0"/>
                <w:color w:val="auto"/>
                <w:sz w:val="21"/>
                <w:szCs w:val="21"/>
                <w:highlight w:val="none"/>
              </w:rPr>
            </w:pPr>
            <w:bookmarkStart w:id="1483" w:name="_Toc488650997"/>
            <w:bookmarkStart w:id="1484" w:name="_Toc487653565"/>
            <w:r>
              <w:rPr>
                <w:rFonts w:hint="eastAsia" w:ascii="宋体" w:hAnsi="宋体" w:eastAsia="宋体"/>
                <w:b w:val="0"/>
                <w:color w:val="auto"/>
                <w:sz w:val="21"/>
                <w:szCs w:val="21"/>
                <w:highlight w:val="none"/>
              </w:rPr>
              <w:t>…</w:t>
            </w:r>
            <w:bookmarkEnd w:id="1483"/>
            <w:bookmarkEnd w:id="1484"/>
          </w:p>
        </w:tc>
        <w:tc>
          <w:tcPr>
            <w:tcW w:w="1559" w:type="dxa"/>
            <w:noWrap w:val="0"/>
            <w:vAlign w:val="center"/>
          </w:tcPr>
          <w:p>
            <w:pPr>
              <w:pStyle w:val="3"/>
              <w:spacing w:before="0" w:after="0"/>
              <w:rPr>
                <w:rFonts w:ascii="宋体" w:hAnsi="宋体" w:eastAsia="宋体"/>
                <w:b w:val="0"/>
                <w:color w:val="auto"/>
                <w:sz w:val="21"/>
                <w:szCs w:val="21"/>
                <w:highlight w:val="none"/>
              </w:rPr>
            </w:pPr>
          </w:p>
        </w:tc>
        <w:tc>
          <w:tcPr>
            <w:tcW w:w="1471" w:type="dxa"/>
            <w:noWrap w:val="0"/>
            <w:vAlign w:val="center"/>
          </w:tcPr>
          <w:p>
            <w:pPr>
              <w:pStyle w:val="3"/>
              <w:spacing w:before="0" w:after="0"/>
              <w:rPr>
                <w:rFonts w:ascii="宋体" w:hAnsi="宋体" w:eastAsia="宋体"/>
                <w:b w:val="0"/>
                <w:color w:val="auto"/>
                <w:sz w:val="21"/>
                <w:szCs w:val="21"/>
                <w:highlight w:val="none"/>
              </w:rPr>
            </w:pPr>
          </w:p>
        </w:tc>
        <w:tc>
          <w:tcPr>
            <w:tcW w:w="1364" w:type="dxa"/>
            <w:noWrap w:val="0"/>
            <w:vAlign w:val="center"/>
          </w:tcPr>
          <w:p>
            <w:pPr>
              <w:pStyle w:val="3"/>
              <w:spacing w:before="0" w:after="0"/>
              <w:rPr>
                <w:rFonts w:ascii="宋体" w:hAnsi="宋体" w:eastAsia="宋体"/>
                <w:b w:val="0"/>
                <w:color w:val="auto"/>
                <w:sz w:val="21"/>
                <w:szCs w:val="21"/>
                <w:highlight w:val="none"/>
              </w:rPr>
            </w:pPr>
          </w:p>
        </w:tc>
        <w:tc>
          <w:tcPr>
            <w:tcW w:w="1417" w:type="dxa"/>
            <w:noWrap w:val="0"/>
            <w:vAlign w:val="center"/>
          </w:tcPr>
          <w:p>
            <w:pPr>
              <w:pStyle w:val="3"/>
              <w:spacing w:before="0" w:after="0"/>
              <w:rPr>
                <w:rFonts w:ascii="宋体" w:hAnsi="宋体" w:eastAsia="宋体"/>
                <w:b w:val="0"/>
                <w:color w:val="auto"/>
                <w:sz w:val="21"/>
                <w:szCs w:val="21"/>
                <w:highlight w:val="none"/>
              </w:rPr>
            </w:pPr>
          </w:p>
        </w:tc>
        <w:tc>
          <w:tcPr>
            <w:tcW w:w="1327" w:type="dxa"/>
            <w:noWrap w:val="0"/>
            <w:vAlign w:val="center"/>
          </w:tcPr>
          <w:p>
            <w:pPr>
              <w:pStyle w:val="3"/>
              <w:spacing w:before="0" w:after="0"/>
              <w:rPr>
                <w:rFonts w:ascii="宋体" w:hAnsi="宋体" w:eastAsia="宋体"/>
                <w:b w:val="0"/>
                <w:color w:val="auto"/>
                <w:sz w:val="21"/>
                <w:szCs w:val="21"/>
                <w:highlight w:val="none"/>
              </w:rPr>
            </w:pPr>
          </w:p>
        </w:tc>
        <w:tc>
          <w:tcPr>
            <w:tcW w:w="1046" w:type="dxa"/>
            <w:noWrap w:val="0"/>
            <w:vAlign w:val="center"/>
          </w:tcPr>
          <w:p>
            <w:pPr>
              <w:pStyle w:val="3"/>
              <w:spacing w:before="0" w:after="0"/>
              <w:rPr>
                <w:rFonts w:ascii="宋体" w:hAnsi="宋体" w:eastAsia="宋体"/>
                <w:b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6827" w:type="dxa"/>
            <w:gridSpan w:val="5"/>
            <w:noWrap w:val="0"/>
            <w:vAlign w:val="center"/>
          </w:tcPr>
          <w:p>
            <w:pPr>
              <w:pStyle w:val="3"/>
              <w:spacing w:before="0" w:after="0"/>
              <w:rPr>
                <w:rFonts w:ascii="宋体" w:hAnsi="宋体" w:eastAsia="宋体"/>
                <w:b w:val="0"/>
                <w:color w:val="auto"/>
                <w:sz w:val="21"/>
                <w:szCs w:val="21"/>
                <w:highlight w:val="none"/>
              </w:rPr>
            </w:pPr>
            <w:bookmarkStart w:id="1485" w:name="_Toc487653566"/>
            <w:bookmarkStart w:id="1486" w:name="_Toc488650998"/>
            <w:r>
              <w:rPr>
                <w:rFonts w:ascii="宋体" w:hAnsi="宋体" w:eastAsia="宋体"/>
                <w:b w:val="0"/>
                <w:color w:val="auto"/>
                <w:sz w:val="21"/>
                <w:szCs w:val="21"/>
                <w:highlight w:val="none"/>
              </w:rPr>
              <w:t>缺陷责任期</w:t>
            </w:r>
            <w:r>
              <w:rPr>
                <w:rFonts w:hint="eastAsia" w:ascii="宋体" w:hAnsi="宋体" w:eastAsia="宋体"/>
                <w:b w:val="0"/>
                <w:color w:val="auto"/>
                <w:sz w:val="21"/>
                <w:szCs w:val="21"/>
                <w:highlight w:val="none"/>
              </w:rPr>
              <w:t>阶段</w:t>
            </w:r>
            <w:r>
              <w:rPr>
                <w:rFonts w:ascii="宋体" w:hAnsi="宋体" w:eastAsia="宋体"/>
                <w:b w:val="0"/>
                <w:color w:val="auto"/>
                <w:sz w:val="21"/>
                <w:szCs w:val="21"/>
                <w:highlight w:val="none"/>
              </w:rPr>
              <w:t>监理服务费</w:t>
            </w:r>
            <w:r>
              <w:rPr>
                <w:rFonts w:hint="eastAsia" w:ascii="宋体" w:hAnsi="宋体" w:eastAsia="宋体"/>
                <w:b w:val="0"/>
                <w:color w:val="auto"/>
                <w:sz w:val="21"/>
                <w:szCs w:val="21"/>
                <w:highlight w:val="none"/>
              </w:rPr>
              <w:t>合计</w:t>
            </w:r>
            <w:bookmarkEnd w:id="1485"/>
            <w:bookmarkEnd w:id="1486"/>
          </w:p>
        </w:tc>
        <w:tc>
          <w:tcPr>
            <w:tcW w:w="1327" w:type="dxa"/>
            <w:noWrap w:val="0"/>
            <w:vAlign w:val="center"/>
          </w:tcPr>
          <w:p>
            <w:pPr>
              <w:pStyle w:val="3"/>
              <w:spacing w:before="0" w:after="0"/>
              <w:rPr>
                <w:rFonts w:ascii="宋体" w:hAnsi="宋体" w:eastAsia="宋体"/>
                <w:b w:val="0"/>
                <w:color w:val="auto"/>
                <w:sz w:val="21"/>
                <w:szCs w:val="21"/>
                <w:highlight w:val="none"/>
              </w:rPr>
            </w:pPr>
          </w:p>
        </w:tc>
        <w:tc>
          <w:tcPr>
            <w:tcW w:w="1046" w:type="dxa"/>
            <w:noWrap w:val="0"/>
            <w:vAlign w:val="center"/>
          </w:tcPr>
          <w:p>
            <w:pPr>
              <w:pStyle w:val="3"/>
              <w:spacing w:before="0" w:after="0"/>
              <w:rPr>
                <w:rFonts w:ascii="宋体" w:hAnsi="宋体" w:eastAsia="宋体"/>
                <w:b w:val="0"/>
                <w:color w:val="auto"/>
                <w:sz w:val="21"/>
                <w:szCs w:val="21"/>
                <w:highlight w:val="none"/>
              </w:rPr>
            </w:pPr>
          </w:p>
        </w:tc>
      </w:tr>
    </w:tbl>
    <w:p>
      <w:pPr>
        <w:pStyle w:val="3"/>
        <w:spacing w:before="0" w:after="0"/>
        <w:rPr>
          <w:rFonts w:ascii="宋体" w:hAnsi="宋体" w:eastAsia="宋体"/>
          <w:b w:val="0"/>
          <w:color w:val="auto"/>
          <w:sz w:val="21"/>
          <w:szCs w:val="21"/>
          <w:highlight w:val="none"/>
        </w:rPr>
      </w:pPr>
    </w:p>
    <w:p>
      <w:pPr>
        <w:pStyle w:val="3"/>
        <w:spacing w:before="0" w:after="0"/>
        <w:rPr>
          <w:rFonts w:ascii="宋体" w:hAnsi="宋体" w:eastAsia="宋体"/>
          <w:b w:val="0"/>
          <w:color w:val="auto"/>
          <w:sz w:val="21"/>
          <w:szCs w:val="21"/>
          <w:highlight w:val="none"/>
          <w:u w:val="single"/>
        </w:rPr>
      </w:pPr>
      <w:bookmarkStart w:id="1487" w:name="_Toc487653567"/>
      <w:bookmarkStart w:id="1488" w:name="_Toc488650999"/>
      <w:r>
        <w:rPr>
          <w:rFonts w:ascii="宋体" w:hAnsi="宋体" w:eastAsia="宋体"/>
          <w:b w:val="0"/>
          <w:color w:val="auto"/>
          <w:sz w:val="21"/>
          <w:szCs w:val="21"/>
          <w:highlight w:val="none"/>
        </w:rPr>
        <w:t>投标人（盖</w:t>
      </w:r>
      <w:r>
        <w:rPr>
          <w:rFonts w:hint="eastAsia" w:ascii="宋体" w:hAnsi="宋体" w:eastAsia="宋体"/>
          <w:b w:val="0"/>
          <w:color w:val="auto"/>
          <w:sz w:val="21"/>
          <w:szCs w:val="21"/>
          <w:highlight w:val="none"/>
        </w:rPr>
        <w:t>单位电子</w:t>
      </w:r>
      <w:r>
        <w:rPr>
          <w:rFonts w:ascii="宋体" w:hAnsi="宋体" w:eastAsia="宋体"/>
          <w:b w:val="0"/>
          <w:color w:val="auto"/>
          <w:sz w:val="21"/>
          <w:szCs w:val="21"/>
          <w:highlight w:val="none"/>
        </w:rPr>
        <w:t>章）：</w:t>
      </w:r>
      <w:bookmarkEnd w:id="1487"/>
      <w:bookmarkEnd w:id="1488"/>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u w:val="single"/>
        </w:rPr>
        <w:t xml:space="preserve">   </w:t>
      </w:r>
    </w:p>
    <w:p>
      <w:pPr>
        <w:pStyle w:val="3"/>
        <w:spacing w:before="0" w:after="0"/>
        <w:rPr>
          <w:rFonts w:ascii="宋体" w:hAnsi="宋体" w:eastAsia="宋体"/>
          <w:b w:val="0"/>
          <w:color w:val="auto"/>
          <w:sz w:val="21"/>
          <w:szCs w:val="21"/>
          <w:highlight w:val="none"/>
          <w:u w:val="single"/>
        </w:rPr>
      </w:pPr>
    </w:p>
    <w:p>
      <w:pPr>
        <w:pStyle w:val="3"/>
        <w:spacing w:before="0" w:after="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 xml:space="preserve">                                                </w:t>
      </w:r>
      <w:bookmarkStart w:id="1489" w:name="_Toc487653570"/>
      <w:bookmarkStart w:id="1490" w:name="_Toc488651002"/>
      <w:r>
        <w:rPr>
          <w:rFonts w:ascii="宋体" w:hAnsi="宋体" w:eastAsia="宋体"/>
          <w:b w:val="0"/>
          <w:color w:val="auto"/>
          <w:sz w:val="21"/>
          <w:szCs w:val="21"/>
          <w:highlight w:val="none"/>
        </w:rPr>
        <w:t>日</w:t>
      </w:r>
      <w:r>
        <w:rPr>
          <w:rFonts w:hint="eastAsia" w:ascii="宋体" w:hAnsi="宋体" w:eastAsia="宋体"/>
          <w:b w:val="0"/>
          <w:color w:val="auto"/>
          <w:sz w:val="21"/>
          <w:szCs w:val="21"/>
          <w:highlight w:val="none"/>
        </w:rPr>
        <w:t xml:space="preserve">  </w:t>
      </w:r>
      <w:r>
        <w:rPr>
          <w:rFonts w:ascii="宋体" w:hAnsi="宋体" w:eastAsia="宋体"/>
          <w:b w:val="0"/>
          <w:color w:val="auto"/>
          <w:sz w:val="21"/>
          <w:szCs w:val="21"/>
          <w:highlight w:val="none"/>
        </w:rPr>
        <w:t>期：</w:t>
      </w:r>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rPr>
        <w:t>年</w:t>
      </w:r>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rPr>
        <w:t>月</w:t>
      </w:r>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rPr>
        <w:t>日</w:t>
      </w:r>
      <w:bookmarkEnd w:id="1489"/>
      <w:bookmarkEnd w:id="1490"/>
    </w:p>
    <w:p>
      <w:pPr>
        <w:pStyle w:val="3"/>
        <w:rPr>
          <w:color w:val="auto"/>
          <w:sz w:val="24"/>
          <w:highlight w:val="none"/>
        </w:rPr>
      </w:pPr>
    </w:p>
    <w:p>
      <w:pPr>
        <w:pStyle w:val="3"/>
        <w:rPr>
          <w:color w:val="auto"/>
          <w:sz w:val="24"/>
          <w:highlight w:val="none"/>
        </w:rPr>
      </w:pPr>
    </w:p>
    <w:p>
      <w:pPr>
        <w:pStyle w:val="3"/>
        <w:rPr>
          <w:color w:val="auto"/>
          <w:sz w:val="24"/>
          <w:highlight w:val="none"/>
        </w:rPr>
      </w:pPr>
    </w:p>
    <w:p>
      <w:pPr>
        <w:pStyle w:val="3"/>
        <w:rPr>
          <w:color w:val="auto"/>
          <w:sz w:val="24"/>
          <w:highlight w:val="none"/>
        </w:rPr>
      </w:pPr>
    </w:p>
    <w:p>
      <w:pPr>
        <w:pStyle w:val="3"/>
        <w:rPr>
          <w:color w:val="auto"/>
          <w:sz w:val="24"/>
          <w:highlight w:val="none"/>
        </w:rPr>
      </w:pPr>
    </w:p>
    <w:p>
      <w:pPr>
        <w:pStyle w:val="3"/>
        <w:rPr>
          <w:color w:val="auto"/>
          <w:sz w:val="24"/>
          <w:highlight w:val="none"/>
        </w:rPr>
      </w:pPr>
    </w:p>
    <w:p>
      <w:pPr>
        <w:pStyle w:val="3"/>
        <w:rPr>
          <w:color w:val="auto"/>
          <w:highlight w:val="none"/>
        </w:rPr>
      </w:pPr>
      <w:bookmarkStart w:id="1491" w:name="_Toc341805329"/>
      <w:bookmarkStart w:id="1492" w:name="_Toc330384503"/>
      <w:bookmarkStart w:id="1493" w:name="_Toc488651004"/>
      <w:r>
        <w:rPr>
          <w:rFonts w:hint="eastAsia"/>
          <w:color w:val="auto"/>
          <w:highlight w:val="none"/>
        </w:rPr>
        <w:t>第七章  图纸和资料</w:t>
      </w:r>
      <w:bookmarkEnd w:id="1491"/>
      <w:bookmarkEnd w:id="1492"/>
      <w:bookmarkEnd w:id="1493"/>
    </w:p>
    <w:p>
      <w:pPr>
        <w:jc w:val="center"/>
        <w:rPr>
          <w:color w:val="auto"/>
          <w:sz w:val="36"/>
          <w:highlight w:val="none"/>
        </w:rPr>
      </w:pPr>
      <w:bookmarkStart w:id="1494" w:name="_Toc487653573"/>
      <w:r>
        <w:rPr>
          <w:rFonts w:hint="eastAsia"/>
          <w:color w:val="auto"/>
          <w:highlight w:val="none"/>
        </w:rPr>
        <w:t>（附件上传</w:t>
      </w:r>
      <w:bookmarkEnd w:id="1494"/>
      <w:r>
        <w:rPr>
          <w:rFonts w:hint="eastAsia"/>
          <w:color w:val="auto"/>
          <w:highlight w:val="none"/>
        </w:rPr>
        <w:t>）</w:t>
      </w:r>
    </w:p>
    <w:p>
      <w:pPr>
        <w:pStyle w:val="3"/>
        <w:rPr>
          <w:rFonts w:ascii="黑体"/>
          <w:color w:val="auto"/>
          <w:highlight w:val="none"/>
        </w:rPr>
      </w:pPr>
      <w:bookmarkStart w:id="1495" w:name="_Toc341805332"/>
      <w:bookmarkStart w:id="1496" w:name="_Toc330384498"/>
    </w:p>
    <w:bookmarkEnd w:id="1495"/>
    <w:bookmarkEnd w:id="1496"/>
    <w:p>
      <w:pPr>
        <w:pStyle w:val="3"/>
        <w:rPr>
          <w:color w:val="auto"/>
          <w:highlight w:val="none"/>
        </w:rPr>
      </w:pPr>
      <w:bookmarkStart w:id="1497" w:name="_Toc330384499"/>
      <w:bookmarkStart w:id="1498" w:name="_Toc341805333"/>
      <w:bookmarkStart w:id="1499" w:name="_Toc488651006"/>
      <w:r>
        <w:rPr>
          <w:rFonts w:hint="eastAsia"/>
          <w:color w:val="auto"/>
          <w:highlight w:val="none"/>
        </w:rPr>
        <w:t xml:space="preserve">第八章  </w:t>
      </w:r>
      <w:bookmarkEnd w:id="1497"/>
      <w:r>
        <w:rPr>
          <w:rFonts w:hint="eastAsia"/>
          <w:color w:val="auto"/>
          <w:highlight w:val="none"/>
        </w:rPr>
        <w:t>技术标准</w:t>
      </w:r>
      <w:bookmarkEnd w:id="1498"/>
      <w:bookmarkEnd w:id="1499"/>
    </w:p>
    <w:p>
      <w:pPr>
        <w:pStyle w:val="3"/>
        <w:spacing w:before="0" w:after="0" w:line="360" w:lineRule="auto"/>
        <w:ind w:firstLine="420"/>
        <w:jc w:val="left"/>
        <w:rPr>
          <w:rFonts w:ascii="宋体" w:hAnsi="宋体" w:eastAsia="宋体"/>
          <w:b w:val="0"/>
          <w:color w:val="auto"/>
          <w:sz w:val="21"/>
          <w:szCs w:val="21"/>
          <w:highlight w:val="none"/>
        </w:rPr>
      </w:pPr>
      <w:bookmarkStart w:id="1500" w:name="_Toc487653576"/>
      <w:bookmarkStart w:id="1501" w:name="_Toc488651007"/>
      <w:r>
        <w:rPr>
          <w:rFonts w:hint="eastAsia" w:ascii="宋体" w:hAnsi="宋体" w:eastAsia="宋体"/>
          <w:b w:val="0"/>
          <w:color w:val="auto"/>
          <w:sz w:val="21"/>
          <w:szCs w:val="21"/>
          <w:highlight w:val="none"/>
        </w:rPr>
        <w:t>本合同执行以下</w:t>
      </w:r>
      <w:bookmarkEnd w:id="1500"/>
      <w:r>
        <w:rPr>
          <w:rFonts w:hint="eastAsia" w:ascii="宋体" w:hAnsi="宋体" w:eastAsia="宋体"/>
          <w:b w:val="0"/>
          <w:color w:val="auto"/>
          <w:sz w:val="21"/>
          <w:szCs w:val="21"/>
          <w:highlight w:val="none"/>
        </w:rPr>
        <w:t>国家、地方有关工程建设的现行规范、技术标准，主要如下（不限于）</w:t>
      </w:r>
      <w:bookmarkEnd w:id="1501"/>
    </w:p>
    <w:p>
      <w:pPr>
        <w:pStyle w:val="3"/>
        <w:spacing w:before="0" w:after="0" w:line="360" w:lineRule="auto"/>
        <w:ind w:firstLine="420"/>
        <w:jc w:val="left"/>
        <w:rPr>
          <w:rFonts w:ascii="宋体" w:hAnsi="宋体" w:eastAsia="宋体" w:cs="宋体"/>
          <w:b w:val="0"/>
          <w:color w:val="auto"/>
          <w:sz w:val="21"/>
          <w:szCs w:val="21"/>
          <w:highlight w:val="none"/>
        </w:rPr>
      </w:pPr>
      <w:bookmarkStart w:id="1502" w:name="_Toc487653577"/>
      <w:bookmarkStart w:id="1503" w:name="_Toc488651008"/>
      <w:r>
        <w:rPr>
          <w:rFonts w:hint="eastAsia" w:ascii="宋体" w:hAnsi="宋体" w:eastAsia="宋体"/>
          <w:b w:val="0"/>
          <w:color w:val="auto"/>
          <w:sz w:val="21"/>
          <w:szCs w:val="21"/>
          <w:highlight w:val="none"/>
        </w:rPr>
        <w:t>1.《水运工程施工监理规范》（JTS252－2015）、《设备工程监理规范》（</w:t>
      </w:r>
      <w:r>
        <w:rPr>
          <w:rFonts w:ascii="宋体" w:hAnsi="宋体" w:eastAsia="宋体"/>
          <w:b w:val="0"/>
          <w:color w:val="auto"/>
          <w:sz w:val="21"/>
          <w:szCs w:val="21"/>
          <w:highlight w:val="none"/>
        </w:rPr>
        <w:t>GB/T26429-2010</w:t>
      </w:r>
      <w:r>
        <w:rPr>
          <w:rFonts w:hint="eastAsia" w:ascii="宋体" w:hAnsi="宋体" w:eastAsia="宋体"/>
          <w:b w:val="0"/>
          <w:color w:val="auto"/>
          <w:sz w:val="21"/>
          <w:szCs w:val="21"/>
          <w:highlight w:val="none"/>
        </w:rPr>
        <w:t>）、《水运工程机电专项监理规范》（JTS252-1——2013）；</w:t>
      </w:r>
      <w:bookmarkEnd w:id="1502"/>
      <w:bookmarkEnd w:id="1503"/>
    </w:p>
    <w:p>
      <w:pPr>
        <w:pStyle w:val="3"/>
        <w:spacing w:before="0" w:after="0" w:line="360" w:lineRule="auto"/>
        <w:ind w:firstLine="420"/>
        <w:jc w:val="left"/>
        <w:rPr>
          <w:rFonts w:ascii="宋体" w:hAnsi="宋体" w:eastAsia="宋体"/>
          <w:b w:val="0"/>
          <w:color w:val="auto"/>
          <w:sz w:val="21"/>
          <w:szCs w:val="21"/>
          <w:highlight w:val="none"/>
        </w:rPr>
      </w:pPr>
      <w:bookmarkStart w:id="1504" w:name="_Toc488651009"/>
      <w:bookmarkStart w:id="1505" w:name="_Toc487653578"/>
      <w:r>
        <w:rPr>
          <w:rFonts w:hint="eastAsia" w:ascii="宋体" w:hAnsi="宋体" w:eastAsia="宋体"/>
          <w:b w:val="0"/>
          <w:color w:val="auto"/>
          <w:sz w:val="21"/>
          <w:szCs w:val="21"/>
          <w:highlight w:val="none"/>
        </w:rPr>
        <w:t>2.《水运工程质量检验标准》（JTS257-2008）；</w:t>
      </w:r>
      <w:bookmarkEnd w:id="1504"/>
      <w:bookmarkEnd w:id="1505"/>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3、《水运工程施工通则》；</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4、《海上用太阳能电池组件总规范》；</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5、《中国海区水上助航标志》；</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6、《航标灯光信号颜色》；</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7、《爆破安全规程》；</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8、《浮标锚链》；</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9、《水运工程质量检验标准》；</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10、《水运工程测量质量检验标准》；</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11、《水运工程施工安全防护技术规范》；</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12、《水运工程爆破技术规范》；</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13、《中华人民共和国水上水下活动通航安全管理规定》；</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14、《海区浮动助航标志配布导则》；</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15、《疏浚与吹填工程设计规范》；</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16、《疏浚与吹填工程施工规范》；</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17、《水运工程测量规范》；</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18、《港口与航道水文规范》；</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19、《水运工程岩土勘察规范》；</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20、水运工程施工通则；</w:t>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"file:///G:\\水运工程标准规范\\《水运工程混凝土施工规范》(JTS202-2011).pdf" </w:instrText>
      </w:r>
      <w:r>
        <w:rPr>
          <w:rFonts w:ascii="宋体" w:hAnsi="宋体"/>
          <w:color w:val="auto"/>
          <w:szCs w:val="21"/>
          <w:highlight w:val="none"/>
        </w:rPr>
        <w:fldChar w:fldCharType="separate"/>
      </w:r>
      <w:r>
        <w:rPr>
          <w:rFonts w:hint="eastAsia" w:ascii="宋体" w:hAnsi="宋体"/>
          <w:color w:val="auto"/>
          <w:szCs w:val="21"/>
          <w:highlight w:val="none"/>
        </w:rPr>
        <w:t>《水运工程混凝土施工规范》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"file:///G:\\水运工程标准规范\\《水运工程施工安全防护技术规范》(JTS205-1-2008).pdf" </w:instrText>
      </w:r>
      <w:r>
        <w:rPr>
          <w:rFonts w:ascii="宋体" w:hAnsi="宋体"/>
          <w:color w:val="auto"/>
          <w:szCs w:val="21"/>
          <w:highlight w:val="none"/>
        </w:rPr>
        <w:fldChar w:fldCharType="separate"/>
      </w:r>
      <w:r>
        <w:rPr>
          <w:rFonts w:hint="eastAsia" w:ascii="宋体" w:hAnsi="宋体"/>
          <w:color w:val="auto"/>
          <w:szCs w:val="21"/>
          <w:highlight w:val="none"/>
        </w:rPr>
        <w:t>《水运工程施工安全防护技术规范》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"file:///G:\\水运工程标准规范\\《水运工程大体积混凝土温度裂缝控制技术规程》(JTS%20202-1-2010%20).pdf" </w:instrText>
      </w:r>
      <w:r>
        <w:rPr>
          <w:rFonts w:ascii="宋体" w:hAnsi="宋体"/>
          <w:color w:val="auto"/>
          <w:szCs w:val="21"/>
          <w:highlight w:val="none"/>
        </w:rPr>
        <w:fldChar w:fldCharType="separate"/>
      </w:r>
      <w:r>
        <w:rPr>
          <w:rFonts w:hint="eastAsia" w:ascii="宋体" w:hAnsi="宋体"/>
          <w:color w:val="auto"/>
          <w:szCs w:val="21"/>
          <w:highlight w:val="none"/>
        </w:rPr>
        <w:t>《水运工程大体积混凝土温度裂缝控制技术规程》</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"file:///G:\\水运工程标准规范\\《水运工程塑料排水板应用技术规程》(JTS206-1-2009).pdf" </w:instrText>
      </w:r>
      <w:r>
        <w:rPr>
          <w:rFonts w:ascii="宋体" w:hAnsi="宋体"/>
          <w:color w:val="auto"/>
          <w:szCs w:val="21"/>
          <w:highlight w:val="none"/>
        </w:rPr>
        <w:fldChar w:fldCharType="separate"/>
      </w:r>
      <w:r>
        <w:rPr>
          <w:rFonts w:hint="eastAsia" w:ascii="宋体" w:hAnsi="宋体"/>
          <w:color w:val="auto"/>
          <w:szCs w:val="21"/>
          <w:highlight w:val="none"/>
        </w:rPr>
        <w:t>《水运工程塑料排水板应用技术规程》</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"file:///G:\\水运工程标准规范\\《航道整治工程施工规范》（JTS%20224-2016）.pdf" </w:instrText>
      </w:r>
      <w:r>
        <w:rPr>
          <w:rFonts w:ascii="宋体" w:hAnsi="宋体"/>
          <w:color w:val="auto"/>
          <w:szCs w:val="21"/>
          <w:highlight w:val="none"/>
        </w:rPr>
        <w:fldChar w:fldCharType="separate"/>
      </w:r>
      <w:r>
        <w:rPr>
          <w:rFonts w:hint="eastAsia" w:ascii="宋体" w:hAnsi="宋体"/>
          <w:color w:val="auto"/>
          <w:szCs w:val="21"/>
          <w:highlight w:val="none"/>
        </w:rPr>
        <w:t>《航道整治工程施工规范》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"file:///G:\\水运工程标准规范\\《港口工程碎石桩复合地基设计与施工规程》(JTJ%20246-2004%20).pdf" </w:instrText>
      </w:r>
      <w:r>
        <w:rPr>
          <w:rFonts w:ascii="宋体" w:hAnsi="宋体"/>
          <w:color w:val="auto"/>
          <w:szCs w:val="21"/>
          <w:highlight w:val="none"/>
        </w:rPr>
        <w:fldChar w:fldCharType="separate"/>
      </w:r>
      <w:r>
        <w:rPr>
          <w:rFonts w:hint="eastAsia" w:ascii="宋体" w:hAnsi="宋体"/>
          <w:color w:val="auto"/>
          <w:szCs w:val="21"/>
          <w:highlight w:val="none"/>
        </w:rPr>
        <w:t>《港口工程碎石桩复合地基设计与施工规程》</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27、</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"file:///G:\\水运工程标准规范\\《海港工程混凝土结构防腐蚀技术规范》(JTJ275-2000).pdf" </w:instrText>
      </w:r>
      <w:r>
        <w:rPr>
          <w:rFonts w:ascii="宋体" w:hAnsi="宋体"/>
          <w:color w:val="auto"/>
          <w:szCs w:val="21"/>
          <w:highlight w:val="none"/>
        </w:rPr>
        <w:fldChar w:fldCharType="separate"/>
      </w:r>
      <w:r>
        <w:rPr>
          <w:rFonts w:hint="eastAsia" w:ascii="宋体" w:hAnsi="宋体"/>
          <w:color w:val="auto"/>
          <w:szCs w:val="21"/>
          <w:highlight w:val="none"/>
        </w:rPr>
        <w:t>《海港工程混凝土结构防腐蚀技术规范》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28、</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"file:///G:\\水运工程标准规范\\《海港工程钢结构防腐蚀技术规范》(JTS%20153-3-2007).pdf" </w:instrText>
      </w:r>
      <w:r>
        <w:rPr>
          <w:rFonts w:ascii="宋体" w:hAnsi="宋体"/>
          <w:color w:val="auto"/>
          <w:szCs w:val="21"/>
          <w:highlight w:val="none"/>
        </w:rPr>
        <w:fldChar w:fldCharType="separate"/>
      </w:r>
      <w:r>
        <w:rPr>
          <w:rFonts w:hint="eastAsia" w:ascii="宋体" w:hAnsi="宋体"/>
          <w:color w:val="auto"/>
          <w:szCs w:val="21"/>
          <w:highlight w:val="none"/>
        </w:rPr>
        <w:t>《海港工程钢结构防腐蚀技术规范》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"file:///G:\\水运工程标准规范\\《港口及航道护岸工程设计与施工规范》(JTJ%20300-2000).pdf" </w:instrText>
      </w:r>
      <w:r>
        <w:rPr>
          <w:rFonts w:ascii="宋体" w:hAnsi="宋体"/>
          <w:color w:val="auto"/>
          <w:szCs w:val="21"/>
          <w:highlight w:val="none"/>
        </w:rPr>
        <w:fldChar w:fldCharType="separate"/>
      </w:r>
      <w:r>
        <w:rPr>
          <w:rFonts w:hint="eastAsia" w:ascii="宋体" w:hAnsi="宋体"/>
          <w:color w:val="auto"/>
          <w:szCs w:val="21"/>
          <w:highlight w:val="none"/>
        </w:rPr>
        <w:t>《港口及航道护岸工程设计与施工规范》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"file:///G:\\水运工程标准规范\\《河港工程总体设计规范》(JTJ212-2006).pdf" </w:instrText>
      </w:r>
      <w:r>
        <w:rPr>
          <w:rFonts w:ascii="宋体" w:hAnsi="宋体"/>
          <w:color w:val="auto"/>
          <w:szCs w:val="21"/>
          <w:highlight w:val="none"/>
        </w:rPr>
        <w:fldChar w:fldCharType="separate"/>
      </w:r>
      <w:r>
        <w:rPr>
          <w:rFonts w:hint="eastAsia" w:ascii="宋体" w:hAnsi="宋体"/>
          <w:color w:val="auto"/>
          <w:szCs w:val="21"/>
          <w:highlight w:val="none"/>
        </w:rPr>
        <w:t>《河港工程总体设计规范》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31、</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"file:///G:\\水运工程标准规范\\《高桩码头设计与施工规范》(JTS167-1-2010).pdf" </w:instrText>
      </w:r>
      <w:r>
        <w:rPr>
          <w:rFonts w:ascii="宋体" w:hAnsi="宋体"/>
          <w:color w:val="auto"/>
          <w:szCs w:val="21"/>
          <w:highlight w:val="none"/>
        </w:rPr>
        <w:fldChar w:fldCharType="separate"/>
      </w:r>
      <w:r>
        <w:rPr>
          <w:rFonts w:hint="eastAsia" w:ascii="宋体" w:hAnsi="宋体"/>
          <w:color w:val="auto"/>
          <w:szCs w:val="21"/>
          <w:highlight w:val="none"/>
        </w:rPr>
        <w:t>《高桩码头设计与施工规范》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"file:///G:\\水运工程标准规范\\《重力式码头设计与施工规范》(JTS%20167-2-2009).pdf" </w:instrText>
      </w:r>
      <w:r>
        <w:rPr>
          <w:rFonts w:ascii="宋体" w:hAnsi="宋体"/>
          <w:color w:val="auto"/>
          <w:szCs w:val="21"/>
          <w:highlight w:val="none"/>
        </w:rPr>
        <w:fldChar w:fldCharType="separate"/>
      </w:r>
      <w:r>
        <w:rPr>
          <w:rFonts w:hint="eastAsia" w:ascii="宋体" w:hAnsi="宋体"/>
          <w:color w:val="auto"/>
          <w:szCs w:val="21"/>
          <w:highlight w:val="none"/>
        </w:rPr>
        <w:t>《重力式码头设计与施工规范》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33、</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"file:///G:\\水运工程标准规范\\《板桩码头设计与施工规范》(JTS%20167-3-2009).pdf" </w:instrText>
      </w:r>
      <w:r>
        <w:rPr>
          <w:rFonts w:ascii="宋体" w:hAnsi="宋体"/>
          <w:color w:val="auto"/>
          <w:szCs w:val="21"/>
          <w:highlight w:val="none"/>
        </w:rPr>
        <w:fldChar w:fldCharType="separate"/>
      </w:r>
      <w:r>
        <w:rPr>
          <w:rFonts w:hint="eastAsia" w:ascii="宋体" w:hAnsi="宋体"/>
          <w:color w:val="auto"/>
          <w:szCs w:val="21"/>
          <w:highlight w:val="none"/>
        </w:rPr>
        <w:t>《板桩码头设计与施工规范》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34、</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"file:///G:\\水运工程标准规范\\《斜坡码头及浮码头设计与施工规范》(JTJ294-98%20).pdf" </w:instrText>
      </w:r>
      <w:r>
        <w:rPr>
          <w:rFonts w:ascii="宋体" w:hAnsi="宋体"/>
          <w:color w:val="auto"/>
          <w:szCs w:val="21"/>
          <w:highlight w:val="none"/>
        </w:rPr>
        <w:fldChar w:fldCharType="separate"/>
      </w:r>
      <w:r>
        <w:rPr>
          <w:rFonts w:hint="eastAsia" w:ascii="宋体" w:hAnsi="宋体"/>
          <w:color w:val="auto"/>
          <w:szCs w:val="21"/>
          <w:highlight w:val="none"/>
        </w:rPr>
        <w:t>《斜坡码头及浮码头设计与施工规范》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"file:///G:\\水运工程标准规范\\《港口工程桩式柔性靠船设施设计与施工技术规程》(JTJ279-2005).pdf" </w:instrText>
      </w:r>
      <w:r>
        <w:rPr>
          <w:rFonts w:ascii="宋体" w:hAnsi="宋体"/>
          <w:color w:val="auto"/>
          <w:szCs w:val="21"/>
          <w:highlight w:val="none"/>
        </w:rPr>
        <w:fldChar w:fldCharType="separate"/>
      </w:r>
      <w:r>
        <w:rPr>
          <w:rFonts w:hint="eastAsia" w:ascii="宋体" w:hAnsi="宋体"/>
          <w:color w:val="auto"/>
          <w:szCs w:val="21"/>
          <w:highlight w:val="none"/>
        </w:rPr>
        <w:t>《港口工程桩式柔性靠船设施设计与施工技术规程》</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36、</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"file:///G:\\水运工程标准规范\\《斜坡码头及浮码头设计与施工规范》(JTJ294-98%20).pdf" </w:instrText>
      </w:r>
      <w:r>
        <w:rPr>
          <w:rFonts w:ascii="宋体" w:hAnsi="宋体"/>
          <w:color w:val="auto"/>
          <w:szCs w:val="21"/>
          <w:highlight w:val="none"/>
        </w:rPr>
        <w:fldChar w:fldCharType="separate"/>
      </w:r>
      <w:r>
        <w:rPr>
          <w:rFonts w:hint="eastAsia" w:ascii="宋体" w:hAnsi="宋体"/>
          <w:color w:val="auto"/>
          <w:szCs w:val="21"/>
          <w:highlight w:val="none"/>
        </w:rPr>
        <w:t>《斜坡码头及浮码头设计与施工规范》</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37、</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"file:///G:\\水运工程标准规范\\《港口工程灌注桩设计与施工规程》(JTJ248-2001).pdf" </w:instrText>
      </w:r>
      <w:r>
        <w:rPr>
          <w:rFonts w:ascii="宋体" w:hAnsi="宋体"/>
          <w:color w:val="auto"/>
          <w:szCs w:val="21"/>
          <w:highlight w:val="none"/>
        </w:rPr>
        <w:fldChar w:fldCharType="separate"/>
      </w:r>
      <w:r>
        <w:rPr>
          <w:rFonts w:hint="eastAsia" w:ascii="宋体" w:hAnsi="宋体"/>
          <w:color w:val="auto"/>
          <w:szCs w:val="21"/>
          <w:highlight w:val="none"/>
        </w:rPr>
        <w:t>《港口工程灌注桩设计与施工规程》</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38、</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"file:///G:\\水运工程标准规范\\《港口工程嵌岩桩设计与施工规程》(JTJ285-2000).pdf" </w:instrText>
      </w:r>
      <w:r>
        <w:rPr>
          <w:rFonts w:ascii="宋体" w:hAnsi="宋体"/>
          <w:color w:val="auto"/>
          <w:szCs w:val="21"/>
          <w:highlight w:val="none"/>
        </w:rPr>
        <w:fldChar w:fldCharType="separate"/>
      </w:r>
      <w:r>
        <w:rPr>
          <w:rFonts w:hint="eastAsia" w:ascii="宋体" w:hAnsi="宋体"/>
          <w:color w:val="auto"/>
          <w:szCs w:val="21"/>
          <w:highlight w:val="none"/>
        </w:rPr>
        <w:t>《港口工程嵌岩桩设计与施工规程》</w:t>
      </w:r>
      <w:r>
        <w:rPr>
          <w:rFonts w:ascii="宋体" w:hAnsi="宋体"/>
          <w:color w:val="auto"/>
          <w:szCs w:val="21"/>
          <w:highlight w:val="none"/>
        </w:rPr>
        <w:fldChar w:fldCharType="end"/>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39、</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"file:///G:\\水运工程标准规范\\《格形钢板桩码头设计与施工规程》(JTJ293-98).pdf" </w:instrText>
      </w:r>
      <w:r>
        <w:rPr>
          <w:rFonts w:ascii="宋体" w:hAnsi="宋体"/>
          <w:color w:val="auto"/>
          <w:szCs w:val="21"/>
          <w:highlight w:val="none"/>
        </w:rPr>
        <w:fldChar w:fldCharType="separate"/>
      </w:r>
      <w:r>
        <w:rPr>
          <w:rFonts w:hint="eastAsia" w:ascii="宋体" w:hAnsi="宋体"/>
          <w:color w:val="auto"/>
          <w:szCs w:val="21"/>
          <w:highlight w:val="none"/>
        </w:rPr>
        <w:t>《格型钢板桩码头设计与施工规程》</w:t>
      </w:r>
      <w:r>
        <w:rPr>
          <w:rFonts w:ascii="宋体" w:hAnsi="宋体"/>
          <w:color w:val="auto"/>
          <w:szCs w:val="21"/>
          <w:highlight w:val="none"/>
        </w:rPr>
        <w:fldChar w:fldCharType="end"/>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40、</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"file:///G:\\水运工程标准规范\\《港口道路、堆场铺面设计与施工规范》(JTJ296-96).PDF" </w:instrText>
      </w:r>
      <w:r>
        <w:rPr>
          <w:rFonts w:ascii="宋体" w:hAnsi="宋体"/>
          <w:color w:val="auto"/>
          <w:szCs w:val="21"/>
          <w:highlight w:val="none"/>
        </w:rPr>
        <w:fldChar w:fldCharType="separate"/>
      </w:r>
      <w:r>
        <w:rPr>
          <w:rFonts w:hint="eastAsia" w:ascii="宋体" w:hAnsi="宋体"/>
          <w:color w:val="auto"/>
          <w:szCs w:val="21"/>
          <w:highlight w:val="none"/>
        </w:rPr>
        <w:t>《港口道路、堆场铺面设计与施工规范》</w:t>
      </w:r>
      <w:r>
        <w:rPr>
          <w:rFonts w:ascii="宋体" w:hAnsi="宋体"/>
          <w:color w:val="auto"/>
          <w:szCs w:val="21"/>
          <w:highlight w:val="none"/>
        </w:rPr>
        <w:fldChar w:fldCharType="end"/>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41、《海港总体设计规范》；</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42、《工程建设标准强制性条文》(水运工程部分)；</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43、《水运工程设计通则》</w:t>
      </w:r>
    </w:p>
    <w:p>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44、</w:t>
      </w:r>
      <w:bookmarkStart w:id="1506" w:name="_Toc487653600"/>
      <w:r>
        <w:rPr>
          <w:rFonts w:hint="eastAsia" w:ascii="宋体" w:hAnsi="宋体"/>
          <w:color w:val="auto"/>
          <w:szCs w:val="21"/>
          <w:highlight w:val="none"/>
        </w:rPr>
        <w:t>其他现行规范及标准。</w:t>
      </w:r>
      <w:bookmarkEnd w:id="1506"/>
    </w:p>
    <w:p>
      <w:pPr>
        <w:pStyle w:val="3"/>
        <w:spacing w:before="0" w:after="0" w:line="360" w:lineRule="auto"/>
        <w:ind w:firstLine="420"/>
        <w:jc w:val="left"/>
        <w:rPr>
          <w:rFonts w:ascii="宋体" w:hAnsi="宋体" w:eastAsia="宋体"/>
          <w:b w:val="0"/>
          <w:color w:val="auto"/>
          <w:sz w:val="21"/>
          <w:szCs w:val="21"/>
          <w:highlight w:val="none"/>
        </w:rPr>
      </w:pPr>
      <w:bookmarkStart w:id="1507" w:name="_Toc488651010"/>
      <w:bookmarkStart w:id="1508" w:name="_Toc487653601"/>
      <w:r>
        <w:rPr>
          <w:rFonts w:hint="eastAsia" w:ascii="宋体" w:hAnsi="宋体" w:eastAsia="宋体"/>
          <w:b w:val="0"/>
          <w:color w:val="auto"/>
          <w:sz w:val="21"/>
          <w:szCs w:val="21"/>
          <w:highlight w:val="none"/>
        </w:rPr>
        <w:t>以上标准均按照最新版执行。</w:t>
      </w:r>
      <w:r>
        <w:rPr>
          <w:rFonts w:ascii="宋体" w:hAnsi="宋体" w:eastAsia="宋体"/>
          <w:b w:val="0"/>
          <w:color w:val="auto"/>
          <w:sz w:val="21"/>
          <w:szCs w:val="21"/>
          <w:highlight w:val="none"/>
        </w:rPr>
        <w:t>在合同履行期间，若上述标准有修改或重新颁布，监理单位</w:t>
      </w:r>
      <w:r>
        <w:rPr>
          <w:rFonts w:hint="eastAsia" w:ascii="宋体" w:hAnsi="宋体" w:eastAsia="宋体"/>
          <w:b w:val="0"/>
          <w:color w:val="auto"/>
          <w:sz w:val="21"/>
          <w:szCs w:val="21"/>
          <w:highlight w:val="none"/>
        </w:rPr>
        <w:t>将及时收集</w:t>
      </w:r>
      <w:r>
        <w:rPr>
          <w:rFonts w:ascii="宋体" w:hAnsi="宋体" w:eastAsia="宋体"/>
          <w:b w:val="0"/>
          <w:color w:val="auto"/>
          <w:sz w:val="21"/>
          <w:szCs w:val="21"/>
          <w:highlight w:val="none"/>
        </w:rPr>
        <w:t>新的标准或规范</w:t>
      </w:r>
      <w:r>
        <w:rPr>
          <w:rFonts w:hint="eastAsia" w:ascii="宋体" w:hAnsi="宋体" w:eastAsia="宋体"/>
          <w:b w:val="0"/>
          <w:color w:val="auto"/>
          <w:sz w:val="21"/>
          <w:szCs w:val="21"/>
          <w:highlight w:val="none"/>
        </w:rPr>
        <w:t>，并按照其执行</w:t>
      </w:r>
      <w:r>
        <w:rPr>
          <w:rFonts w:ascii="宋体" w:hAnsi="宋体" w:eastAsia="宋体"/>
          <w:b w:val="0"/>
          <w:color w:val="auto"/>
          <w:sz w:val="21"/>
          <w:szCs w:val="21"/>
          <w:highlight w:val="none"/>
        </w:rPr>
        <w:t>。</w:t>
      </w:r>
      <w:bookmarkEnd w:id="1507"/>
      <w:bookmarkEnd w:id="1508"/>
    </w:p>
    <w:p>
      <w:pPr>
        <w:pStyle w:val="3"/>
        <w:rPr>
          <w:color w:val="auto"/>
          <w:sz w:val="24"/>
          <w:highlight w:val="none"/>
        </w:rPr>
        <w:sectPr>
          <w:footerReference r:id="rId16" w:type="default"/>
          <w:pgSz w:w="11906" w:h="16838"/>
          <w:pgMar w:top="1418" w:right="1304" w:bottom="1418" w:left="1304" w:header="851" w:footer="992" w:gutter="0"/>
          <w:cols w:space="720" w:num="1"/>
          <w:docGrid w:type="lines" w:linePitch="312" w:charSpace="0"/>
        </w:sectPr>
      </w:pPr>
    </w:p>
    <w:p>
      <w:pPr>
        <w:pStyle w:val="3"/>
        <w:rPr>
          <w:color w:val="auto"/>
          <w:sz w:val="24"/>
          <w:highlight w:val="none"/>
        </w:rPr>
      </w:pPr>
    </w:p>
    <w:p>
      <w:pPr>
        <w:pStyle w:val="3"/>
        <w:rPr>
          <w:color w:val="auto"/>
          <w:highlight w:val="none"/>
        </w:rPr>
      </w:pPr>
      <w:bookmarkStart w:id="1509" w:name="_Toc341805335"/>
      <w:bookmarkStart w:id="1510" w:name="_Toc488651012"/>
      <w:r>
        <w:rPr>
          <w:rFonts w:hint="eastAsia"/>
          <w:color w:val="auto"/>
          <w:highlight w:val="none"/>
        </w:rPr>
        <w:t xml:space="preserve">第九章  </w:t>
      </w:r>
      <w:r>
        <w:rPr>
          <w:color w:val="auto"/>
          <w:highlight w:val="none"/>
        </w:rPr>
        <w:t>投标文件格式</w:t>
      </w:r>
      <w:bookmarkEnd w:id="1509"/>
      <w:bookmarkEnd w:id="1510"/>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pStyle w:val="3"/>
        <w:pageBreakBefore/>
        <w:rPr>
          <w:color w:val="auto"/>
          <w:highlight w:val="none"/>
        </w:rPr>
      </w:pPr>
      <w:bookmarkStart w:id="1511" w:name="_Toc487653604"/>
      <w:bookmarkStart w:id="1512" w:name="_Toc487291625"/>
      <w:bookmarkStart w:id="1513" w:name="_Toc341805336"/>
      <w:bookmarkStart w:id="1514" w:name="_Toc488651013"/>
      <w:r>
        <w:rPr>
          <w:rFonts w:hint="eastAsia"/>
          <w:color w:val="auto"/>
          <w:highlight w:val="none"/>
        </w:rPr>
        <w:t>封面样式</w:t>
      </w:r>
      <w:bookmarkEnd w:id="1511"/>
      <w:bookmarkEnd w:id="1512"/>
      <w:bookmarkEnd w:id="1513"/>
      <w:bookmarkEnd w:id="1514"/>
    </w:p>
    <w:p>
      <w:pPr>
        <w:spacing w:line="500" w:lineRule="exact"/>
        <w:ind w:firstLine="1120" w:firstLineChars="400"/>
        <w:rPr>
          <w:rFonts w:ascii="黑体" w:eastAsia="黑体"/>
          <w:color w:val="auto"/>
          <w:sz w:val="28"/>
          <w:szCs w:val="28"/>
          <w:highlight w:val="none"/>
          <w:u w:val="single"/>
        </w:rPr>
      </w:pPr>
    </w:p>
    <w:p>
      <w:pPr>
        <w:spacing w:line="500" w:lineRule="exact"/>
        <w:ind w:firstLine="1120" w:firstLineChars="400"/>
        <w:rPr>
          <w:rFonts w:ascii="黑体" w:eastAsia="黑体"/>
          <w:color w:val="auto"/>
          <w:sz w:val="28"/>
          <w:szCs w:val="28"/>
          <w:highlight w:val="none"/>
          <w:u w:val="single"/>
        </w:rPr>
      </w:pPr>
    </w:p>
    <w:p>
      <w:pPr>
        <w:spacing w:line="500" w:lineRule="exact"/>
        <w:ind w:firstLine="1400" w:firstLineChars="500"/>
        <w:rPr>
          <w:rFonts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w:t>
      </w:r>
      <w:r>
        <w:rPr>
          <w:rFonts w:ascii="黑体" w:eastAsia="黑体"/>
          <w:color w:val="auto"/>
          <w:sz w:val="28"/>
          <w:szCs w:val="28"/>
          <w:highlight w:val="none"/>
        </w:rPr>
        <w:t>项目</w:t>
      </w:r>
      <w:r>
        <w:rPr>
          <w:rFonts w:hint="eastAsia" w:ascii="黑体" w:eastAsia="黑体"/>
          <w:color w:val="auto"/>
          <w:sz w:val="28"/>
          <w:szCs w:val="28"/>
          <w:highlight w:val="none"/>
        </w:rPr>
        <w:t>名称）</w:t>
      </w:r>
      <w:r>
        <w:rPr>
          <w:rFonts w:ascii="黑体" w:eastAsia="黑体"/>
          <w:color w:val="auto"/>
          <w:sz w:val="28"/>
          <w:szCs w:val="28"/>
          <w:highlight w:val="none"/>
        </w:rPr>
        <w:t>施工</w:t>
      </w:r>
      <w:r>
        <w:rPr>
          <w:rFonts w:hint="eastAsia" w:ascii="黑体" w:eastAsia="黑体"/>
          <w:color w:val="auto"/>
          <w:sz w:val="28"/>
          <w:szCs w:val="28"/>
          <w:highlight w:val="none"/>
        </w:rPr>
        <w:t>监理</w:t>
      </w:r>
      <w:r>
        <w:rPr>
          <w:rFonts w:ascii="黑体" w:eastAsia="黑体"/>
          <w:color w:val="auto"/>
          <w:sz w:val="28"/>
          <w:szCs w:val="28"/>
          <w:highlight w:val="none"/>
        </w:rPr>
        <w:t>招标</w:t>
      </w:r>
    </w:p>
    <w:p>
      <w:pPr>
        <w:spacing w:line="500" w:lineRule="exact"/>
        <w:ind w:firstLine="1120" w:firstLineChars="400"/>
        <w:rPr>
          <w:rFonts w:ascii="黑体" w:eastAsia="黑体"/>
          <w:color w:val="auto"/>
          <w:sz w:val="28"/>
          <w:szCs w:val="28"/>
          <w:highlight w:val="none"/>
        </w:rPr>
      </w:pPr>
    </w:p>
    <w:p>
      <w:pPr>
        <w:spacing w:line="500" w:lineRule="exact"/>
        <w:ind w:firstLine="1120" w:firstLineChars="400"/>
        <w:rPr>
          <w:rFonts w:ascii="黑体" w:eastAsia="黑体"/>
          <w:color w:val="auto"/>
          <w:sz w:val="28"/>
          <w:szCs w:val="28"/>
          <w:highlight w:val="none"/>
        </w:rPr>
      </w:pPr>
    </w:p>
    <w:p>
      <w:pPr>
        <w:spacing w:line="500" w:lineRule="exact"/>
        <w:ind w:firstLine="1120" w:firstLineChars="400"/>
        <w:rPr>
          <w:rFonts w:ascii="黑体" w:eastAsia="黑体"/>
          <w:color w:val="auto"/>
          <w:sz w:val="28"/>
          <w:szCs w:val="28"/>
          <w:highlight w:val="none"/>
        </w:rPr>
      </w:pPr>
    </w:p>
    <w:p>
      <w:pPr>
        <w:spacing w:line="500" w:lineRule="exact"/>
        <w:jc w:val="center"/>
        <w:rPr>
          <w:rFonts w:ascii="黑体" w:eastAsia="黑体"/>
          <w:color w:val="auto"/>
          <w:sz w:val="44"/>
          <w:szCs w:val="44"/>
          <w:highlight w:val="none"/>
        </w:rPr>
      </w:pPr>
      <w:r>
        <w:rPr>
          <w:rFonts w:hint="eastAsia" w:ascii="黑体" w:eastAsia="黑体"/>
          <w:color w:val="auto"/>
          <w:sz w:val="44"/>
          <w:szCs w:val="44"/>
          <w:highlight w:val="none"/>
        </w:rPr>
        <w:t>投  标  文  件</w:t>
      </w:r>
    </w:p>
    <w:p>
      <w:pPr>
        <w:spacing w:line="500" w:lineRule="exact"/>
        <w:jc w:val="center"/>
        <w:rPr>
          <w:rFonts w:ascii="黑体" w:eastAsia="黑体"/>
          <w:color w:val="auto"/>
          <w:sz w:val="44"/>
          <w:szCs w:val="44"/>
          <w:highlight w:val="none"/>
        </w:rPr>
      </w:pPr>
    </w:p>
    <w:p>
      <w:pPr>
        <w:spacing w:line="500" w:lineRule="exact"/>
        <w:jc w:val="center"/>
        <w:rPr>
          <w:rFonts w:ascii="黑体" w:eastAsia="黑体"/>
          <w:color w:val="auto"/>
          <w:sz w:val="44"/>
          <w:szCs w:val="44"/>
          <w:highlight w:val="none"/>
        </w:rPr>
      </w:pPr>
    </w:p>
    <w:p>
      <w:pPr>
        <w:spacing w:line="500" w:lineRule="exact"/>
        <w:jc w:val="center"/>
        <w:rPr>
          <w:rFonts w:ascii="黑体" w:eastAsia="黑体"/>
          <w:color w:val="auto"/>
          <w:sz w:val="44"/>
          <w:szCs w:val="44"/>
          <w:highlight w:val="none"/>
        </w:rPr>
      </w:pPr>
    </w:p>
    <w:p>
      <w:pPr>
        <w:spacing w:line="500" w:lineRule="exact"/>
        <w:jc w:val="center"/>
        <w:rPr>
          <w:rFonts w:ascii="黑体" w:eastAsia="黑体"/>
          <w:color w:val="auto"/>
          <w:sz w:val="44"/>
          <w:szCs w:val="44"/>
          <w:highlight w:val="none"/>
        </w:rPr>
      </w:pPr>
    </w:p>
    <w:p>
      <w:pPr>
        <w:spacing w:line="500" w:lineRule="exact"/>
        <w:jc w:val="center"/>
        <w:rPr>
          <w:rFonts w:ascii="黑体" w:eastAsia="黑体"/>
          <w:color w:val="auto"/>
          <w:sz w:val="44"/>
          <w:szCs w:val="44"/>
          <w:highlight w:val="none"/>
        </w:rPr>
      </w:pPr>
    </w:p>
    <w:p>
      <w:pPr>
        <w:spacing w:line="500" w:lineRule="exact"/>
        <w:jc w:val="center"/>
        <w:rPr>
          <w:rFonts w:ascii="黑体" w:eastAsia="黑体"/>
          <w:color w:val="auto"/>
          <w:sz w:val="44"/>
          <w:szCs w:val="44"/>
          <w:highlight w:val="none"/>
        </w:rPr>
      </w:pPr>
    </w:p>
    <w:p>
      <w:pPr>
        <w:spacing w:line="500" w:lineRule="exact"/>
        <w:jc w:val="center"/>
        <w:rPr>
          <w:rFonts w:ascii="黑体" w:eastAsia="黑体"/>
          <w:color w:val="auto"/>
          <w:sz w:val="44"/>
          <w:szCs w:val="44"/>
          <w:highlight w:val="none"/>
        </w:rPr>
      </w:pPr>
    </w:p>
    <w:p>
      <w:pPr>
        <w:spacing w:line="500" w:lineRule="exact"/>
        <w:jc w:val="center"/>
        <w:rPr>
          <w:rFonts w:ascii="黑体" w:eastAsia="黑体"/>
          <w:color w:val="auto"/>
          <w:sz w:val="44"/>
          <w:szCs w:val="44"/>
          <w:highlight w:val="none"/>
        </w:rPr>
      </w:pPr>
    </w:p>
    <w:p>
      <w:pPr>
        <w:spacing w:line="500" w:lineRule="exact"/>
        <w:jc w:val="center"/>
        <w:rPr>
          <w:rFonts w:ascii="黑体" w:eastAsia="黑体"/>
          <w:color w:val="auto"/>
          <w:sz w:val="44"/>
          <w:szCs w:val="44"/>
          <w:highlight w:val="none"/>
        </w:rPr>
      </w:pPr>
    </w:p>
    <w:p>
      <w:pPr>
        <w:spacing w:line="500" w:lineRule="exact"/>
        <w:jc w:val="center"/>
        <w:rPr>
          <w:rFonts w:ascii="黑体" w:eastAsia="黑体"/>
          <w:color w:val="auto"/>
          <w:sz w:val="44"/>
          <w:szCs w:val="44"/>
          <w:highlight w:val="none"/>
        </w:rPr>
      </w:pPr>
    </w:p>
    <w:p>
      <w:pPr>
        <w:spacing w:line="500" w:lineRule="exact"/>
        <w:jc w:val="center"/>
        <w:rPr>
          <w:rFonts w:ascii="黑体" w:eastAsia="黑体"/>
          <w:color w:val="auto"/>
          <w:sz w:val="44"/>
          <w:szCs w:val="44"/>
          <w:highlight w:val="none"/>
        </w:rPr>
      </w:pPr>
    </w:p>
    <w:p>
      <w:pPr>
        <w:spacing w:line="500" w:lineRule="exact"/>
        <w:ind w:firstLine="1680" w:firstLineChars="600"/>
        <w:rPr>
          <w:rFonts w:ascii="黑体" w:eastAsia="黑体"/>
          <w:color w:val="auto"/>
          <w:sz w:val="28"/>
          <w:szCs w:val="28"/>
          <w:highlight w:val="none"/>
        </w:rPr>
      </w:pPr>
      <w:r>
        <w:rPr>
          <w:rFonts w:hint="eastAsia" w:ascii="黑体" w:eastAsia="黑体"/>
          <w:color w:val="auto"/>
          <w:sz w:val="28"/>
          <w:szCs w:val="28"/>
          <w:highlight w:val="none"/>
        </w:rPr>
        <w:t>投标人（</w:t>
      </w:r>
      <w:r>
        <w:rPr>
          <w:rFonts w:hint="eastAsia" w:ascii="宋体" w:hAnsi="宋体"/>
          <w:color w:val="auto"/>
          <w:sz w:val="24"/>
          <w:highlight w:val="none"/>
        </w:rPr>
        <w:t>盖单位电子章</w:t>
      </w:r>
      <w:r>
        <w:rPr>
          <w:rFonts w:hint="eastAsia" w:ascii="黑体" w:eastAsia="黑体"/>
          <w:color w:val="auto"/>
          <w:sz w:val="28"/>
          <w:szCs w:val="28"/>
          <w:highlight w:val="none"/>
        </w:rPr>
        <w:t>）：</w:t>
      </w:r>
      <w:r>
        <w:rPr>
          <w:rFonts w:hint="eastAsia" w:ascii="黑体" w:eastAsia="黑体"/>
          <w:color w:val="auto"/>
          <w:sz w:val="28"/>
          <w:szCs w:val="28"/>
          <w:highlight w:val="none"/>
          <w:u w:val="single"/>
        </w:rPr>
        <w:t xml:space="preserve">                         </w:t>
      </w:r>
    </w:p>
    <w:p>
      <w:pPr>
        <w:spacing w:line="500" w:lineRule="exact"/>
        <w:jc w:val="center"/>
        <w:rPr>
          <w:rFonts w:hint="eastAsia" w:ascii="黑体" w:eastAsia="黑体"/>
          <w:color w:val="auto"/>
          <w:sz w:val="28"/>
          <w:szCs w:val="28"/>
          <w:highlight w:val="none"/>
          <w:u w:val="single"/>
        </w:rPr>
      </w:pPr>
    </w:p>
    <w:p>
      <w:pPr>
        <w:spacing w:line="500" w:lineRule="exact"/>
        <w:jc w:val="center"/>
        <w:rPr>
          <w:rFonts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年</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月</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日</w:t>
      </w:r>
    </w:p>
    <w:p>
      <w:pPr>
        <w:spacing w:line="500" w:lineRule="exact"/>
        <w:jc w:val="center"/>
        <w:rPr>
          <w:color w:val="auto"/>
          <w:highlight w:val="none"/>
        </w:rPr>
      </w:pPr>
      <w:r>
        <w:rPr>
          <w:rFonts w:hint="eastAsia" w:ascii="黑体" w:eastAsia="黑体"/>
          <w:color w:val="auto"/>
          <w:sz w:val="28"/>
          <w:szCs w:val="28"/>
          <w:highlight w:val="none"/>
        </w:rPr>
        <w:br w:type="page"/>
      </w:r>
    </w:p>
    <w:p>
      <w:pPr>
        <w:spacing w:line="500" w:lineRule="exact"/>
        <w:ind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目    录</w:t>
      </w:r>
    </w:p>
    <w:p>
      <w:pPr>
        <w:spacing w:line="500" w:lineRule="exact"/>
        <w:ind w:firstLine="480" w:firstLineChars="200"/>
        <w:rPr>
          <w:color w:val="auto"/>
          <w:sz w:val="24"/>
          <w:highlight w:val="none"/>
        </w:rPr>
      </w:pPr>
      <w:r>
        <w:rPr>
          <w:rFonts w:hint="eastAsia"/>
          <w:color w:val="auto"/>
          <w:sz w:val="24"/>
          <w:highlight w:val="none"/>
        </w:rPr>
        <w:t>一、投标函及投标函附录</w:t>
      </w:r>
    </w:p>
    <w:p>
      <w:pPr>
        <w:spacing w:line="500" w:lineRule="exact"/>
        <w:ind w:firstLine="480" w:firstLineChars="200"/>
        <w:rPr>
          <w:color w:val="auto"/>
          <w:sz w:val="24"/>
          <w:highlight w:val="none"/>
        </w:rPr>
      </w:pPr>
      <w:r>
        <w:rPr>
          <w:rFonts w:hint="eastAsia"/>
          <w:color w:val="auto"/>
          <w:sz w:val="24"/>
          <w:highlight w:val="none"/>
        </w:rPr>
        <w:t>二、法定代表人身份证明</w:t>
      </w:r>
    </w:p>
    <w:p>
      <w:pPr>
        <w:spacing w:line="500" w:lineRule="exact"/>
        <w:ind w:firstLine="480" w:firstLineChars="200"/>
        <w:rPr>
          <w:color w:val="auto"/>
          <w:sz w:val="24"/>
          <w:highlight w:val="none"/>
        </w:rPr>
      </w:pPr>
      <w:r>
        <w:rPr>
          <w:rFonts w:hint="eastAsia"/>
          <w:color w:val="auto"/>
          <w:sz w:val="24"/>
          <w:highlight w:val="none"/>
        </w:rPr>
        <w:t>三、授权委托书</w:t>
      </w:r>
    </w:p>
    <w:p>
      <w:pPr>
        <w:spacing w:line="500" w:lineRule="exact"/>
        <w:ind w:firstLine="480" w:firstLineChars="200"/>
        <w:rPr>
          <w:color w:val="auto"/>
          <w:sz w:val="24"/>
          <w:highlight w:val="none"/>
        </w:rPr>
      </w:pPr>
      <w:r>
        <w:rPr>
          <w:rFonts w:hint="eastAsia"/>
          <w:color w:val="auto"/>
          <w:sz w:val="24"/>
          <w:highlight w:val="none"/>
        </w:rPr>
        <w:t>四、联合体协议书</w:t>
      </w:r>
    </w:p>
    <w:p>
      <w:pPr>
        <w:spacing w:line="500" w:lineRule="exact"/>
        <w:ind w:firstLine="480" w:firstLineChars="200"/>
        <w:rPr>
          <w:color w:val="auto"/>
          <w:sz w:val="24"/>
          <w:highlight w:val="none"/>
        </w:rPr>
      </w:pPr>
      <w:r>
        <w:rPr>
          <w:rFonts w:hint="eastAsia"/>
          <w:color w:val="auto"/>
          <w:sz w:val="24"/>
          <w:highlight w:val="none"/>
        </w:rPr>
        <w:t>五、投标保证金</w:t>
      </w:r>
    </w:p>
    <w:p>
      <w:pPr>
        <w:spacing w:line="500" w:lineRule="exact"/>
        <w:ind w:firstLine="480" w:firstLineChars="200"/>
        <w:rPr>
          <w:color w:val="auto"/>
          <w:sz w:val="24"/>
          <w:highlight w:val="none"/>
        </w:rPr>
      </w:pPr>
      <w:r>
        <w:rPr>
          <w:rFonts w:hint="eastAsia"/>
          <w:color w:val="auto"/>
          <w:sz w:val="24"/>
          <w:highlight w:val="none"/>
        </w:rPr>
        <w:t>六、监理服务费投标报价表</w:t>
      </w:r>
    </w:p>
    <w:p>
      <w:pPr>
        <w:spacing w:line="500" w:lineRule="exact"/>
        <w:ind w:firstLine="480" w:firstLineChars="200"/>
        <w:rPr>
          <w:color w:val="auto"/>
          <w:sz w:val="24"/>
          <w:highlight w:val="none"/>
        </w:rPr>
      </w:pPr>
      <w:r>
        <w:rPr>
          <w:rFonts w:hint="eastAsia"/>
          <w:color w:val="auto"/>
          <w:sz w:val="24"/>
          <w:highlight w:val="none"/>
        </w:rPr>
        <w:t>七、监理机构</w:t>
      </w:r>
    </w:p>
    <w:p>
      <w:pPr>
        <w:spacing w:line="500" w:lineRule="exact"/>
        <w:ind w:firstLine="480" w:firstLineChars="200"/>
        <w:rPr>
          <w:color w:val="auto"/>
          <w:sz w:val="24"/>
          <w:highlight w:val="none"/>
        </w:rPr>
      </w:pPr>
      <w:r>
        <w:rPr>
          <w:rFonts w:hint="eastAsia"/>
          <w:color w:val="auto"/>
          <w:sz w:val="24"/>
          <w:highlight w:val="none"/>
        </w:rPr>
        <w:t>八、资格审查资料</w:t>
      </w:r>
    </w:p>
    <w:p>
      <w:pPr>
        <w:spacing w:line="500" w:lineRule="exact"/>
        <w:ind w:firstLine="480" w:firstLineChars="200"/>
        <w:rPr>
          <w:rFonts w:hint="eastAsia"/>
          <w:color w:val="auto"/>
          <w:sz w:val="24"/>
          <w:highlight w:val="none"/>
        </w:rPr>
      </w:pPr>
      <w:r>
        <w:rPr>
          <w:rFonts w:hint="eastAsia"/>
          <w:color w:val="auto"/>
          <w:sz w:val="24"/>
          <w:highlight w:val="none"/>
        </w:rPr>
        <w:t>九、定标要素情况表</w:t>
      </w:r>
    </w:p>
    <w:p>
      <w:pPr>
        <w:spacing w:line="500" w:lineRule="exact"/>
        <w:ind w:firstLine="480" w:firstLineChars="200"/>
        <w:rPr>
          <w:color w:val="auto"/>
          <w:sz w:val="24"/>
          <w:highlight w:val="none"/>
        </w:rPr>
      </w:pPr>
      <w:r>
        <w:rPr>
          <w:rFonts w:hint="eastAsia"/>
          <w:color w:val="auto"/>
          <w:sz w:val="24"/>
          <w:highlight w:val="none"/>
        </w:rPr>
        <w:t>十、其他材料</w:t>
      </w: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rFonts w:hint="eastAsia"/>
          <w:color w:val="auto"/>
          <w:sz w:val="24"/>
          <w:highlight w:val="none"/>
        </w:rPr>
      </w:pPr>
    </w:p>
    <w:p>
      <w:pPr>
        <w:rPr>
          <w:rFonts w:hint="eastAsia"/>
          <w:color w:val="auto"/>
          <w:sz w:val="24"/>
          <w:highlight w:val="none"/>
        </w:rPr>
      </w:pPr>
    </w:p>
    <w:p>
      <w:pPr>
        <w:rPr>
          <w:color w:val="auto"/>
          <w:sz w:val="24"/>
          <w:highlight w:val="none"/>
        </w:rPr>
      </w:pPr>
    </w:p>
    <w:p>
      <w:pPr>
        <w:rPr>
          <w:color w:val="auto"/>
          <w:sz w:val="24"/>
          <w:highlight w:val="none"/>
        </w:rPr>
      </w:pPr>
    </w:p>
    <w:p>
      <w:pPr>
        <w:pStyle w:val="4"/>
        <w:jc w:val="center"/>
        <w:rPr>
          <w:color w:val="auto"/>
          <w:highlight w:val="none"/>
        </w:rPr>
      </w:pPr>
      <w:bookmarkStart w:id="1515" w:name="_Toc139451013"/>
      <w:bookmarkStart w:id="1516" w:name="_Toc222740172"/>
      <w:bookmarkStart w:id="1517" w:name="_Toc139433270"/>
      <w:bookmarkStart w:id="1518" w:name="_Toc286759140"/>
      <w:bookmarkStart w:id="1519" w:name="_Toc139435631"/>
      <w:bookmarkStart w:id="1520" w:name="_Toc139237034"/>
      <w:bookmarkStart w:id="1521" w:name="_Toc139453228"/>
      <w:bookmarkStart w:id="1522" w:name="_Toc330384489"/>
      <w:bookmarkStart w:id="1523" w:name="_Toc283558799"/>
      <w:bookmarkStart w:id="1524" w:name="_Toc307991237"/>
      <w:bookmarkStart w:id="1525" w:name="_Toc139431627"/>
      <w:bookmarkStart w:id="1526" w:name="_Toc196474992"/>
      <w:bookmarkStart w:id="1527" w:name="_Toc283559296"/>
      <w:bookmarkStart w:id="1528" w:name="_Toc487291626"/>
      <w:bookmarkStart w:id="1529" w:name="_Toc341805337"/>
      <w:bookmarkStart w:id="1530" w:name="_Toc488651014"/>
      <w:bookmarkStart w:id="1531" w:name="_Toc356568015"/>
      <w:r>
        <w:rPr>
          <w:rFonts w:hint="eastAsia"/>
          <w:color w:val="auto"/>
          <w:highlight w:val="none"/>
        </w:rPr>
        <w:t>一、</w:t>
      </w:r>
      <w:r>
        <w:rPr>
          <w:color w:val="auto"/>
          <w:highlight w:val="none"/>
        </w:rPr>
        <w:t>投标</w:t>
      </w:r>
      <w:r>
        <w:rPr>
          <w:rFonts w:hint="eastAsia"/>
          <w:color w:val="auto"/>
          <w:highlight w:val="none"/>
        </w:rPr>
        <w:t>函</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r>
        <w:rPr>
          <w:rFonts w:hint="eastAsia"/>
          <w:color w:val="auto"/>
          <w:highlight w:val="none"/>
        </w:rPr>
        <w:t>及投标函附录</w:t>
      </w:r>
      <w:bookmarkEnd w:id="1528"/>
      <w:bookmarkEnd w:id="1529"/>
      <w:bookmarkEnd w:id="1530"/>
      <w:bookmarkEnd w:id="1531"/>
    </w:p>
    <w:p>
      <w:pPr>
        <w:pStyle w:val="4"/>
        <w:spacing w:before="100" w:after="100"/>
        <w:jc w:val="center"/>
        <w:rPr>
          <w:rFonts w:ascii="黑体" w:hAnsi="宋体"/>
          <w:color w:val="auto"/>
          <w:sz w:val="24"/>
          <w:szCs w:val="24"/>
          <w:highlight w:val="none"/>
        </w:rPr>
      </w:pPr>
      <w:bookmarkStart w:id="1532" w:name="_Toc341805338"/>
      <w:bookmarkStart w:id="1533" w:name="_Toc487291627"/>
      <w:bookmarkStart w:id="1534" w:name="_Toc487619590"/>
      <w:bookmarkStart w:id="1535" w:name="_Toc488651015"/>
      <w:bookmarkStart w:id="1536" w:name="_Toc356568016"/>
      <w:r>
        <w:rPr>
          <w:rFonts w:hint="eastAsia" w:ascii="黑体" w:hAnsi="宋体"/>
          <w:color w:val="auto"/>
          <w:sz w:val="24"/>
          <w:szCs w:val="24"/>
          <w:highlight w:val="none"/>
        </w:rPr>
        <w:t>（一）投标函</w:t>
      </w:r>
      <w:bookmarkEnd w:id="1532"/>
      <w:bookmarkEnd w:id="1533"/>
      <w:bookmarkEnd w:id="1534"/>
      <w:bookmarkEnd w:id="1535"/>
      <w:bookmarkEnd w:id="1536"/>
    </w:p>
    <w:p>
      <w:pPr>
        <w:spacing w:line="460" w:lineRule="exact"/>
        <w:ind w:firstLine="480" w:firstLineChars="200"/>
        <w:rPr>
          <w:color w:val="auto"/>
          <w:sz w:val="24"/>
          <w:highlight w:val="none"/>
          <w:u w:val="single"/>
        </w:rPr>
      </w:pPr>
      <w:r>
        <w:rPr>
          <w:color w:val="auto"/>
          <w:sz w:val="24"/>
          <w:highlight w:val="none"/>
        </w:rPr>
        <w:t>致：</w:t>
      </w:r>
      <w:r>
        <w:rPr>
          <w:rFonts w:hint="eastAsia"/>
          <w:color w:val="auto"/>
          <w:sz w:val="24"/>
          <w:highlight w:val="none"/>
          <w:u w:val="single"/>
        </w:rPr>
        <w:t xml:space="preserve">               </w:t>
      </w:r>
      <w:r>
        <w:rPr>
          <w:color w:val="auto"/>
          <w:sz w:val="24"/>
          <w:highlight w:val="none"/>
        </w:rPr>
        <w:t>（招标人全称）</w:t>
      </w:r>
    </w:p>
    <w:p>
      <w:pPr>
        <w:spacing w:line="460" w:lineRule="exact"/>
        <w:ind w:firstLine="480" w:firstLineChars="200"/>
        <w:rPr>
          <w:color w:val="auto"/>
          <w:sz w:val="24"/>
          <w:highlight w:val="none"/>
        </w:rPr>
      </w:pPr>
      <w:r>
        <w:rPr>
          <w:rFonts w:hint="eastAsia"/>
          <w:color w:val="auto"/>
          <w:sz w:val="24"/>
          <w:highlight w:val="none"/>
        </w:rPr>
        <w:t>1．</w:t>
      </w:r>
      <w:r>
        <w:rPr>
          <w:rFonts w:hint="eastAsia" w:ascii="宋体" w:hAnsi="宋体"/>
          <w:color w:val="auto"/>
          <w:sz w:val="24"/>
          <w:highlight w:val="none"/>
        </w:rPr>
        <w:t>我方</w:t>
      </w:r>
      <w:r>
        <w:rPr>
          <w:rFonts w:hint="eastAsia"/>
          <w:color w:val="auto"/>
          <w:sz w:val="24"/>
          <w:highlight w:val="none"/>
        </w:rPr>
        <w:t>已仔细</w:t>
      </w:r>
      <w:r>
        <w:rPr>
          <w:color w:val="auto"/>
          <w:sz w:val="24"/>
          <w:highlight w:val="none"/>
        </w:rPr>
        <w:t>研究了</w:t>
      </w:r>
      <w:r>
        <w:rPr>
          <w:rFonts w:hint="eastAsia"/>
          <w:color w:val="auto"/>
          <w:sz w:val="24"/>
          <w:highlight w:val="none"/>
          <w:u w:val="single"/>
        </w:rPr>
        <w:t xml:space="preserve">                </w:t>
      </w:r>
      <w:r>
        <w:rPr>
          <w:rFonts w:hint="eastAsia"/>
          <w:color w:val="auto"/>
          <w:sz w:val="24"/>
          <w:highlight w:val="none"/>
        </w:rPr>
        <w:t>（项目名称）施工</w:t>
      </w:r>
      <w:r>
        <w:rPr>
          <w:color w:val="auto"/>
          <w:sz w:val="24"/>
          <w:highlight w:val="none"/>
        </w:rPr>
        <w:t>监理招标文件的</w:t>
      </w:r>
      <w:r>
        <w:rPr>
          <w:rFonts w:hint="eastAsia"/>
          <w:color w:val="auto"/>
          <w:sz w:val="24"/>
          <w:highlight w:val="none"/>
        </w:rPr>
        <w:t>全部内容，</w:t>
      </w:r>
      <w:r>
        <w:rPr>
          <w:color w:val="auto"/>
          <w:sz w:val="24"/>
          <w:highlight w:val="none"/>
        </w:rPr>
        <w:t>愿意以</w:t>
      </w:r>
      <w:r>
        <w:rPr>
          <w:rFonts w:hint="eastAsia"/>
          <w:color w:val="auto"/>
          <w:sz w:val="24"/>
          <w:highlight w:val="none"/>
        </w:rPr>
        <w:t>人民币（大写）</w:t>
      </w:r>
      <w:r>
        <w:rPr>
          <w:rFonts w:hint="eastAsia"/>
          <w:color w:val="auto"/>
          <w:sz w:val="24"/>
          <w:highlight w:val="none"/>
          <w:u w:val="single"/>
        </w:rPr>
        <w:t xml:space="preserve">         </w:t>
      </w:r>
      <w:r>
        <w:rPr>
          <w:rFonts w:hint="eastAsia"/>
          <w:color w:val="auto"/>
          <w:sz w:val="24"/>
          <w:highlight w:val="none"/>
        </w:rPr>
        <w:t>元（</w:t>
      </w:r>
      <w:r>
        <w:rPr>
          <w:color w:val="auto"/>
          <w:sz w:val="24"/>
          <w:highlight w:val="none"/>
        </w:rPr>
        <w:t>¥</w:t>
      </w:r>
      <w:r>
        <w:rPr>
          <w:rFonts w:hint="eastAsia"/>
          <w:color w:val="auto"/>
          <w:sz w:val="24"/>
          <w:highlight w:val="none"/>
          <w:u w:val="single"/>
        </w:rPr>
        <w:t xml:space="preserve">         </w:t>
      </w:r>
      <w:r>
        <w:rPr>
          <w:rFonts w:hint="eastAsia"/>
          <w:color w:val="auto"/>
          <w:sz w:val="24"/>
          <w:highlight w:val="none"/>
        </w:rPr>
        <w:t>）的监理服务费总价，按合同约定承担并完成本工程的施工监理服务工作</w:t>
      </w:r>
      <w:r>
        <w:rPr>
          <w:color w:val="auto"/>
          <w:sz w:val="24"/>
          <w:highlight w:val="none"/>
        </w:rPr>
        <w:t>。</w:t>
      </w:r>
    </w:p>
    <w:p>
      <w:pPr>
        <w:spacing w:line="460" w:lineRule="exact"/>
        <w:ind w:firstLine="480" w:firstLineChars="200"/>
        <w:rPr>
          <w:rFonts w:ascii="宋体" w:hAnsi="宋体"/>
          <w:color w:val="auto"/>
          <w:sz w:val="24"/>
          <w:highlight w:val="none"/>
        </w:rPr>
      </w:pPr>
      <w:r>
        <w:rPr>
          <w:rFonts w:hint="eastAsia"/>
          <w:color w:val="auto"/>
          <w:sz w:val="24"/>
          <w:highlight w:val="none"/>
        </w:rPr>
        <w:t>2．</w:t>
      </w:r>
      <w:r>
        <w:rPr>
          <w:rFonts w:hint="eastAsia" w:ascii="宋体" w:hAnsi="宋体"/>
          <w:color w:val="auto"/>
          <w:sz w:val="24"/>
          <w:highlight w:val="none"/>
        </w:rPr>
        <w:t>我方承诺在投标有效期内不修改、撤销投标文件。</w:t>
      </w:r>
    </w:p>
    <w:p>
      <w:pPr>
        <w:spacing w:line="460" w:lineRule="exact"/>
        <w:ind w:firstLine="480" w:firstLineChars="200"/>
        <w:rPr>
          <w:rFonts w:hint="eastAsia" w:ascii="宋体" w:hAnsi="宋体"/>
          <w:color w:val="auto"/>
          <w:sz w:val="24"/>
          <w:highlight w:val="none"/>
        </w:rPr>
      </w:pPr>
      <w:r>
        <w:rPr>
          <w:rFonts w:hint="eastAsia"/>
          <w:color w:val="auto"/>
          <w:sz w:val="24"/>
          <w:highlight w:val="none"/>
        </w:rPr>
        <w:t>3．</w:t>
      </w:r>
      <w:r>
        <w:rPr>
          <w:rFonts w:hint="eastAsia" w:ascii="宋体" w:hAnsi="宋体"/>
          <w:color w:val="auto"/>
          <w:sz w:val="24"/>
          <w:highlight w:val="none"/>
        </w:rPr>
        <w:t xml:space="preserve">□随同本投标函提交投标保证金一份，金额为人民币（大写） </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（符合招标文件规定的投标保证金优惠情形的，此处按实际金额填写）</w:t>
      </w:r>
      <w:r>
        <w:rPr>
          <w:rFonts w:hint="eastAsia" w:ascii="宋体" w:hAnsi="宋体"/>
          <w:color w:val="auto"/>
          <w:sz w:val="24"/>
          <w:highlight w:val="none"/>
        </w:rPr>
        <w:t>；</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□我方按招标文件规定免缴投标保证金。</w:t>
      </w:r>
    </w:p>
    <w:p>
      <w:pPr>
        <w:spacing w:line="460" w:lineRule="exact"/>
        <w:ind w:firstLine="480" w:firstLineChars="200"/>
        <w:rPr>
          <w:rFonts w:ascii="宋体" w:hAnsi="宋体"/>
          <w:color w:val="auto"/>
          <w:sz w:val="24"/>
          <w:highlight w:val="none"/>
        </w:rPr>
      </w:pPr>
      <w:r>
        <w:rPr>
          <w:rFonts w:hint="eastAsia"/>
          <w:color w:val="auto"/>
          <w:sz w:val="24"/>
          <w:highlight w:val="none"/>
        </w:rPr>
        <w:t>4．</w:t>
      </w:r>
      <w:r>
        <w:rPr>
          <w:rFonts w:hint="eastAsia" w:ascii="宋体" w:hAnsi="宋体"/>
          <w:color w:val="auto"/>
          <w:sz w:val="24"/>
          <w:highlight w:val="none"/>
        </w:rPr>
        <w:t>如我方中标：</w:t>
      </w:r>
    </w:p>
    <w:p>
      <w:pPr>
        <w:spacing w:line="460" w:lineRule="exact"/>
        <w:ind w:firstLine="480" w:firstLineChars="200"/>
        <w:rPr>
          <w:rFonts w:ascii="宋体" w:hAnsi="宋体"/>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rFonts w:hint="eastAsia" w:ascii="宋体" w:hAnsi="宋体"/>
          <w:color w:val="auto"/>
          <w:sz w:val="24"/>
          <w:highlight w:val="none"/>
        </w:rPr>
        <w:t>我方承诺在收到中标通知书后，在中标通知书规定的期限内与你方签订施工监理合同。</w:t>
      </w:r>
    </w:p>
    <w:p>
      <w:pPr>
        <w:spacing w:line="460" w:lineRule="exact"/>
        <w:ind w:firstLine="480" w:firstLineChars="200"/>
        <w:rPr>
          <w:rFonts w:ascii="宋体" w:hAnsi="宋体"/>
          <w:color w:val="auto"/>
          <w:sz w:val="24"/>
          <w:highlight w:val="none"/>
        </w:rPr>
      </w:pPr>
      <w:r>
        <w:rPr>
          <w:rFonts w:hint="eastAsia"/>
          <w:color w:val="auto"/>
          <w:sz w:val="24"/>
          <w:highlight w:val="none"/>
        </w:rPr>
        <w:t>（2）</w:t>
      </w:r>
      <w:r>
        <w:rPr>
          <w:rFonts w:hint="eastAsia" w:ascii="宋体" w:hAnsi="宋体"/>
          <w:color w:val="auto"/>
          <w:sz w:val="24"/>
          <w:highlight w:val="none"/>
        </w:rPr>
        <w:t>随同本投标函递交的投标函附录属于合同文件的组成部分。</w:t>
      </w:r>
    </w:p>
    <w:p>
      <w:pPr>
        <w:spacing w:line="460" w:lineRule="exact"/>
        <w:ind w:firstLine="480" w:firstLineChars="200"/>
        <w:rPr>
          <w:rFonts w:ascii="宋体" w:hAnsi="宋体"/>
          <w:color w:val="auto"/>
          <w:sz w:val="24"/>
          <w:highlight w:val="none"/>
        </w:rPr>
      </w:pPr>
      <w:r>
        <w:rPr>
          <w:rFonts w:hint="eastAsia"/>
          <w:color w:val="auto"/>
          <w:sz w:val="24"/>
          <w:highlight w:val="none"/>
        </w:rPr>
        <w:t>（3）</w:t>
      </w:r>
      <w:r>
        <w:rPr>
          <w:rFonts w:hint="eastAsia" w:ascii="宋体" w:hAnsi="宋体"/>
          <w:color w:val="auto"/>
          <w:sz w:val="24"/>
          <w:highlight w:val="none"/>
        </w:rPr>
        <w:t>我方承诺按照招标文件规定向你方递交履约保证金。</w:t>
      </w:r>
    </w:p>
    <w:p>
      <w:pPr>
        <w:spacing w:line="460" w:lineRule="exact"/>
        <w:ind w:firstLine="480" w:firstLineChars="200"/>
        <w:rPr>
          <w:rFonts w:ascii="宋体" w:hAnsi="宋体"/>
          <w:color w:val="auto"/>
          <w:sz w:val="24"/>
          <w:highlight w:val="none"/>
        </w:rPr>
      </w:pPr>
      <w:r>
        <w:rPr>
          <w:rFonts w:hint="eastAsia"/>
          <w:color w:val="auto"/>
          <w:sz w:val="24"/>
          <w:highlight w:val="none"/>
        </w:rPr>
        <w:t>（4）</w:t>
      </w:r>
      <w:r>
        <w:rPr>
          <w:rFonts w:hint="eastAsia" w:ascii="宋体" w:hAnsi="宋体"/>
          <w:color w:val="auto"/>
          <w:sz w:val="24"/>
          <w:highlight w:val="none"/>
        </w:rPr>
        <w:t>我方承诺</w:t>
      </w:r>
      <w:r>
        <w:rPr>
          <w:rFonts w:ascii="宋体" w:hAnsi="宋体"/>
          <w:color w:val="auto"/>
          <w:sz w:val="24"/>
          <w:highlight w:val="none"/>
        </w:rPr>
        <w:t>在接到</w:t>
      </w:r>
      <w:r>
        <w:rPr>
          <w:rFonts w:hint="eastAsia" w:ascii="宋体" w:hAnsi="宋体"/>
          <w:color w:val="auto"/>
          <w:sz w:val="24"/>
          <w:highlight w:val="none"/>
        </w:rPr>
        <w:t>发包</w:t>
      </w:r>
      <w:r>
        <w:rPr>
          <w:rFonts w:ascii="宋体" w:hAnsi="宋体"/>
          <w:color w:val="auto"/>
          <w:sz w:val="24"/>
          <w:highlight w:val="none"/>
        </w:rPr>
        <w:t>人的</w:t>
      </w:r>
      <w:r>
        <w:rPr>
          <w:rFonts w:hint="eastAsia" w:ascii="宋体" w:hAnsi="宋体"/>
          <w:color w:val="auto"/>
          <w:sz w:val="24"/>
          <w:highlight w:val="none"/>
        </w:rPr>
        <w:t>书面</w:t>
      </w:r>
      <w:r>
        <w:rPr>
          <w:rFonts w:ascii="宋体" w:hAnsi="宋体"/>
          <w:color w:val="auto"/>
          <w:sz w:val="24"/>
          <w:highlight w:val="none"/>
        </w:rPr>
        <w:t>进驻通知后</w:t>
      </w:r>
      <w:r>
        <w:rPr>
          <w:rFonts w:hint="eastAsia" w:ascii="宋体" w:hAnsi="宋体"/>
          <w:color w:val="auto"/>
          <w:sz w:val="24"/>
          <w:highlight w:val="none"/>
        </w:rPr>
        <w:t>在发包人要求的期限内</w:t>
      </w:r>
      <w:r>
        <w:rPr>
          <w:rFonts w:ascii="宋体" w:hAnsi="宋体"/>
          <w:color w:val="auto"/>
          <w:sz w:val="24"/>
          <w:highlight w:val="none"/>
        </w:rPr>
        <w:t>进驻现场并开展监理工作。</w:t>
      </w:r>
    </w:p>
    <w:p>
      <w:pPr>
        <w:spacing w:line="460" w:lineRule="exact"/>
        <w:ind w:firstLine="480" w:firstLineChars="200"/>
        <w:rPr>
          <w:rFonts w:ascii="宋体" w:hAnsi="宋体"/>
          <w:color w:val="auto"/>
          <w:sz w:val="24"/>
          <w:highlight w:val="none"/>
        </w:rPr>
      </w:pPr>
      <w:r>
        <w:rPr>
          <w:rFonts w:hint="eastAsia"/>
          <w:color w:val="auto"/>
          <w:sz w:val="24"/>
          <w:highlight w:val="none"/>
        </w:rPr>
        <w:t>5．</w:t>
      </w:r>
      <w:r>
        <w:rPr>
          <w:rFonts w:hint="eastAsia" w:ascii="宋体" w:hAnsi="宋体"/>
          <w:color w:val="auto"/>
          <w:sz w:val="24"/>
          <w:highlight w:val="none"/>
        </w:rPr>
        <w:t>我方在此声明，所递交的投标文件及有关资料内容完整、真实和准确，且不存在第二章“投标人须知”第1.4.3款规定的任何一种情形。</w:t>
      </w:r>
    </w:p>
    <w:p>
      <w:pPr>
        <w:spacing w:line="460" w:lineRule="exact"/>
        <w:ind w:firstLine="480" w:firstLineChars="200"/>
        <w:rPr>
          <w:rFonts w:hint="eastAsia" w:ascii="宋体" w:hAnsi="宋体"/>
          <w:color w:val="auto"/>
          <w:sz w:val="24"/>
          <w:highlight w:val="none"/>
        </w:rPr>
      </w:pPr>
      <w:r>
        <w:rPr>
          <w:rFonts w:hint="eastAsia"/>
          <w:color w:val="auto"/>
          <w:sz w:val="24"/>
          <w:highlight w:val="none"/>
        </w:rPr>
        <w:t>6．</w:t>
      </w:r>
      <w:r>
        <w:rPr>
          <w:rFonts w:hint="eastAsia" w:ascii="宋体" w:hAnsi="宋体"/>
          <w:color w:val="auto"/>
          <w:sz w:val="24"/>
          <w:highlight w:val="none"/>
          <w:u w:val="single"/>
        </w:rPr>
        <w:t xml:space="preserve">                     </w:t>
      </w:r>
      <w:r>
        <w:rPr>
          <w:rFonts w:hint="eastAsia" w:ascii="宋体" w:hAnsi="宋体"/>
          <w:color w:val="auto"/>
          <w:sz w:val="24"/>
          <w:highlight w:val="none"/>
        </w:rPr>
        <w:t>（其他补充说明）。</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7.如我方为满足投标保证金优惠规定的投标人，出现法律法规规定的没收投标保证金情形的，我方承诺按招标文件要求的金额缴足投标保证金。</w:t>
      </w:r>
    </w:p>
    <w:p>
      <w:pPr>
        <w:spacing w:line="360" w:lineRule="auto"/>
        <w:ind w:firstLine="480" w:firstLineChars="200"/>
        <w:rPr>
          <w:rFonts w:ascii="宋体" w:hAnsi="宋体"/>
          <w:color w:val="auto"/>
          <w:sz w:val="24"/>
          <w:highlight w:val="none"/>
        </w:rPr>
      </w:pPr>
    </w:p>
    <w:p>
      <w:pPr>
        <w:spacing w:after="240" w:line="240" w:lineRule="exact"/>
        <w:ind w:right="420" w:firstLine="4080" w:firstLineChars="1700"/>
        <w:rPr>
          <w:color w:val="auto"/>
          <w:sz w:val="24"/>
          <w:highlight w:val="none"/>
          <w:u w:val="single"/>
        </w:rPr>
      </w:pPr>
      <w:r>
        <w:rPr>
          <w:rFonts w:hint="eastAsia"/>
          <w:color w:val="auto"/>
          <w:sz w:val="24"/>
          <w:highlight w:val="none"/>
        </w:rPr>
        <w:t>投标人（</w:t>
      </w:r>
      <w:r>
        <w:rPr>
          <w:rFonts w:hint="eastAsia" w:ascii="宋体" w:hAnsi="宋体"/>
          <w:color w:val="auto"/>
          <w:sz w:val="24"/>
          <w:highlight w:val="none"/>
        </w:rPr>
        <w:t>盖单位电子章</w:t>
      </w:r>
      <w:r>
        <w:rPr>
          <w:rFonts w:hint="eastAsia"/>
          <w:color w:val="auto"/>
          <w:sz w:val="24"/>
          <w:highlight w:val="none"/>
        </w:rPr>
        <w:t>）：</w:t>
      </w:r>
      <w:r>
        <w:rPr>
          <w:rFonts w:hint="eastAsia"/>
          <w:color w:val="auto"/>
          <w:sz w:val="24"/>
          <w:highlight w:val="none"/>
          <w:u w:val="single"/>
        </w:rPr>
        <w:t xml:space="preserve">                    </w:t>
      </w:r>
    </w:p>
    <w:p>
      <w:pPr>
        <w:spacing w:before="240" w:after="360" w:line="240" w:lineRule="exact"/>
        <w:rPr>
          <w:color w:val="auto"/>
          <w:sz w:val="24"/>
          <w:highlight w:val="none"/>
          <w:u w:val="single"/>
        </w:rPr>
      </w:pPr>
      <w:r>
        <w:rPr>
          <w:rFonts w:hint="eastAsia"/>
          <w:color w:val="auto"/>
          <w:sz w:val="24"/>
          <w:highlight w:val="none"/>
        </w:rPr>
        <w:t xml:space="preserve">                                  地  址：</w:t>
      </w:r>
      <w:r>
        <w:rPr>
          <w:rFonts w:hint="eastAsia"/>
          <w:color w:val="auto"/>
          <w:sz w:val="24"/>
          <w:highlight w:val="none"/>
          <w:u w:val="single"/>
        </w:rPr>
        <w:t xml:space="preserve">                                 </w:t>
      </w:r>
    </w:p>
    <w:p>
      <w:pPr>
        <w:spacing w:before="240" w:after="360" w:line="240" w:lineRule="exact"/>
        <w:ind w:firstLine="4080" w:firstLineChars="1700"/>
        <w:rPr>
          <w:color w:val="auto"/>
          <w:sz w:val="24"/>
          <w:highlight w:val="none"/>
        </w:rPr>
      </w:pPr>
      <w:r>
        <w:rPr>
          <w:rFonts w:hint="eastAsia"/>
          <w:color w:val="auto"/>
          <w:sz w:val="24"/>
          <w:highlight w:val="none"/>
        </w:rPr>
        <w:t>网  址：</w:t>
      </w:r>
      <w:r>
        <w:rPr>
          <w:rFonts w:hint="eastAsia"/>
          <w:color w:val="auto"/>
          <w:sz w:val="24"/>
          <w:highlight w:val="none"/>
          <w:u w:val="single"/>
        </w:rPr>
        <w:t xml:space="preserve">                                 </w:t>
      </w:r>
    </w:p>
    <w:p>
      <w:pPr>
        <w:spacing w:before="240" w:after="360" w:line="240" w:lineRule="exact"/>
        <w:ind w:firstLine="4080" w:firstLineChars="1700"/>
        <w:rPr>
          <w:color w:val="auto"/>
          <w:sz w:val="24"/>
          <w:highlight w:val="none"/>
          <w:u w:val="single"/>
        </w:rPr>
      </w:pPr>
      <w:r>
        <w:rPr>
          <w:rFonts w:hint="eastAsia"/>
          <w:color w:val="auto"/>
          <w:sz w:val="24"/>
          <w:highlight w:val="none"/>
        </w:rPr>
        <w:t>电  话：</w:t>
      </w:r>
      <w:r>
        <w:rPr>
          <w:rFonts w:hint="eastAsia"/>
          <w:color w:val="auto"/>
          <w:sz w:val="24"/>
          <w:highlight w:val="none"/>
          <w:u w:val="single"/>
        </w:rPr>
        <w:t xml:space="preserve">                                 </w:t>
      </w:r>
    </w:p>
    <w:p>
      <w:pPr>
        <w:spacing w:before="240" w:after="360" w:line="240" w:lineRule="exact"/>
        <w:ind w:firstLine="4080" w:firstLineChars="1700"/>
        <w:rPr>
          <w:color w:val="auto"/>
          <w:sz w:val="24"/>
          <w:highlight w:val="none"/>
          <w:u w:val="single"/>
        </w:rPr>
      </w:pPr>
      <w:r>
        <w:rPr>
          <w:rFonts w:hint="eastAsia"/>
          <w:color w:val="auto"/>
          <w:sz w:val="24"/>
          <w:highlight w:val="none"/>
        </w:rPr>
        <w:t>传  真：</w:t>
      </w:r>
      <w:r>
        <w:rPr>
          <w:rFonts w:hint="eastAsia"/>
          <w:color w:val="auto"/>
          <w:sz w:val="24"/>
          <w:highlight w:val="none"/>
          <w:u w:val="single"/>
        </w:rPr>
        <w:t xml:space="preserve">                                 </w:t>
      </w:r>
    </w:p>
    <w:p>
      <w:pPr>
        <w:spacing w:before="240" w:after="360" w:line="240" w:lineRule="exact"/>
        <w:ind w:firstLine="4080" w:firstLineChars="1700"/>
        <w:rPr>
          <w:color w:val="auto"/>
          <w:sz w:val="24"/>
          <w:highlight w:val="none"/>
          <w:u w:val="single"/>
        </w:rPr>
      </w:pPr>
      <w:r>
        <w:rPr>
          <w:rFonts w:hint="eastAsia"/>
          <w:color w:val="auto"/>
          <w:sz w:val="24"/>
          <w:highlight w:val="none"/>
        </w:rPr>
        <w:t>邮  编：</w:t>
      </w:r>
      <w:r>
        <w:rPr>
          <w:rFonts w:hint="eastAsia"/>
          <w:color w:val="auto"/>
          <w:sz w:val="24"/>
          <w:highlight w:val="none"/>
          <w:u w:val="single"/>
        </w:rPr>
        <w:t xml:space="preserve">                                 </w:t>
      </w:r>
    </w:p>
    <w:p>
      <w:pPr>
        <w:spacing w:before="240" w:after="360" w:line="240" w:lineRule="exact"/>
        <w:ind w:firstLine="4080" w:firstLineChars="1700"/>
        <w:rPr>
          <w:color w:val="auto"/>
          <w:sz w:val="24"/>
          <w:highlight w:val="none"/>
        </w:rPr>
      </w:pPr>
      <w:r>
        <w:rPr>
          <w:rFonts w:hint="eastAsia"/>
          <w:color w:val="auto"/>
          <w:sz w:val="24"/>
          <w:highlight w:val="none"/>
        </w:rPr>
        <w:t>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4"/>
        <w:spacing w:before="100" w:after="100"/>
        <w:jc w:val="center"/>
        <w:rPr>
          <w:rFonts w:hint="eastAsia" w:ascii="黑体" w:hAnsi="宋体"/>
          <w:color w:val="auto"/>
          <w:sz w:val="24"/>
          <w:szCs w:val="24"/>
          <w:highlight w:val="none"/>
        </w:rPr>
        <w:sectPr>
          <w:pgSz w:w="11910" w:h="16840"/>
          <w:pgMar w:top="1600" w:right="520" w:bottom="1180" w:left="820" w:header="0" w:footer="982" w:gutter="0"/>
          <w:cols w:space="720" w:num="1"/>
        </w:sectPr>
      </w:pPr>
      <w:bookmarkStart w:id="1537" w:name="_Toc356568017"/>
      <w:bookmarkStart w:id="1538" w:name="_Toc341805339"/>
      <w:bookmarkStart w:id="1539" w:name="_Toc487291628"/>
      <w:bookmarkStart w:id="1540" w:name="_Toc487619591"/>
      <w:bookmarkStart w:id="1541" w:name="_Toc488651016"/>
    </w:p>
    <w:p>
      <w:pPr>
        <w:pStyle w:val="4"/>
        <w:spacing w:before="100" w:after="100"/>
        <w:jc w:val="center"/>
        <w:rPr>
          <w:rFonts w:ascii="黑体" w:hAnsi="宋体"/>
          <w:color w:val="auto"/>
          <w:sz w:val="24"/>
          <w:szCs w:val="24"/>
          <w:highlight w:val="none"/>
        </w:rPr>
      </w:pPr>
      <w:r>
        <w:rPr>
          <w:rFonts w:hint="eastAsia" w:ascii="黑体" w:hAnsi="宋体"/>
          <w:color w:val="auto"/>
          <w:sz w:val="24"/>
          <w:szCs w:val="24"/>
          <w:highlight w:val="none"/>
        </w:rPr>
        <w:t>（二）</w:t>
      </w:r>
      <w:r>
        <w:rPr>
          <w:rFonts w:ascii="黑体" w:hAnsi="宋体"/>
          <w:color w:val="auto"/>
          <w:sz w:val="24"/>
          <w:szCs w:val="24"/>
          <w:highlight w:val="none"/>
        </w:rPr>
        <w:t>投标</w:t>
      </w:r>
      <w:r>
        <w:rPr>
          <w:rFonts w:hint="eastAsia" w:ascii="黑体" w:hAnsi="宋体"/>
          <w:color w:val="auto"/>
          <w:sz w:val="24"/>
          <w:szCs w:val="24"/>
          <w:highlight w:val="none"/>
        </w:rPr>
        <w:t>函</w:t>
      </w:r>
      <w:r>
        <w:rPr>
          <w:rFonts w:ascii="黑体" w:hAnsi="宋体"/>
          <w:color w:val="auto"/>
          <w:sz w:val="24"/>
          <w:szCs w:val="24"/>
          <w:highlight w:val="none"/>
        </w:rPr>
        <w:t>附录</w:t>
      </w:r>
      <w:bookmarkEnd w:id="1537"/>
      <w:bookmarkEnd w:id="1538"/>
      <w:bookmarkEnd w:id="1539"/>
      <w:bookmarkEnd w:id="1540"/>
      <w:bookmarkEnd w:id="1541"/>
    </w:p>
    <w:p>
      <w:pPr>
        <w:spacing w:line="360" w:lineRule="auto"/>
        <w:ind w:firstLine="630" w:firstLineChars="300"/>
        <w:rPr>
          <w:rFonts w:ascii="宋体" w:hAnsi="宋体"/>
          <w:color w:val="auto"/>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55"/>
        <w:gridCol w:w="2695"/>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31" w:type="dxa"/>
            <w:noWrap w:val="0"/>
            <w:vAlign w:val="center"/>
          </w:tcPr>
          <w:p>
            <w:pPr>
              <w:spacing w:line="240" w:lineRule="atLeast"/>
              <w:jc w:val="center"/>
              <w:rPr>
                <w:color w:val="auto"/>
                <w:sz w:val="24"/>
                <w:highlight w:val="none"/>
              </w:rPr>
            </w:pPr>
            <w:r>
              <w:rPr>
                <w:rFonts w:hint="eastAsia"/>
                <w:color w:val="auto"/>
                <w:sz w:val="24"/>
                <w:highlight w:val="none"/>
              </w:rPr>
              <w:t>序号</w:t>
            </w:r>
          </w:p>
        </w:tc>
        <w:tc>
          <w:tcPr>
            <w:tcW w:w="3650" w:type="dxa"/>
            <w:gridSpan w:val="2"/>
            <w:noWrap w:val="0"/>
            <w:vAlign w:val="center"/>
          </w:tcPr>
          <w:p>
            <w:pPr>
              <w:spacing w:line="240" w:lineRule="atLeast"/>
              <w:jc w:val="center"/>
              <w:rPr>
                <w:color w:val="auto"/>
                <w:sz w:val="24"/>
                <w:highlight w:val="none"/>
              </w:rPr>
            </w:pPr>
            <w:r>
              <w:rPr>
                <w:rFonts w:hint="eastAsia"/>
                <w:color w:val="auto"/>
                <w:sz w:val="24"/>
                <w:highlight w:val="none"/>
              </w:rPr>
              <w:t>项</w:t>
            </w:r>
            <w:r>
              <w:rPr>
                <w:color w:val="auto"/>
                <w:sz w:val="24"/>
                <w:highlight w:val="none"/>
              </w:rPr>
              <w:t xml:space="preserve">      </w:t>
            </w:r>
            <w:r>
              <w:rPr>
                <w:rFonts w:hint="eastAsia"/>
                <w:color w:val="auto"/>
                <w:sz w:val="24"/>
                <w:highlight w:val="none"/>
              </w:rPr>
              <w:t>目</w:t>
            </w:r>
          </w:p>
        </w:tc>
        <w:tc>
          <w:tcPr>
            <w:tcW w:w="4689" w:type="dxa"/>
            <w:noWrap w:val="0"/>
            <w:vAlign w:val="center"/>
          </w:tcPr>
          <w:p>
            <w:pPr>
              <w:spacing w:line="240" w:lineRule="atLeast"/>
              <w:jc w:val="center"/>
              <w:rPr>
                <w:color w:val="auto"/>
                <w:sz w:val="24"/>
                <w:highlight w:val="none"/>
              </w:rPr>
            </w:pPr>
            <w:r>
              <w:rPr>
                <w:rFonts w:hint="eastAsia"/>
                <w:color w:val="auto"/>
                <w:sz w:val="24"/>
                <w:highlight w:val="none"/>
              </w:rPr>
              <w:t>内</w:t>
            </w:r>
            <w:r>
              <w:rPr>
                <w:color w:val="auto"/>
                <w:sz w:val="24"/>
                <w:highlight w:val="none"/>
              </w:rPr>
              <w:t xml:space="preserve">    </w:t>
            </w:r>
            <w:r>
              <w:rPr>
                <w:rFonts w:hint="eastAsia"/>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31" w:type="dxa"/>
            <w:noWrap w:val="0"/>
            <w:vAlign w:val="center"/>
          </w:tcPr>
          <w:p>
            <w:pPr>
              <w:spacing w:line="240" w:lineRule="atLeast"/>
              <w:jc w:val="center"/>
              <w:rPr>
                <w:color w:val="auto"/>
                <w:sz w:val="24"/>
                <w:highlight w:val="none"/>
              </w:rPr>
            </w:pPr>
            <w:r>
              <w:rPr>
                <w:rFonts w:hint="eastAsia"/>
                <w:color w:val="auto"/>
                <w:sz w:val="24"/>
                <w:highlight w:val="none"/>
              </w:rPr>
              <w:t>1</w:t>
            </w:r>
          </w:p>
        </w:tc>
        <w:tc>
          <w:tcPr>
            <w:tcW w:w="3650" w:type="dxa"/>
            <w:gridSpan w:val="2"/>
            <w:noWrap w:val="0"/>
            <w:vAlign w:val="center"/>
          </w:tcPr>
          <w:p>
            <w:pPr>
              <w:spacing w:line="240" w:lineRule="atLeast"/>
              <w:rPr>
                <w:color w:val="auto"/>
                <w:sz w:val="24"/>
                <w:highlight w:val="none"/>
              </w:rPr>
            </w:pPr>
            <w:r>
              <w:rPr>
                <w:rFonts w:hint="eastAsia"/>
                <w:color w:val="auto"/>
                <w:sz w:val="24"/>
                <w:highlight w:val="none"/>
              </w:rPr>
              <w:t>监理服务费总价</w:t>
            </w:r>
          </w:p>
        </w:tc>
        <w:tc>
          <w:tcPr>
            <w:tcW w:w="4689" w:type="dxa"/>
            <w:noWrap w:val="0"/>
            <w:vAlign w:val="center"/>
          </w:tcPr>
          <w:p>
            <w:pPr>
              <w:spacing w:line="240" w:lineRule="atLeast"/>
              <w:rPr>
                <w:color w:val="auto"/>
                <w:sz w:val="24"/>
                <w:highlight w:val="none"/>
              </w:rPr>
            </w:pPr>
            <w:r>
              <w:rPr>
                <w:rFonts w:hint="eastAsia"/>
                <w:color w:val="auto"/>
                <w:sz w:val="24"/>
                <w:highlight w:val="none"/>
              </w:rPr>
              <w:t>人民币</w:t>
            </w:r>
            <w:r>
              <w:rPr>
                <w:rFonts w:hint="eastAsia"/>
                <w:color w:val="auto"/>
                <w:sz w:val="24"/>
                <w:highlight w:val="none"/>
                <w:u w:val="single"/>
              </w:rPr>
              <w:t xml:space="preserve">         </w:t>
            </w:r>
            <w:r>
              <w:rPr>
                <w:rFonts w:hint="eastAsia"/>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531" w:type="dxa"/>
            <w:noWrap w:val="0"/>
            <w:vAlign w:val="center"/>
          </w:tcPr>
          <w:p>
            <w:pPr>
              <w:spacing w:line="240" w:lineRule="atLeast"/>
              <w:jc w:val="center"/>
              <w:rPr>
                <w:color w:val="auto"/>
                <w:sz w:val="24"/>
                <w:highlight w:val="none"/>
              </w:rPr>
            </w:pPr>
            <w:r>
              <w:rPr>
                <w:rFonts w:hint="eastAsia"/>
                <w:color w:val="auto"/>
                <w:sz w:val="24"/>
                <w:highlight w:val="none"/>
              </w:rPr>
              <w:t>2</w:t>
            </w:r>
          </w:p>
        </w:tc>
        <w:tc>
          <w:tcPr>
            <w:tcW w:w="3650" w:type="dxa"/>
            <w:gridSpan w:val="2"/>
            <w:noWrap w:val="0"/>
            <w:vAlign w:val="center"/>
          </w:tcPr>
          <w:p>
            <w:pPr>
              <w:spacing w:line="240" w:lineRule="atLeast"/>
              <w:jc w:val="left"/>
              <w:rPr>
                <w:color w:val="auto"/>
                <w:sz w:val="24"/>
                <w:highlight w:val="none"/>
              </w:rPr>
            </w:pPr>
            <w:r>
              <w:rPr>
                <w:rFonts w:hint="eastAsia"/>
                <w:color w:val="auto"/>
                <w:sz w:val="24"/>
                <w:highlight w:val="none"/>
              </w:rPr>
              <w:t>监理服务期：</w:t>
            </w:r>
          </w:p>
        </w:tc>
        <w:tc>
          <w:tcPr>
            <w:tcW w:w="4689" w:type="dxa"/>
            <w:noWrap w:val="0"/>
            <w:vAlign w:val="center"/>
          </w:tcPr>
          <w:p>
            <w:pPr>
              <w:spacing w:line="240" w:lineRule="atLeast"/>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31" w:type="dxa"/>
            <w:noWrap w:val="0"/>
            <w:vAlign w:val="center"/>
          </w:tcPr>
          <w:p>
            <w:pPr>
              <w:spacing w:line="240" w:lineRule="atLeast"/>
              <w:jc w:val="center"/>
              <w:rPr>
                <w:color w:val="auto"/>
                <w:sz w:val="24"/>
                <w:highlight w:val="none"/>
              </w:rPr>
            </w:pPr>
            <w:r>
              <w:rPr>
                <w:rFonts w:hint="eastAsia"/>
                <w:color w:val="auto"/>
                <w:sz w:val="24"/>
                <w:highlight w:val="none"/>
              </w:rPr>
              <w:t>3</w:t>
            </w:r>
          </w:p>
        </w:tc>
        <w:tc>
          <w:tcPr>
            <w:tcW w:w="3650" w:type="dxa"/>
            <w:gridSpan w:val="2"/>
            <w:noWrap w:val="0"/>
            <w:vAlign w:val="center"/>
          </w:tcPr>
          <w:p>
            <w:pPr>
              <w:spacing w:line="240" w:lineRule="atLeast"/>
              <w:rPr>
                <w:color w:val="auto"/>
                <w:sz w:val="24"/>
                <w:highlight w:val="none"/>
              </w:rPr>
            </w:pPr>
            <w:r>
              <w:rPr>
                <w:rFonts w:hint="eastAsia"/>
                <w:color w:val="auto"/>
                <w:sz w:val="24"/>
                <w:highlight w:val="none"/>
              </w:rPr>
              <w:t>履约保证金</w:t>
            </w:r>
          </w:p>
        </w:tc>
        <w:tc>
          <w:tcPr>
            <w:tcW w:w="4689" w:type="dxa"/>
            <w:noWrap w:val="0"/>
            <w:vAlign w:val="center"/>
          </w:tcPr>
          <w:p>
            <w:pPr>
              <w:spacing w:line="240" w:lineRule="atLeast"/>
              <w:rPr>
                <w:color w:val="auto"/>
                <w:sz w:val="24"/>
                <w:highlight w:val="none"/>
              </w:rPr>
            </w:pPr>
            <w:r>
              <w:rPr>
                <w:rFonts w:hint="eastAsia"/>
                <w:color w:val="auto"/>
                <w:sz w:val="24"/>
                <w:highlight w:val="none"/>
              </w:rPr>
              <w:t>中标价的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531" w:type="dxa"/>
            <w:vMerge w:val="restart"/>
            <w:noWrap w:val="0"/>
            <w:vAlign w:val="center"/>
          </w:tcPr>
          <w:p>
            <w:pPr>
              <w:spacing w:line="240" w:lineRule="atLeast"/>
              <w:jc w:val="center"/>
              <w:rPr>
                <w:color w:val="auto"/>
                <w:sz w:val="24"/>
                <w:highlight w:val="none"/>
              </w:rPr>
            </w:pPr>
            <w:r>
              <w:rPr>
                <w:rFonts w:hint="eastAsia"/>
                <w:color w:val="auto"/>
                <w:sz w:val="24"/>
                <w:highlight w:val="none"/>
              </w:rPr>
              <w:t>4</w:t>
            </w:r>
          </w:p>
        </w:tc>
        <w:tc>
          <w:tcPr>
            <w:tcW w:w="955" w:type="dxa"/>
            <w:vMerge w:val="restart"/>
            <w:noWrap w:val="0"/>
            <w:vAlign w:val="center"/>
          </w:tcPr>
          <w:p>
            <w:pPr>
              <w:adjustRightInd w:val="0"/>
              <w:snapToGrid w:val="0"/>
              <w:spacing w:before="120" w:beforeLines="50" w:after="120" w:afterLines="50" w:line="240" w:lineRule="atLeast"/>
              <w:rPr>
                <w:color w:val="auto"/>
                <w:sz w:val="24"/>
                <w:highlight w:val="none"/>
              </w:rPr>
            </w:pPr>
            <w:r>
              <w:rPr>
                <w:rFonts w:hint="eastAsia"/>
                <w:color w:val="auto"/>
                <w:sz w:val="24"/>
                <w:highlight w:val="none"/>
              </w:rPr>
              <w:t>总监理工程师</w:t>
            </w:r>
          </w:p>
        </w:tc>
        <w:tc>
          <w:tcPr>
            <w:tcW w:w="2695" w:type="dxa"/>
            <w:noWrap w:val="0"/>
            <w:vAlign w:val="center"/>
          </w:tcPr>
          <w:p>
            <w:pPr>
              <w:adjustRightInd w:val="0"/>
              <w:snapToGrid w:val="0"/>
              <w:spacing w:line="240" w:lineRule="atLeast"/>
              <w:rPr>
                <w:color w:val="auto"/>
                <w:sz w:val="24"/>
                <w:highlight w:val="none"/>
              </w:rPr>
            </w:pPr>
            <w:r>
              <w:rPr>
                <w:rFonts w:hint="eastAsia"/>
                <w:color w:val="auto"/>
                <w:sz w:val="24"/>
                <w:highlight w:val="none"/>
              </w:rPr>
              <w:t>姓  名</w:t>
            </w:r>
          </w:p>
        </w:tc>
        <w:tc>
          <w:tcPr>
            <w:tcW w:w="4689" w:type="dxa"/>
            <w:noWrap w:val="0"/>
            <w:vAlign w:val="center"/>
          </w:tcPr>
          <w:p>
            <w:pPr>
              <w:adjustRightInd w:val="0"/>
              <w:snapToGrid w:val="0"/>
              <w:spacing w:line="240" w:lineRule="atLeas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531" w:type="dxa"/>
            <w:vMerge w:val="continue"/>
            <w:noWrap w:val="0"/>
            <w:vAlign w:val="center"/>
          </w:tcPr>
          <w:p>
            <w:pPr>
              <w:spacing w:line="240" w:lineRule="atLeast"/>
              <w:jc w:val="center"/>
              <w:rPr>
                <w:color w:val="auto"/>
                <w:sz w:val="24"/>
                <w:highlight w:val="none"/>
              </w:rPr>
            </w:pPr>
          </w:p>
        </w:tc>
        <w:tc>
          <w:tcPr>
            <w:tcW w:w="955" w:type="dxa"/>
            <w:vMerge w:val="continue"/>
            <w:noWrap w:val="0"/>
            <w:vAlign w:val="center"/>
          </w:tcPr>
          <w:p>
            <w:pPr>
              <w:spacing w:line="240" w:lineRule="atLeast"/>
              <w:rPr>
                <w:color w:val="auto"/>
                <w:sz w:val="24"/>
                <w:highlight w:val="none"/>
              </w:rPr>
            </w:pPr>
          </w:p>
        </w:tc>
        <w:tc>
          <w:tcPr>
            <w:tcW w:w="2695" w:type="dxa"/>
            <w:noWrap w:val="0"/>
            <w:vAlign w:val="center"/>
          </w:tcPr>
          <w:p>
            <w:pPr>
              <w:spacing w:line="240" w:lineRule="atLeast"/>
              <w:rPr>
                <w:color w:val="auto"/>
                <w:sz w:val="24"/>
                <w:highlight w:val="none"/>
              </w:rPr>
            </w:pPr>
            <w:r>
              <w:rPr>
                <w:rFonts w:hint="eastAsia"/>
                <w:color w:val="auto"/>
                <w:sz w:val="24"/>
                <w:highlight w:val="none"/>
              </w:rPr>
              <w:t>职称证书及编号</w:t>
            </w:r>
          </w:p>
        </w:tc>
        <w:tc>
          <w:tcPr>
            <w:tcW w:w="4689" w:type="dxa"/>
            <w:noWrap w:val="0"/>
            <w:vAlign w:val="center"/>
          </w:tcPr>
          <w:p>
            <w:pPr>
              <w:spacing w:line="240" w:lineRule="atLeas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31" w:type="dxa"/>
            <w:vMerge w:val="continue"/>
            <w:noWrap w:val="0"/>
            <w:vAlign w:val="center"/>
          </w:tcPr>
          <w:p>
            <w:pPr>
              <w:spacing w:line="240" w:lineRule="atLeast"/>
              <w:jc w:val="center"/>
              <w:rPr>
                <w:color w:val="auto"/>
                <w:sz w:val="24"/>
                <w:highlight w:val="none"/>
              </w:rPr>
            </w:pPr>
          </w:p>
        </w:tc>
        <w:tc>
          <w:tcPr>
            <w:tcW w:w="955" w:type="dxa"/>
            <w:vMerge w:val="continue"/>
            <w:noWrap w:val="0"/>
            <w:vAlign w:val="center"/>
          </w:tcPr>
          <w:p>
            <w:pPr>
              <w:spacing w:line="240" w:lineRule="atLeast"/>
              <w:rPr>
                <w:color w:val="auto"/>
                <w:sz w:val="24"/>
                <w:highlight w:val="none"/>
              </w:rPr>
            </w:pPr>
          </w:p>
        </w:tc>
        <w:tc>
          <w:tcPr>
            <w:tcW w:w="2695" w:type="dxa"/>
            <w:noWrap w:val="0"/>
            <w:vAlign w:val="center"/>
          </w:tcPr>
          <w:p>
            <w:pPr>
              <w:adjustRightInd w:val="0"/>
              <w:snapToGrid w:val="0"/>
              <w:spacing w:line="240" w:lineRule="atLeast"/>
              <w:rPr>
                <w:color w:val="auto"/>
                <w:sz w:val="24"/>
                <w:highlight w:val="none"/>
              </w:rPr>
            </w:pPr>
            <w:r>
              <w:rPr>
                <w:rFonts w:hint="eastAsia"/>
                <w:color w:val="auto"/>
                <w:sz w:val="24"/>
                <w:highlight w:val="none"/>
              </w:rPr>
              <w:t>监理资格证书及编号</w:t>
            </w:r>
          </w:p>
        </w:tc>
        <w:tc>
          <w:tcPr>
            <w:tcW w:w="4689" w:type="dxa"/>
            <w:noWrap w:val="0"/>
            <w:vAlign w:val="center"/>
          </w:tcPr>
          <w:p>
            <w:pPr>
              <w:adjustRightInd w:val="0"/>
              <w:snapToGrid w:val="0"/>
              <w:spacing w:line="240" w:lineRule="atLeas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31" w:type="dxa"/>
            <w:vMerge w:val="restart"/>
            <w:noWrap w:val="0"/>
            <w:vAlign w:val="center"/>
          </w:tcPr>
          <w:p>
            <w:pPr>
              <w:spacing w:line="240" w:lineRule="atLeast"/>
              <w:jc w:val="center"/>
              <w:rPr>
                <w:color w:val="auto"/>
                <w:sz w:val="24"/>
                <w:highlight w:val="none"/>
              </w:rPr>
            </w:pPr>
            <w:r>
              <w:rPr>
                <w:rFonts w:hint="eastAsia"/>
                <w:color w:val="auto"/>
                <w:sz w:val="24"/>
                <w:highlight w:val="none"/>
              </w:rPr>
              <w:t>5</w:t>
            </w:r>
          </w:p>
        </w:tc>
        <w:tc>
          <w:tcPr>
            <w:tcW w:w="955" w:type="dxa"/>
            <w:vMerge w:val="restart"/>
            <w:noWrap w:val="0"/>
            <w:vAlign w:val="center"/>
          </w:tcPr>
          <w:p>
            <w:pPr>
              <w:spacing w:line="240" w:lineRule="atLeast"/>
              <w:rPr>
                <w:color w:val="auto"/>
                <w:sz w:val="24"/>
                <w:highlight w:val="none"/>
              </w:rPr>
            </w:pPr>
            <w:r>
              <w:rPr>
                <w:rFonts w:hint="eastAsia"/>
                <w:color w:val="auto"/>
                <w:sz w:val="24"/>
                <w:highlight w:val="none"/>
              </w:rPr>
              <w:t>试验室主任</w:t>
            </w:r>
          </w:p>
        </w:tc>
        <w:tc>
          <w:tcPr>
            <w:tcW w:w="2695" w:type="dxa"/>
            <w:noWrap w:val="0"/>
            <w:vAlign w:val="center"/>
          </w:tcPr>
          <w:p>
            <w:pPr>
              <w:adjustRightInd w:val="0"/>
              <w:snapToGrid w:val="0"/>
              <w:spacing w:line="240" w:lineRule="atLeast"/>
              <w:rPr>
                <w:color w:val="auto"/>
                <w:sz w:val="24"/>
                <w:highlight w:val="none"/>
              </w:rPr>
            </w:pPr>
            <w:r>
              <w:rPr>
                <w:rFonts w:hint="eastAsia"/>
                <w:color w:val="auto"/>
                <w:sz w:val="24"/>
                <w:highlight w:val="none"/>
              </w:rPr>
              <w:t>姓  名</w:t>
            </w:r>
          </w:p>
        </w:tc>
        <w:tc>
          <w:tcPr>
            <w:tcW w:w="4689" w:type="dxa"/>
            <w:noWrap w:val="0"/>
            <w:vAlign w:val="center"/>
          </w:tcPr>
          <w:p>
            <w:pPr>
              <w:adjustRightInd w:val="0"/>
              <w:snapToGrid w:val="0"/>
              <w:spacing w:line="240" w:lineRule="atLeas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31" w:type="dxa"/>
            <w:vMerge w:val="continue"/>
            <w:noWrap w:val="0"/>
            <w:vAlign w:val="center"/>
          </w:tcPr>
          <w:p>
            <w:pPr>
              <w:spacing w:line="240" w:lineRule="atLeast"/>
              <w:jc w:val="center"/>
              <w:rPr>
                <w:color w:val="auto"/>
                <w:sz w:val="24"/>
                <w:highlight w:val="none"/>
              </w:rPr>
            </w:pPr>
          </w:p>
        </w:tc>
        <w:tc>
          <w:tcPr>
            <w:tcW w:w="955" w:type="dxa"/>
            <w:vMerge w:val="continue"/>
            <w:noWrap w:val="0"/>
            <w:vAlign w:val="center"/>
          </w:tcPr>
          <w:p>
            <w:pPr>
              <w:spacing w:line="240" w:lineRule="atLeast"/>
              <w:rPr>
                <w:color w:val="auto"/>
                <w:sz w:val="24"/>
                <w:highlight w:val="none"/>
              </w:rPr>
            </w:pPr>
          </w:p>
        </w:tc>
        <w:tc>
          <w:tcPr>
            <w:tcW w:w="2695" w:type="dxa"/>
            <w:noWrap w:val="0"/>
            <w:vAlign w:val="center"/>
          </w:tcPr>
          <w:p>
            <w:pPr>
              <w:spacing w:line="240" w:lineRule="atLeast"/>
              <w:rPr>
                <w:color w:val="auto"/>
                <w:sz w:val="24"/>
                <w:highlight w:val="none"/>
              </w:rPr>
            </w:pPr>
            <w:r>
              <w:rPr>
                <w:rFonts w:hint="eastAsia"/>
                <w:color w:val="auto"/>
                <w:sz w:val="24"/>
                <w:highlight w:val="none"/>
              </w:rPr>
              <w:t>证书及编号</w:t>
            </w:r>
          </w:p>
        </w:tc>
        <w:tc>
          <w:tcPr>
            <w:tcW w:w="4689" w:type="dxa"/>
            <w:noWrap w:val="0"/>
            <w:vAlign w:val="center"/>
          </w:tcPr>
          <w:p>
            <w:pPr>
              <w:adjustRightInd w:val="0"/>
              <w:snapToGrid w:val="0"/>
              <w:spacing w:line="240" w:lineRule="atLeas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31" w:type="dxa"/>
            <w:noWrap w:val="0"/>
            <w:vAlign w:val="center"/>
          </w:tcPr>
          <w:p>
            <w:pPr>
              <w:spacing w:line="240" w:lineRule="atLeast"/>
              <w:jc w:val="center"/>
              <w:rPr>
                <w:color w:val="auto"/>
                <w:sz w:val="24"/>
                <w:highlight w:val="none"/>
              </w:rPr>
            </w:pPr>
            <w:r>
              <w:rPr>
                <w:rFonts w:hint="eastAsia"/>
                <w:color w:val="auto"/>
                <w:sz w:val="24"/>
                <w:highlight w:val="none"/>
              </w:rPr>
              <w:t>6</w:t>
            </w:r>
          </w:p>
        </w:tc>
        <w:tc>
          <w:tcPr>
            <w:tcW w:w="3650" w:type="dxa"/>
            <w:gridSpan w:val="2"/>
            <w:noWrap w:val="0"/>
            <w:vAlign w:val="center"/>
          </w:tcPr>
          <w:p>
            <w:pPr>
              <w:adjustRightInd w:val="0"/>
              <w:snapToGrid w:val="0"/>
              <w:spacing w:line="240" w:lineRule="atLeast"/>
              <w:rPr>
                <w:rFonts w:hint="eastAsia"/>
                <w:color w:val="auto"/>
                <w:sz w:val="24"/>
                <w:highlight w:val="none"/>
              </w:rPr>
            </w:pPr>
            <w:r>
              <w:rPr>
                <w:rFonts w:hint="eastAsia"/>
                <w:color w:val="auto"/>
                <w:sz w:val="24"/>
                <w:highlight w:val="none"/>
              </w:rPr>
              <w:t>其他主要人员配置</w:t>
            </w:r>
          </w:p>
        </w:tc>
        <w:tc>
          <w:tcPr>
            <w:tcW w:w="4689" w:type="dxa"/>
            <w:noWrap w:val="0"/>
            <w:vAlign w:val="center"/>
          </w:tcPr>
          <w:p>
            <w:pPr>
              <w:adjustRightInd w:val="0"/>
              <w:snapToGrid w:val="0"/>
              <w:spacing w:line="240" w:lineRule="atLeast"/>
              <w:rPr>
                <w:color w:val="auto"/>
                <w:sz w:val="24"/>
                <w:highlight w:val="none"/>
              </w:rPr>
            </w:pPr>
            <w:r>
              <w:rPr>
                <w:rFonts w:hint="eastAsia"/>
                <w:color w:val="auto"/>
                <w:sz w:val="24"/>
                <w:highlight w:val="none"/>
              </w:rPr>
              <w:t>按招标文件“其他主要人员最低资格要求”配置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31" w:type="dxa"/>
            <w:noWrap w:val="0"/>
            <w:vAlign w:val="center"/>
          </w:tcPr>
          <w:p>
            <w:pPr>
              <w:spacing w:line="240" w:lineRule="atLeast"/>
              <w:jc w:val="center"/>
              <w:rPr>
                <w:rFonts w:hint="eastAsia"/>
                <w:color w:val="auto"/>
                <w:sz w:val="24"/>
                <w:highlight w:val="none"/>
              </w:rPr>
            </w:pPr>
            <w:r>
              <w:rPr>
                <w:rFonts w:hint="eastAsia"/>
                <w:color w:val="auto"/>
                <w:sz w:val="24"/>
                <w:highlight w:val="none"/>
              </w:rPr>
              <w:t>7</w:t>
            </w:r>
          </w:p>
        </w:tc>
        <w:tc>
          <w:tcPr>
            <w:tcW w:w="3650" w:type="dxa"/>
            <w:gridSpan w:val="2"/>
            <w:noWrap w:val="0"/>
            <w:vAlign w:val="center"/>
          </w:tcPr>
          <w:p>
            <w:pPr>
              <w:adjustRightInd w:val="0"/>
              <w:snapToGrid w:val="0"/>
              <w:spacing w:line="240" w:lineRule="atLeast"/>
              <w:rPr>
                <w:rFonts w:hint="eastAsia"/>
                <w:color w:val="auto"/>
                <w:sz w:val="24"/>
                <w:highlight w:val="none"/>
              </w:rPr>
            </w:pPr>
            <w:r>
              <w:rPr>
                <w:rFonts w:hint="eastAsia" w:ascii="宋体" w:hAnsi="宋体"/>
                <w:color w:val="auto"/>
                <w:sz w:val="24"/>
                <w:highlight w:val="none"/>
              </w:rPr>
              <w:t>投标有效期</w:t>
            </w:r>
          </w:p>
        </w:tc>
        <w:tc>
          <w:tcPr>
            <w:tcW w:w="4689" w:type="dxa"/>
            <w:noWrap w:val="0"/>
            <w:vAlign w:val="center"/>
          </w:tcPr>
          <w:p>
            <w:pPr>
              <w:adjustRightInd w:val="0"/>
              <w:snapToGrid w:val="0"/>
              <w:spacing w:line="240" w:lineRule="atLeast"/>
              <w:rPr>
                <w:rFonts w:hint="eastAsia"/>
                <w:color w:val="auto"/>
                <w:sz w:val="24"/>
                <w:highlight w:val="none"/>
              </w:rPr>
            </w:pPr>
            <w:r>
              <w:rPr>
                <w:rFonts w:hint="eastAsia"/>
                <w:color w:val="auto"/>
                <w:sz w:val="24"/>
                <w:highlight w:val="none"/>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31" w:type="dxa"/>
            <w:noWrap w:val="0"/>
            <w:vAlign w:val="center"/>
          </w:tcPr>
          <w:p>
            <w:pPr>
              <w:spacing w:line="240" w:lineRule="atLeast"/>
              <w:jc w:val="center"/>
              <w:rPr>
                <w:rFonts w:hint="eastAsia"/>
                <w:color w:val="auto"/>
                <w:sz w:val="24"/>
                <w:highlight w:val="none"/>
              </w:rPr>
            </w:pPr>
            <w:r>
              <w:rPr>
                <w:rFonts w:hint="eastAsia"/>
                <w:color w:val="auto"/>
                <w:sz w:val="24"/>
                <w:highlight w:val="none"/>
              </w:rPr>
              <w:t>8</w:t>
            </w:r>
          </w:p>
        </w:tc>
        <w:tc>
          <w:tcPr>
            <w:tcW w:w="3650" w:type="dxa"/>
            <w:gridSpan w:val="2"/>
            <w:noWrap w:val="0"/>
            <w:vAlign w:val="center"/>
          </w:tcPr>
          <w:p>
            <w:pPr>
              <w:adjustRightInd w:val="0"/>
              <w:snapToGrid w:val="0"/>
              <w:spacing w:line="240" w:lineRule="atLeast"/>
              <w:rPr>
                <w:rFonts w:hint="eastAsia"/>
                <w:color w:val="auto"/>
                <w:sz w:val="24"/>
                <w:highlight w:val="none"/>
              </w:rPr>
            </w:pPr>
            <w:r>
              <w:rPr>
                <w:rFonts w:hint="eastAsia" w:ascii="宋体" w:hAnsi="宋体"/>
                <w:color w:val="auto"/>
                <w:sz w:val="24"/>
                <w:highlight w:val="none"/>
              </w:rPr>
              <w:t>权利义务</w:t>
            </w:r>
          </w:p>
        </w:tc>
        <w:tc>
          <w:tcPr>
            <w:tcW w:w="4689" w:type="dxa"/>
            <w:noWrap w:val="0"/>
            <w:vAlign w:val="center"/>
          </w:tcPr>
          <w:p>
            <w:pPr>
              <w:adjustRightInd w:val="0"/>
              <w:snapToGrid w:val="0"/>
              <w:spacing w:line="240" w:lineRule="atLeast"/>
              <w:rPr>
                <w:rFonts w:hint="eastAsia"/>
                <w:color w:val="auto"/>
                <w:sz w:val="24"/>
                <w:highlight w:val="none"/>
              </w:rPr>
            </w:pPr>
            <w:r>
              <w:rPr>
                <w:rFonts w:hint="eastAsia" w:ascii="宋体" w:hAnsi="宋体"/>
                <w:color w:val="auto"/>
                <w:sz w:val="24"/>
                <w:highlight w:val="none"/>
              </w:rPr>
              <w:t>按</w:t>
            </w:r>
            <w:r>
              <w:rPr>
                <w:rFonts w:hint="eastAsia"/>
                <w:color w:val="auto"/>
                <w:sz w:val="24"/>
                <w:highlight w:val="none"/>
              </w:rPr>
              <w:t>招标文件</w:t>
            </w:r>
            <w:r>
              <w:rPr>
                <w:rFonts w:hint="eastAsia" w:ascii="宋体" w:hAnsi="宋体"/>
                <w:color w:val="auto"/>
                <w:sz w:val="24"/>
                <w:highlight w:val="none"/>
              </w:rPr>
              <w:t>第</w:t>
            </w:r>
            <w:r>
              <w:rPr>
                <w:rFonts w:hint="eastAsia" w:ascii="宋体" w:hAnsi="宋体"/>
                <w:color w:val="auto"/>
                <w:sz w:val="24"/>
                <w:highlight w:val="none"/>
                <w:lang w:eastAsia="zh-CN"/>
              </w:rPr>
              <w:t>五</w:t>
            </w:r>
            <w:r>
              <w:rPr>
                <w:rFonts w:hint="eastAsia" w:ascii="宋体" w:hAnsi="宋体"/>
                <w:color w:val="auto"/>
                <w:sz w:val="24"/>
                <w:highlight w:val="none"/>
              </w:rPr>
              <w:t>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31" w:type="dxa"/>
            <w:noWrap w:val="0"/>
            <w:vAlign w:val="center"/>
          </w:tcPr>
          <w:p>
            <w:pPr>
              <w:spacing w:line="240" w:lineRule="atLeast"/>
              <w:jc w:val="center"/>
              <w:rPr>
                <w:rFonts w:hint="eastAsia"/>
                <w:color w:val="auto"/>
                <w:sz w:val="24"/>
                <w:highlight w:val="none"/>
              </w:rPr>
            </w:pPr>
            <w:r>
              <w:rPr>
                <w:rFonts w:hint="eastAsia"/>
                <w:color w:val="auto"/>
                <w:sz w:val="24"/>
                <w:highlight w:val="none"/>
              </w:rPr>
              <w:t>9</w:t>
            </w:r>
          </w:p>
        </w:tc>
        <w:tc>
          <w:tcPr>
            <w:tcW w:w="3650" w:type="dxa"/>
            <w:gridSpan w:val="2"/>
            <w:noWrap w:val="0"/>
            <w:vAlign w:val="center"/>
          </w:tcPr>
          <w:p>
            <w:pPr>
              <w:adjustRightInd w:val="0"/>
              <w:snapToGrid w:val="0"/>
              <w:spacing w:line="240" w:lineRule="atLeast"/>
              <w:rPr>
                <w:rFonts w:hint="eastAsia"/>
                <w:color w:val="auto"/>
                <w:sz w:val="24"/>
                <w:highlight w:val="none"/>
              </w:rPr>
            </w:pPr>
            <w:r>
              <w:rPr>
                <w:rFonts w:hint="eastAsia" w:ascii="宋体" w:hAnsi="宋体"/>
                <w:color w:val="auto"/>
                <w:sz w:val="24"/>
                <w:highlight w:val="none"/>
              </w:rPr>
              <w:t>信誉承诺</w:t>
            </w:r>
          </w:p>
        </w:tc>
        <w:tc>
          <w:tcPr>
            <w:tcW w:w="4689" w:type="dxa"/>
            <w:noWrap w:val="0"/>
            <w:vAlign w:val="center"/>
          </w:tcPr>
          <w:p>
            <w:pPr>
              <w:adjustRightInd w:val="0"/>
              <w:snapToGrid w:val="0"/>
              <w:spacing w:line="240" w:lineRule="atLeast"/>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31" w:type="dxa"/>
            <w:noWrap w:val="0"/>
            <w:vAlign w:val="center"/>
          </w:tcPr>
          <w:p>
            <w:pPr>
              <w:spacing w:line="240" w:lineRule="atLeast"/>
              <w:jc w:val="center"/>
              <w:rPr>
                <w:rFonts w:hint="eastAsia"/>
                <w:color w:val="auto"/>
                <w:sz w:val="24"/>
                <w:highlight w:val="none"/>
              </w:rPr>
            </w:pPr>
            <w:r>
              <w:rPr>
                <w:rFonts w:hint="eastAsia"/>
                <w:color w:val="auto"/>
                <w:sz w:val="24"/>
                <w:highlight w:val="none"/>
              </w:rPr>
              <w:t>10</w:t>
            </w:r>
          </w:p>
        </w:tc>
        <w:tc>
          <w:tcPr>
            <w:tcW w:w="3650" w:type="dxa"/>
            <w:gridSpan w:val="2"/>
            <w:noWrap w:val="0"/>
            <w:vAlign w:val="center"/>
          </w:tcPr>
          <w:p>
            <w:pPr>
              <w:adjustRightInd w:val="0"/>
              <w:snapToGrid w:val="0"/>
              <w:spacing w:line="240" w:lineRule="atLeast"/>
              <w:rPr>
                <w:rFonts w:hint="eastAsia" w:ascii="宋体" w:hAnsi="宋体"/>
                <w:color w:val="auto"/>
                <w:sz w:val="24"/>
                <w:highlight w:val="none"/>
              </w:rPr>
            </w:pPr>
            <w:r>
              <w:rPr>
                <w:rFonts w:hint="eastAsia" w:ascii="宋体" w:hAnsi="宋体"/>
                <w:color w:val="auto"/>
                <w:sz w:val="24"/>
                <w:szCs w:val="24"/>
                <w:highlight w:val="none"/>
              </w:rPr>
              <w:t>企业财务</w:t>
            </w:r>
          </w:p>
        </w:tc>
        <w:tc>
          <w:tcPr>
            <w:tcW w:w="4689" w:type="dxa"/>
            <w:noWrap w:val="0"/>
            <w:vAlign w:val="center"/>
          </w:tcPr>
          <w:p>
            <w:pPr>
              <w:rPr>
                <w:rFonts w:hint="eastAsia"/>
                <w:color w:val="auto"/>
                <w:sz w:val="24"/>
                <w:highlight w:val="none"/>
              </w:rPr>
            </w:pPr>
          </w:p>
        </w:tc>
      </w:tr>
    </w:tbl>
    <w:p>
      <w:pPr>
        <w:spacing w:before="100" w:beforeAutospacing="1" w:after="100" w:afterAutospacing="1" w:line="360" w:lineRule="auto"/>
        <w:ind w:right="26"/>
        <w:jc w:val="center"/>
        <w:rPr>
          <w:color w:val="auto"/>
          <w:szCs w:val="21"/>
          <w:highlight w:val="none"/>
        </w:rPr>
      </w:pPr>
      <w:r>
        <w:rPr>
          <w:rFonts w:hint="eastAsia"/>
          <w:color w:val="auto"/>
          <w:szCs w:val="21"/>
          <w:highlight w:val="none"/>
        </w:rPr>
        <w:t xml:space="preserve">                             </w:t>
      </w:r>
    </w:p>
    <w:p>
      <w:pPr>
        <w:spacing w:before="100" w:beforeAutospacing="1" w:after="100" w:afterAutospacing="1" w:line="360" w:lineRule="auto"/>
        <w:ind w:right="26"/>
        <w:jc w:val="center"/>
        <w:rPr>
          <w:color w:val="auto"/>
          <w:sz w:val="24"/>
          <w:highlight w:val="none"/>
          <w:u w:val="single"/>
        </w:rPr>
      </w:pPr>
      <w:r>
        <w:rPr>
          <w:rFonts w:hint="eastAsia"/>
          <w:color w:val="auto"/>
          <w:szCs w:val="21"/>
          <w:highlight w:val="none"/>
        </w:rPr>
        <w:t xml:space="preserve">             </w:t>
      </w:r>
      <w:r>
        <w:rPr>
          <w:rFonts w:hint="eastAsia"/>
          <w:color w:val="auto"/>
          <w:sz w:val="24"/>
          <w:highlight w:val="none"/>
        </w:rPr>
        <w:t>投标人（</w:t>
      </w:r>
      <w:r>
        <w:rPr>
          <w:rFonts w:hint="eastAsia" w:ascii="宋体" w:hAnsi="宋体"/>
          <w:color w:val="auto"/>
          <w:sz w:val="24"/>
          <w:highlight w:val="none"/>
        </w:rPr>
        <w:t>盖单位电子章</w:t>
      </w:r>
      <w:r>
        <w:rPr>
          <w:rFonts w:hint="eastAsia"/>
          <w:color w:val="auto"/>
          <w:sz w:val="24"/>
          <w:highlight w:val="none"/>
        </w:rPr>
        <w:t>）：</w:t>
      </w:r>
      <w:r>
        <w:rPr>
          <w:rFonts w:hint="eastAsia"/>
          <w:color w:val="auto"/>
          <w:sz w:val="24"/>
          <w:highlight w:val="none"/>
          <w:u w:val="single"/>
        </w:rPr>
        <w:t xml:space="preserve">                    </w:t>
      </w:r>
    </w:p>
    <w:p>
      <w:pPr>
        <w:spacing w:before="100" w:beforeAutospacing="1" w:after="100" w:afterAutospacing="1" w:line="360" w:lineRule="auto"/>
        <w:ind w:right="315" w:firstLine="480" w:firstLineChars="200"/>
        <w:jc w:val="right"/>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rPr>
          <w:color w:val="auto"/>
          <w:sz w:val="24"/>
          <w:highlight w:val="none"/>
        </w:rPr>
      </w:pPr>
    </w:p>
    <w:p>
      <w:pPr>
        <w:rPr>
          <w:color w:val="auto"/>
          <w:sz w:val="24"/>
          <w:highlight w:val="none"/>
        </w:rPr>
      </w:pPr>
    </w:p>
    <w:p>
      <w:pPr>
        <w:pStyle w:val="4"/>
        <w:jc w:val="center"/>
        <w:rPr>
          <w:color w:val="auto"/>
          <w:highlight w:val="none"/>
        </w:rPr>
      </w:pPr>
      <w:bookmarkStart w:id="1542" w:name="_Toc488651017"/>
      <w:bookmarkStart w:id="1543" w:name="_Toc330384491"/>
      <w:bookmarkStart w:id="1544" w:name="_Toc283558801"/>
      <w:bookmarkStart w:id="1545" w:name="_Toc307991239"/>
      <w:bookmarkStart w:id="1546" w:name="_Toc283559298"/>
      <w:bookmarkStart w:id="1547" w:name="_Toc487291629"/>
      <w:bookmarkStart w:id="1548" w:name="_Toc356568018"/>
      <w:bookmarkStart w:id="1549" w:name="_Toc341805340"/>
      <w:bookmarkStart w:id="1550" w:name="_Toc222740174"/>
      <w:bookmarkStart w:id="1551" w:name="_Toc286759142"/>
      <w:r>
        <w:rPr>
          <w:color w:val="auto"/>
          <w:highlight w:val="none"/>
        </w:rPr>
        <w:br w:type="page"/>
      </w:r>
      <w:r>
        <w:rPr>
          <w:rFonts w:hint="eastAsia"/>
          <w:color w:val="auto"/>
          <w:highlight w:val="none"/>
        </w:rPr>
        <w:t>二、法定代表人身份证明</w:t>
      </w:r>
      <w:bookmarkEnd w:id="1542"/>
      <w:bookmarkEnd w:id="1543"/>
      <w:bookmarkEnd w:id="1544"/>
      <w:bookmarkEnd w:id="1545"/>
      <w:bookmarkEnd w:id="1546"/>
      <w:bookmarkEnd w:id="1547"/>
      <w:bookmarkEnd w:id="1548"/>
      <w:bookmarkEnd w:id="1549"/>
      <w:bookmarkEnd w:id="1550"/>
      <w:bookmarkEnd w:id="1551"/>
    </w:p>
    <w:p>
      <w:pPr>
        <w:spacing w:before="240" w:beforeLines="100" w:after="240" w:afterLines="100" w:line="360" w:lineRule="auto"/>
        <w:jc w:val="center"/>
        <w:rPr>
          <w:rFonts w:eastAsia="黑体"/>
          <w:b/>
          <w:color w:val="auto"/>
          <w:sz w:val="28"/>
          <w:szCs w:val="21"/>
          <w:highlight w:val="none"/>
        </w:rPr>
      </w:pPr>
    </w:p>
    <w:p>
      <w:pPr>
        <w:spacing w:after="120" w:afterLines="50" w:line="500" w:lineRule="exact"/>
        <w:ind w:firstLine="480" w:firstLineChars="200"/>
        <w:rPr>
          <w:color w:val="auto"/>
          <w:sz w:val="24"/>
          <w:highlight w:val="none"/>
        </w:rPr>
      </w:pPr>
      <w:r>
        <w:rPr>
          <w:rFonts w:hint="eastAsia"/>
          <w:color w:val="auto"/>
          <w:sz w:val="24"/>
          <w:highlight w:val="none"/>
        </w:rPr>
        <w:t>投标人名称：</w:t>
      </w:r>
      <w:r>
        <w:rPr>
          <w:rFonts w:hint="eastAsia"/>
          <w:color w:val="auto"/>
          <w:sz w:val="24"/>
          <w:highlight w:val="none"/>
          <w:u w:val="single"/>
        </w:rPr>
        <w:t xml:space="preserve">                                   </w:t>
      </w:r>
    </w:p>
    <w:p>
      <w:pPr>
        <w:spacing w:after="120" w:afterLines="50" w:line="500" w:lineRule="exact"/>
        <w:ind w:firstLine="480" w:firstLineChars="200"/>
        <w:rPr>
          <w:color w:val="auto"/>
          <w:sz w:val="24"/>
          <w:highlight w:val="none"/>
          <w:u w:val="single"/>
        </w:rPr>
      </w:pPr>
      <w:r>
        <w:rPr>
          <w:rFonts w:hint="eastAsia"/>
          <w:color w:val="auto"/>
          <w:sz w:val="24"/>
          <w:highlight w:val="none"/>
        </w:rPr>
        <w:t>单位性质：</w:t>
      </w:r>
      <w:r>
        <w:rPr>
          <w:rFonts w:hint="eastAsia"/>
          <w:color w:val="auto"/>
          <w:sz w:val="24"/>
          <w:highlight w:val="none"/>
          <w:u w:val="single"/>
        </w:rPr>
        <w:t xml:space="preserve">                                     </w:t>
      </w:r>
    </w:p>
    <w:p>
      <w:pPr>
        <w:spacing w:after="120" w:afterLines="50" w:line="500" w:lineRule="exact"/>
        <w:ind w:firstLine="480" w:firstLineChars="200"/>
        <w:rPr>
          <w:color w:val="auto"/>
          <w:sz w:val="24"/>
          <w:highlight w:val="none"/>
          <w:u w:val="single"/>
        </w:rPr>
      </w:pPr>
      <w:r>
        <w:rPr>
          <w:rFonts w:hint="eastAsia"/>
          <w:color w:val="auto"/>
          <w:sz w:val="24"/>
          <w:highlight w:val="none"/>
        </w:rPr>
        <w:t>地址：</w:t>
      </w:r>
      <w:r>
        <w:rPr>
          <w:rFonts w:hint="eastAsia"/>
          <w:color w:val="auto"/>
          <w:sz w:val="24"/>
          <w:highlight w:val="none"/>
          <w:u w:val="single"/>
        </w:rPr>
        <w:t xml:space="preserve">                                         </w:t>
      </w:r>
    </w:p>
    <w:p>
      <w:pPr>
        <w:spacing w:after="120" w:afterLines="50" w:line="500" w:lineRule="exact"/>
        <w:ind w:firstLine="480" w:firstLineChars="200"/>
        <w:rPr>
          <w:color w:val="auto"/>
          <w:sz w:val="24"/>
          <w:highlight w:val="none"/>
        </w:rPr>
      </w:pPr>
      <w:r>
        <w:rPr>
          <w:rFonts w:hint="eastAsia"/>
          <w:color w:val="auto"/>
          <w:sz w:val="24"/>
          <w:highlight w:val="none"/>
        </w:rPr>
        <w:t>成立时间：</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after="120" w:afterLines="50" w:line="500" w:lineRule="exact"/>
        <w:ind w:firstLine="480" w:firstLineChars="200"/>
        <w:rPr>
          <w:color w:val="auto"/>
          <w:sz w:val="24"/>
          <w:highlight w:val="none"/>
          <w:u w:val="single"/>
        </w:rPr>
      </w:pPr>
      <w:r>
        <w:rPr>
          <w:rFonts w:hint="eastAsia"/>
          <w:color w:val="auto"/>
          <w:sz w:val="24"/>
          <w:highlight w:val="none"/>
        </w:rPr>
        <w:t>经营期限：</w:t>
      </w:r>
      <w:r>
        <w:rPr>
          <w:rFonts w:hint="eastAsia"/>
          <w:color w:val="auto"/>
          <w:sz w:val="24"/>
          <w:highlight w:val="none"/>
          <w:u w:val="single"/>
        </w:rPr>
        <w:t xml:space="preserve">                                     </w:t>
      </w:r>
    </w:p>
    <w:p>
      <w:pPr>
        <w:spacing w:after="120" w:afterLines="50" w:line="500" w:lineRule="exact"/>
        <w:ind w:firstLine="480" w:firstLineChars="200"/>
        <w:rPr>
          <w:color w:val="auto"/>
          <w:sz w:val="24"/>
          <w:highlight w:val="none"/>
        </w:rPr>
      </w:pPr>
      <w:r>
        <w:rPr>
          <w:rFonts w:hint="eastAsia"/>
          <w:color w:val="auto"/>
          <w:sz w:val="24"/>
          <w:highlight w:val="none"/>
        </w:rPr>
        <w:t>姓名：</w:t>
      </w:r>
      <w:r>
        <w:rPr>
          <w:rFonts w:hint="eastAsia"/>
          <w:color w:val="auto"/>
          <w:sz w:val="24"/>
          <w:highlight w:val="none"/>
          <w:u w:val="single"/>
        </w:rPr>
        <w:t xml:space="preserve">          </w:t>
      </w:r>
      <w:r>
        <w:rPr>
          <w:rFonts w:hint="eastAsia"/>
          <w:color w:val="auto"/>
          <w:sz w:val="24"/>
          <w:highlight w:val="none"/>
        </w:rPr>
        <w:t>性别：</w:t>
      </w:r>
      <w:r>
        <w:rPr>
          <w:rFonts w:hint="eastAsia"/>
          <w:color w:val="auto"/>
          <w:sz w:val="24"/>
          <w:highlight w:val="none"/>
          <w:u w:val="single"/>
        </w:rPr>
        <w:t xml:space="preserve">          </w:t>
      </w:r>
      <w:r>
        <w:rPr>
          <w:rFonts w:hint="eastAsia"/>
          <w:color w:val="auto"/>
          <w:sz w:val="24"/>
          <w:highlight w:val="none"/>
        </w:rPr>
        <w:t>年龄：</w:t>
      </w:r>
      <w:r>
        <w:rPr>
          <w:rFonts w:hint="eastAsia"/>
          <w:color w:val="auto"/>
          <w:sz w:val="24"/>
          <w:highlight w:val="none"/>
          <w:u w:val="single"/>
        </w:rPr>
        <w:t xml:space="preserve">          </w:t>
      </w:r>
      <w:r>
        <w:rPr>
          <w:rFonts w:hint="eastAsia"/>
          <w:color w:val="auto"/>
          <w:sz w:val="24"/>
          <w:highlight w:val="none"/>
        </w:rPr>
        <w:t>职务：</w:t>
      </w:r>
      <w:r>
        <w:rPr>
          <w:rFonts w:hint="eastAsia"/>
          <w:color w:val="auto"/>
          <w:sz w:val="24"/>
          <w:highlight w:val="none"/>
          <w:u w:val="single"/>
        </w:rPr>
        <w:t xml:space="preserve">          </w:t>
      </w:r>
      <w:r>
        <w:rPr>
          <w:rFonts w:hint="eastAsia"/>
          <w:color w:val="auto"/>
          <w:sz w:val="24"/>
          <w:highlight w:val="none"/>
        </w:rPr>
        <w:t>系</w:t>
      </w:r>
      <w:r>
        <w:rPr>
          <w:rFonts w:hint="eastAsia"/>
          <w:color w:val="auto"/>
          <w:sz w:val="24"/>
          <w:highlight w:val="none"/>
          <w:u w:val="single"/>
        </w:rPr>
        <w:t xml:space="preserve">        </w:t>
      </w:r>
      <w:r>
        <w:rPr>
          <w:rFonts w:hint="eastAsia"/>
          <w:color w:val="auto"/>
          <w:sz w:val="24"/>
          <w:highlight w:val="none"/>
        </w:rPr>
        <w:t>（投标人名称）的法定代表人。</w:t>
      </w:r>
    </w:p>
    <w:p>
      <w:pPr>
        <w:spacing w:after="120" w:afterLines="50" w:line="500" w:lineRule="exact"/>
        <w:ind w:firstLine="480" w:firstLineChars="200"/>
        <w:rPr>
          <w:color w:val="auto"/>
          <w:sz w:val="24"/>
          <w:highlight w:val="none"/>
        </w:rPr>
      </w:pPr>
      <w:r>
        <w:rPr>
          <w:rFonts w:hint="eastAsia"/>
          <w:color w:val="auto"/>
          <w:sz w:val="24"/>
          <w:highlight w:val="none"/>
        </w:rPr>
        <w:t>特此证明。</w:t>
      </w:r>
    </w:p>
    <w:p>
      <w:pPr>
        <w:spacing w:after="120" w:afterLines="50" w:line="500" w:lineRule="exact"/>
        <w:ind w:firstLine="420" w:firstLineChars="200"/>
        <w:rPr>
          <w:color w:val="auto"/>
          <w:sz w:val="24"/>
          <w:highlight w:val="none"/>
        </w:rPr>
      </w:pPr>
      <w:r>
        <w:rPr>
          <w:rFonts w:hint="eastAsia" w:ascii="宋体" w:hAnsi="宋体"/>
          <w:color w:val="auto"/>
          <w:szCs w:val="21"/>
          <w:highlight w:val="none"/>
        </w:rPr>
        <w:t>附：法定代表人身份证正反面彩色影印件。</w:t>
      </w:r>
    </w:p>
    <w:p>
      <w:pPr>
        <w:spacing w:after="120" w:afterLines="50" w:line="420" w:lineRule="exact"/>
        <w:ind w:firstLine="480" w:firstLineChars="200"/>
        <w:rPr>
          <w:color w:val="auto"/>
          <w:sz w:val="24"/>
          <w:highlight w:val="none"/>
        </w:rPr>
      </w:pPr>
    </w:p>
    <w:p>
      <w:pPr>
        <w:spacing w:before="720" w:after="120" w:afterLines="50" w:line="360" w:lineRule="exact"/>
        <w:ind w:firstLine="4320" w:firstLineChars="1800"/>
        <w:rPr>
          <w:color w:val="auto"/>
          <w:sz w:val="24"/>
          <w:highlight w:val="none"/>
        </w:rPr>
      </w:pPr>
      <w:r>
        <w:rPr>
          <w:color w:val="auto"/>
          <w:sz w:val="24"/>
          <w:highlight w:val="none"/>
        </w:rPr>
        <w:t>投标人（</w:t>
      </w:r>
      <w:r>
        <w:rPr>
          <w:rFonts w:hint="eastAsia" w:ascii="宋体" w:hAnsi="宋体"/>
          <w:color w:val="auto"/>
          <w:sz w:val="24"/>
          <w:highlight w:val="none"/>
        </w:rPr>
        <w:t>盖单位电子章</w:t>
      </w:r>
      <w:r>
        <w:rPr>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pPr>
        <w:spacing w:line="800" w:lineRule="exact"/>
        <w:ind w:firstLine="4440" w:firstLineChars="1850"/>
        <w:rPr>
          <w:color w:val="auto"/>
          <w:sz w:val="24"/>
          <w:highlight w:val="none"/>
        </w:rPr>
      </w:pPr>
      <w:r>
        <w:rPr>
          <w:color w:val="auto"/>
          <w:sz w:val="24"/>
          <w:highlight w:val="none"/>
        </w:rPr>
        <w:t>日</w:t>
      </w:r>
      <w:r>
        <w:rPr>
          <w:rFonts w:hint="eastAsia"/>
          <w:color w:val="auto"/>
          <w:sz w:val="24"/>
          <w:highlight w:val="none"/>
        </w:rPr>
        <w:t xml:space="preserve">  </w:t>
      </w:r>
      <w:r>
        <w:rPr>
          <w:color w:val="auto"/>
          <w:sz w:val="24"/>
          <w:highlight w:val="none"/>
        </w:rPr>
        <w:t>期：</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日</w:t>
      </w:r>
    </w:p>
    <w:p>
      <w:pPr>
        <w:rPr>
          <w:color w:val="auto"/>
          <w:sz w:val="24"/>
          <w:highlight w:val="none"/>
        </w:rPr>
      </w:pPr>
    </w:p>
    <w:p>
      <w:pPr>
        <w:rPr>
          <w:color w:val="auto"/>
          <w:sz w:val="24"/>
          <w:highlight w:val="none"/>
        </w:rPr>
      </w:pPr>
    </w:p>
    <w:p>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（注：联合体投标时，非牵头人方可采用盖章彩色扫描件上传）</w:t>
      </w:r>
    </w:p>
    <w:p>
      <w:pPr>
        <w:rPr>
          <w:color w:val="auto"/>
          <w:sz w:val="24"/>
          <w:highlight w:val="none"/>
        </w:rPr>
      </w:pPr>
    </w:p>
    <w:p>
      <w:pPr>
        <w:rPr>
          <w:color w:val="auto"/>
          <w:sz w:val="24"/>
          <w:highlight w:val="none"/>
        </w:rPr>
      </w:pPr>
    </w:p>
    <w:p>
      <w:pPr>
        <w:widowControl/>
        <w:jc w:val="left"/>
        <w:rPr>
          <w:rFonts w:eastAsia="黑体"/>
          <w:b/>
          <w:bCs/>
          <w:color w:val="auto"/>
          <w:sz w:val="28"/>
          <w:szCs w:val="32"/>
          <w:highlight w:val="none"/>
        </w:rPr>
      </w:pPr>
      <w:bookmarkStart w:id="1552" w:name="_Toc487291630"/>
      <w:bookmarkStart w:id="1553" w:name="_Toc283559299"/>
      <w:bookmarkStart w:id="1554" w:name="_Toc341805341"/>
      <w:bookmarkStart w:id="1555" w:name="_Toc286759143"/>
      <w:bookmarkStart w:id="1556" w:name="_Toc307991240"/>
      <w:bookmarkStart w:id="1557" w:name="_Toc222740175"/>
      <w:bookmarkStart w:id="1558" w:name="_Toc330384492"/>
      <w:bookmarkStart w:id="1559" w:name="_Toc356568019"/>
      <w:bookmarkStart w:id="1560" w:name="_Toc283558802"/>
      <w:r>
        <w:rPr>
          <w:color w:val="auto"/>
          <w:highlight w:val="none"/>
        </w:rPr>
        <w:br w:type="page"/>
      </w:r>
    </w:p>
    <w:p>
      <w:pPr>
        <w:pStyle w:val="4"/>
        <w:jc w:val="center"/>
        <w:rPr>
          <w:color w:val="auto"/>
          <w:highlight w:val="none"/>
        </w:rPr>
      </w:pPr>
      <w:bookmarkStart w:id="1561" w:name="_Toc488651018"/>
      <w:r>
        <w:rPr>
          <w:rFonts w:hint="eastAsia"/>
          <w:color w:val="auto"/>
          <w:highlight w:val="none"/>
        </w:rPr>
        <w:t>三、</w:t>
      </w:r>
      <w:r>
        <w:rPr>
          <w:color w:val="auto"/>
          <w:highlight w:val="none"/>
        </w:rPr>
        <w:t>授权</w:t>
      </w:r>
      <w:r>
        <w:rPr>
          <w:rFonts w:hint="eastAsia"/>
          <w:color w:val="auto"/>
          <w:highlight w:val="none"/>
        </w:rPr>
        <w:t>委托</w:t>
      </w:r>
      <w:r>
        <w:rPr>
          <w:color w:val="auto"/>
          <w:highlight w:val="none"/>
        </w:rPr>
        <w:t>书</w:t>
      </w:r>
      <w:bookmarkEnd w:id="1552"/>
      <w:bookmarkEnd w:id="1553"/>
      <w:bookmarkEnd w:id="1554"/>
      <w:bookmarkEnd w:id="1555"/>
      <w:bookmarkEnd w:id="1556"/>
      <w:bookmarkEnd w:id="1557"/>
      <w:bookmarkEnd w:id="1558"/>
      <w:bookmarkEnd w:id="1559"/>
      <w:bookmarkEnd w:id="1560"/>
      <w:bookmarkEnd w:id="1561"/>
    </w:p>
    <w:p>
      <w:pPr>
        <w:spacing w:before="240" w:beforeLines="100" w:after="240" w:afterLines="100" w:line="360" w:lineRule="auto"/>
        <w:jc w:val="center"/>
        <w:rPr>
          <w:rFonts w:eastAsia="黑体"/>
          <w:b/>
          <w:color w:val="auto"/>
          <w:sz w:val="28"/>
          <w:szCs w:val="21"/>
          <w:highlight w:val="none"/>
        </w:rPr>
      </w:pPr>
    </w:p>
    <w:p>
      <w:pPr>
        <w:spacing w:line="440" w:lineRule="atLeas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（姓名）为我方代理人，并授权其以我方名义签署、澄清、说明、补正、递交、撤回、修改 </w:t>
      </w:r>
      <w:r>
        <w:rPr>
          <w:rFonts w:hint="eastAsia" w:ascii="宋体" w:hAnsi="宋体"/>
          <w:color w:val="auto"/>
          <w:sz w:val="24"/>
          <w:highlight w:val="none"/>
          <w:u w:val="single"/>
        </w:rPr>
        <w:t xml:space="preserve">       </w:t>
      </w:r>
      <w:r>
        <w:rPr>
          <w:rFonts w:hint="eastAsia" w:ascii="宋体" w:hAnsi="宋体"/>
          <w:color w:val="auto"/>
          <w:sz w:val="24"/>
          <w:highlight w:val="none"/>
        </w:rPr>
        <w:t>（项目名称）施工监理投标文件、签订合同协议书和处理有关事宜，其法律后果由我方承担。</w:t>
      </w:r>
    </w:p>
    <w:p>
      <w:pPr>
        <w:spacing w:line="440" w:lineRule="atLeas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440" w:lineRule="atLeas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after="120" w:afterLines="50" w:line="440" w:lineRule="atLeast"/>
        <w:ind w:firstLine="480" w:firstLineChars="200"/>
        <w:rPr>
          <w:color w:val="auto"/>
          <w:sz w:val="24"/>
          <w:highlight w:val="none"/>
        </w:rPr>
      </w:pPr>
    </w:p>
    <w:p>
      <w:pPr>
        <w:spacing w:line="360" w:lineRule="auto"/>
        <w:ind w:firstLine="420" w:firstLineChars="200"/>
        <w:rPr>
          <w:rFonts w:ascii="宋体" w:hAnsi="宋体"/>
          <w:color w:val="auto"/>
          <w:sz w:val="24"/>
          <w:highlight w:val="none"/>
        </w:rPr>
      </w:pPr>
      <w:r>
        <w:rPr>
          <w:rFonts w:hint="eastAsia" w:ascii="宋体" w:hAnsi="宋体"/>
          <w:color w:val="auto"/>
          <w:szCs w:val="21"/>
          <w:highlight w:val="none"/>
        </w:rPr>
        <w:t>附：委托代理人身份证正反面彩色影印件</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（联合体投标，联合体各方可采用盖章彩色扫描件上传）</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3720" w:firstLineChars="1550"/>
        <w:rPr>
          <w:rFonts w:ascii="宋体" w:hAnsi="宋体"/>
          <w:color w:val="auto"/>
          <w:sz w:val="24"/>
          <w:highlight w:val="none"/>
        </w:rPr>
      </w:pPr>
      <w:r>
        <w:rPr>
          <w:rFonts w:hint="eastAsia" w:ascii="宋体" w:hAnsi="宋体"/>
          <w:color w:val="auto"/>
          <w:sz w:val="24"/>
          <w:highlight w:val="none"/>
        </w:rPr>
        <w:t>投标人</w:t>
      </w:r>
      <w:r>
        <w:rPr>
          <w:color w:val="auto"/>
          <w:sz w:val="24"/>
          <w:highlight w:val="none"/>
        </w:rPr>
        <w:t>（全称并盖章）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3720" w:firstLineChars="1550"/>
        <w:rPr>
          <w:rFonts w:ascii="宋体" w:hAnsi="宋体"/>
          <w:color w:val="auto"/>
          <w:sz w:val="24"/>
          <w:highlight w:val="none"/>
        </w:rPr>
      </w:pP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p>
    <w:p>
      <w:pPr>
        <w:spacing w:line="360" w:lineRule="auto"/>
        <w:ind w:firstLine="3720" w:firstLineChars="1550"/>
        <w:rPr>
          <w:rFonts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ind w:firstLine="3720" w:firstLineChars="1550"/>
        <w:rPr>
          <w:rFonts w:ascii="宋体" w:hAnsi="宋体"/>
          <w:color w:val="auto"/>
          <w:sz w:val="24"/>
          <w:highlight w:val="non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p>
    <w:p>
      <w:pPr>
        <w:spacing w:line="360" w:lineRule="auto"/>
        <w:ind w:firstLine="3720" w:firstLineChars="1550"/>
        <w:rPr>
          <w:rFonts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ind w:firstLine="6120" w:firstLineChars="2550"/>
        <w:rPr>
          <w:rFonts w:ascii="宋体" w:hAnsi="宋体"/>
          <w:color w:val="auto"/>
          <w:sz w:val="24"/>
          <w:highlight w:val="none"/>
        </w:rPr>
      </w:pPr>
    </w:p>
    <w:p>
      <w:pPr>
        <w:spacing w:line="420" w:lineRule="exact"/>
        <w:ind w:firstLine="6000" w:firstLineChars="2500"/>
        <w:rPr>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rPr>
          <w:color w:val="auto"/>
          <w:sz w:val="24"/>
          <w:highlight w:val="none"/>
        </w:rPr>
      </w:pPr>
    </w:p>
    <w:p>
      <w:pPr>
        <w:rPr>
          <w:color w:val="auto"/>
          <w:sz w:val="24"/>
          <w:highlight w:val="none"/>
        </w:rPr>
      </w:pPr>
    </w:p>
    <w:p>
      <w:pPr>
        <w:rPr>
          <w:color w:val="auto"/>
          <w:sz w:val="24"/>
          <w:highlight w:val="none"/>
        </w:rPr>
      </w:pPr>
    </w:p>
    <w:p>
      <w:pPr>
        <w:pStyle w:val="4"/>
        <w:jc w:val="center"/>
        <w:rPr>
          <w:color w:val="auto"/>
          <w:highlight w:val="none"/>
        </w:rPr>
      </w:pPr>
      <w:bookmarkStart w:id="1562" w:name="_Toc356568020"/>
      <w:bookmarkStart w:id="1563" w:name="_Toc341805342"/>
      <w:r>
        <w:rPr>
          <w:rFonts w:hint="eastAsia"/>
          <w:color w:val="auto"/>
          <w:highlight w:val="none"/>
        </w:rPr>
        <w:br w:type="page"/>
      </w:r>
      <w:bookmarkStart w:id="1564" w:name="_Toc488651019"/>
      <w:bookmarkStart w:id="1565" w:name="_Toc487291631"/>
      <w:r>
        <w:rPr>
          <w:rFonts w:hint="eastAsia"/>
          <w:color w:val="auto"/>
          <w:highlight w:val="none"/>
        </w:rPr>
        <w:t>四、</w:t>
      </w:r>
      <w:r>
        <w:rPr>
          <w:color w:val="auto"/>
          <w:highlight w:val="none"/>
        </w:rPr>
        <w:t>联合体协议书</w:t>
      </w:r>
      <w:bookmarkEnd w:id="1562"/>
      <w:bookmarkEnd w:id="1563"/>
      <w:bookmarkEnd w:id="1564"/>
      <w:bookmarkEnd w:id="1565"/>
    </w:p>
    <w:p>
      <w:pPr>
        <w:spacing w:before="240" w:after="120" w:afterLines="50" w:line="360" w:lineRule="auto"/>
        <w:ind w:firstLine="562" w:firstLineChars="200"/>
        <w:jc w:val="center"/>
        <w:rPr>
          <w:rFonts w:eastAsia="黑体"/>
          <w:b/>
          <w:color w:val="auto"/>
          <w:sz w:val="28"/>
          <w:szCs w:val="21"/>
          <w:highlight w:val="none"/>
        </w:rPr>
      </w:pPr>
    </w:p>
    <w:p>
      <w:pPr>
        <w:snapToGrid w:val="0"/>
        <w:spacing w:line="440" w:lineRule="exact"/>
        <w:ind w:firstLine="480" w:firstLineChars="200"/>
        <w:rPr>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（所有成员单位名称）自愿组成</w:t>
      </w:r>
      <w:r>
        <w:rPr>
          <w:rFonts w:hint="eastAsia" w:ascii="宋体" w:hAnsi="宋体"/>
          <w:color w:val="auto"/>
          <w:sz w:val="24"/>
          <w:highlight w:val="none"/>
          <w:u w:val="single"/>
        </w:rPr>
        <w:t xml:space="preserve">             </w:t>
      </w:r>
      <w:r>
        <w:rPr>
          <w:rFonts w:hint="eastAsia" w:ascii="宋体" w:hAnsi="宋体"/>
          <w:color w:val="auto"/>
          <w:sz w:val="24"/>
          <w:highlight w:val="none"/>
        </w:rPr>
        <w:t>（联合体名称）联合体，共同</w:t>
      </w:r>
      <w:r>
        <w:rPr>
          <w:color w:val="auto"/>
          <w:sz w:val="24"/>
          <w:highlight w:val="none"/>
        </w:rPr>
        <w:t>参加</w:t>
      </w:r>
      <w:r>
        <w:rPr>
          <w:rFonts w:hint="eastAsia"/>
          <w:color w:val="auto"/>
          <w:sz w:val="24"/>
          <w:highlight w:val="none"/>
          <w:u w:val="single"/>
        </w:rPr>
        <w:t xml:space="preserve">               </w:t>
      </w:r>
      <w:r>
        <w:rPr>
          <w:rFonts w:hint="eastAsia"/>
          <w:color w:val="auto"/>
          <w:sz w:val="24"/>
          <w:highlight w:val="none"/>
        </w:rPr>
        <w:t>（项目名称）施工</w:t>
      </w:r>
      <w:r>
        <w:rPr>
          <w:color w:val="auto"/>
          <w:sz w:val="24"/>
          <w:highlight w:val="none"/>
        </w:rPr>
        <w:t>监理的投标。现就</w:t>
      </w:r>
      <w:r>
        <w:rPr>
          <w:rFonts w:hint="eastAsia"/>
          <w:color w:val="auto"/>
          <w:sz w:val="24"/>
          <w:highlight w:val="none"/>
        </w:rPr>
        <w:t>联合体投标</w:t>
      </w:r>
      <w:r>
        <w:rPr>
          <w:color w:val="auto"/>
          <w:sz w:val="24"/>
          <w:highlight w:val="none"/>
        </w:rPr>
        <w:t>事宜订立如下协议：</w:t>
      </w:r>
    </w:p>
    <w:p>
      <w:pPr>
        <w:snapToGrid w:val="0"/>
        <w:spacing w:line="440" w:lineRule="exact"/>
        <w:ind w:firstLine="480" w:firstLineChars="200"/>
        <w:rPr>
          <w:color w:val="auto"/>
          <w:sz w:val="24"/>
          <w:highlight w:val="none"/>
        </w:rPr>
      </w:pPr>
      <w:r>
        <w:rPr>
          <w:color w:val="auto"/>
          <w:sz w:val="24"/>
          <w:highlight w:val="none"/>
        </w:rPr>
        <w:t>1</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（某成员单位名称）为</w:t>
      </w:r>
      <w:r>
        <w:rPr>
          <w:rFonts w:hint="eastAsia" w:ascii="宋体" w:hAnsi="宋体"/>
          <w:color w:val="auto"/>
          <w:sz w:val="24"/>
          <w:highlight w:val="none"/>
          <w:u w:val="single"/>
        </w:rPr>
        <w:t xml:space="preserve">          </w:t>
      </w:r>
      <w:r>
        <w:rPr>
          <w:rFonts w:hint="eastAsia" w:ascii="宋体" w:hAnsi="宋体"/>
          <w:color w:val="auto"/>
          <w:sz w:val="24"/>
          <w:highlight w:val="none"/>
        </w:rPr>
        <w:t>（联合体名称）牵头人。</w:t>
      </w:r>
    </w:p>
    <w:p>
      <w:pPr>
        <w:spacing w:line="440" w:lineRule="exact"/>
        <w:ind w:firstLine="480" w:firstLineChars="200"/>
        <w:rPr>
          <w:rFonts w:ascii="宋体" w:hAnsi="宋体"/>
          <w:color w:val="auto"/>
          <w:sz w:val="24"/>
          <w:highlight w:val="none"/>
        </w:rPr>
      </w:pPr>
      <w:r>
        <w:rPr>
          <w:rFonts w:hint="eastAsia"/>
          <w:color w:val="auto"/>
          <w:sz w:val="24"/>
          <w:highlight w:val="none"/>
        </w:rPr>
        <w:t>2</w:t>
      </w:r>
      <w:r>
        <w:rPr>
          <w:rFonts w:ascii="宋体" w:hAnsi="宋体"/>
          <w:color w:val="auto"/>
          <w:sz w:val="24"/>
          <w:highlight w:val="none"/>
        </w:rPr>
        <w:t>．</w:t>
      </w:r>
      <w:r>
        <w:rPr>
          <w:rFonts w:hint="eastAsia" w:ascii="宋体" w:hAnsi="宋体"/>
          <w:color w:val="auto"/>
          <w:sz w:val="24"/>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440" w:lineRule="exact"/>
        <w:ind w:firstLine="480" w:firstLineChars="200"/>
        <w:rPr>
          <w:rFonts w:ascii="宋体" w:hAnsi="宋体"/>
          <w:color w:val="auto"/>
          <w:sz w:val="24"/>
          <w:highlight w:val="none"/>
        </w:rPr>
      </w:pPr>
      <w:r>
        <w:rPr>
          <w:rFonts w:hint="eastAsia"/>
          <w:color w:val="auto"/>
          <w:sz w:val="24"/>
          <w:highlight w:val="none"/>
        </w:rPr>
        <w:t>3</w:t>
      </w:r>
      <w:r>
        <w:rPr>
          <w:rFonts w:ascii="宋体" w:hAnsi="宋体"/>
          <w:color w:val="auto"/>
          <w:sz w:val="24"/>
          <w:highlight w:val="none"/>
        </w:rPr>
        <w:t>．</w:t>
      </w:r>
      <w:r>
        <w:rPr>
          <w:rFonts w:hint="eastAsia" w:ascii="宋体" w:hAnsi="宋体"/>
          <w:color w:val="auto"/>
          <w:sz w:val="24"/>
          <w:highlight w:val="none"/>
        </w:rPr>
        <w:t>联合体将严格按照招标文件的各项要求，递交投标文件，履行合同，并对外承担连带责任。</w:t>
      </w:r>
    </w:p>
    <w:p>
      <w:pPr>
        <w:snapToGrid w:val="0"/>
        <w:spacing w:line="440" w:lineRule="exact"/>
        <w:ind w:firstLine="480" w:firstLineChars="200"/>
        <w:rPr>
          <w:rFonts w:ascii="宋体" w:hAnsi="宋体"/>
          <w:color w:val="auto"/>
          <w:sz w:val="24"/>
          <w:highlight w:val="none"/>
        </w:rPr>
      </w:pPr>
      <w:r>
        <w:rPr>
          <w:rFonts w:hint="eastAsia"/>
          <w:color w:val="auto"/>
          <w:sz w:val="24"/>
          <w:highlight w:val="none"/>
        </w:rPr>
        <w:t>4</w:t>
      </w:r>
      <w:r>
        <w:rPr>
          <w:rFonts w:ascii="宋体" w:hAnsi="宋体"/>
          <w:color w:val="auto"/>
          <w:sz w:val="24"/>
          <w:highlight w:val="none"/>
        </w:rPr>
        <w:t>．</w:t>
      </w:r>
      <w:r>
        <w:rPr>
          <w:rFonts w:hint="eastAsia" w:ascii="宋体" w:hAnsi="宋体"/>
          <w:color w:val="auto"/>
          <w:sz w:val="24"/>
          <w:highlight w:val="none"/>
        </w:rPr>
        <w:t>联合体各成员单位内部的职责分工如下：</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ind w:firstLine="480" w:firstLineChars="200"/>
        <w:rPr>
          <w:color w:val="auto"/>
          <w:sz w:val="24"/>
          <w:highlight w:val="none"/>
        </w:rPr>
      </w:pPr>
      <w:r>
        <w:rPr>
          <w:rFonts w:hint="eastAsia"/>
          <w:color w:val="auto"/>
          <w:sz w:val="24"/>
          <w:highlight w:val="none"/>
        </w:rPr>
        <w:t>5</w:t>
      </w:r>
      <w:r>
        <w:rPr>
          <w:rFonts w:ascii="宋体" w:hAnsi="宋体"/>
          <w:color w:val="auto"/>
          <w:sz w:val="24"/>
          <w:highlight w:val="none"/>
        </w:rPr>
        <w:t>．</w:t>
      </w:r>
      <w:r>
        <w:rPr>
          <w:rFonts w:hint="eastAsia"/>
          <w:color w:val="auto"/>
          <w:sz w:val="24"/>
          <w:highlight w:val="none"/>
        </w:rPr>
        <w:t>总监理工程师由与联合体牵头人有合同关系且在其岗位登记的人员担任，姓名：</w:t>
      </w:r>
      <w:r>
        <w:rPr>
          <w:rFonts w:hint="eastAsia"/>
          <w:color w:val="auto"/>
          <w:sz w:val="24"/>
          <w:highlight w:val="none"/>
          <w:u w:val="single"/>
        </w:rPr>
        <w:t xml:space="preserve">       </w:t>
      </w:r>
      <w:r>
        <w:rPr>
          <w:rFonts w:hint="eastAsia"/>
          <w:color w:val="auto"/>
          <w:sz w:val="24"/>
          <w:highlight w:val="none"/>
        </w:rPr>
        <w:t>，监理资格证书号码：</w:t>
      </w:r>
      <w:r>
        <w:rPr>
          <w:rFonts w:hint="eastAsia"/>
          <w:color w:val="auto"/>
          <w:sz w:val="24"/>
          <w:highlight w:val="none"/>
          <w:u w:val="single"/>
        </w:rPr>
        <w:t xml:space="preserve">          </w:t>
      </w:r>
      <w:r>
        <w:rPr>
          <w:rFonts w:hint="eastAsia"/>
          <w:color w:val="auto"/>
          <w:sz w:val="24"/>
          <w:highlight w:val="none"/>
        </w:rPr>
        <w:t>。</w:t>
      </w:r>
    </w:p>
    <w:p>
      <w:pPr>
        <w:snapToGrid w:val="0"/>
        <w:spacing w:line="440" w:lineRule="exact"/>
        <w:ind w:firstLine="480" w:firstLineChars="200"/>
        <w:rPr>
          <w:color w:val="auto"/>
          <w:sz w:val="24"/>
          <w:highlight w:val="none"/>
        </w:rPr>
      </w:pPr>
      <w:r>
        <w:rPr>
          <w:rFonts w:hint="eastAsia"/>
          <w:color w:val="auto"/>
          <w:sz w:val="24"/>
          <w:highlight w:val="none"/>
        </w:rPr>
        <w:t>6</w:t>
      </w:r>
      <w:r>
        <w:rPr>
          <w:rFonts w:ascii="宋体" w:hAnsi="宋体"/>
          <w:color w:val="auto"/>
          <w:sz w:val="24"/>
          <w:highlight w:val="none"/>
        </w:rPr>
        <w:t>．</w:t>
      </w:r>
      <w:r>
        <w:rPr>
          <w:rFonts w:hint="eastAsia" w:ascii="宋体" w:hAnsi="宋体"/>
          <w:color w:val="auto"/>
          <w:sz w:val="24"/>
          <w:highlight w:val="none"/>
        </w:rPr>
        <w:t>本协议书自签署之日起生效，合同履行完毕后自动失效。</w:t>
      </w:r>
    </w:p>
    <w:p>
      <w:pPr>
        <w:snapToGrid w:val="0"/>
        <w:spacing w:line="440" w:lineRule="exact"/>
        <w:ind w:firstLine="477" w:firstLineChars="199"/>
        <w:rPr>
          <w:color w:val="auto"/>
          <w:sz w:val="24"/>
          <w:highlight w:val="none"/>
        </w:rPr>
      </w:pPr>
      <w:r>
        <w:rPr>
          <w:rFonts w:hint="eastAsia"/>
          <w:color w:val="auto"/>
          <w:sz w:val="24"/>
          <w:highlight w:val="none"/>
        </w:rPr>
        <w:t>7</w:t>
      </w:r>
      <w:r>
        <w:rPr>
          <w:rFonts w:ascii="宋体" w:hAnsi="宋体"/>
          <w:color w:val="auto"/>
          <w:sz w:val="24"/>
          <w:highlight w:val="none"/>
        </w:rPr>
        <w:t>．</w:t>
      </w:r>
      <w:r>
        <w:rPr>
          <w:rFonts w:hint="eastAsia" w:ascii="宋体" w:hAnsi="宋体"/>
          <w:color w:val="auto"/>
          <w:sz w:val="24"/>
          <w:highlight w:val="none"/>
        </w:rPr>
        <w:t>本协议书一式</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份，联合体成员和招标人各执一份。</w:t>
      </w:r>
    </w:p>
    <w:p>
      <w:pPr>
        <w:snapToGrid w:val="0"/>
        <w:spacing w:line="440" w:lineRule="exact"/>
        <w:ind w:firstLine="480" w:firstLineChars="200"/>
        <w:rPr>
          <w:color w:val="auto"/>
          <w:sz w:val="24"/>
          <w:highlight w:val="none"/>
        </w:rPr>
      </w:pPr>
      <w:r>
        <w:rPr>
          <w:rFonts w:hint="eastAsia" w:ascii="宋体" w:hAnsi="宋体"/>
          <w:color w:val="auto"/>
          <w:sz w:val="24"/>
          <w:highlight w:val="none"/>
        </w:rPr>
        <w:t>注：本协议书由委托代理人签字的，应附法定代表人签字的授权委托书。</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（可用彩色扫描件上传）</w:t>
      </w:r>
    </w:p>
    <w:p>
      <w:pPr>
        <w:spacing w:line="360" w:lineRule="auto"/>
        <w:ind w:firstLine="3720" w:firstLineChars="1550"/>
        <w:rPr>
          <w:rFonts w:ascii="宋体" w:hAnsi="宋体"/>
          <w:color w:val="auto"/>
          <w:sz w:val="24"/>
          <w:highlight w:val="none"/>
        </w:rPr>
      </w:pPr>
      <w:r>
        <w:rPr>
          <w:rFonts w:hint="eastAsia" w:ascii="宋体" w:hAnsi="宋体"/>
          <w:color w:val="auto"/>
          <w:sz w:val="24"/>
          <w:highlight w:val="none"/>
        </w:rPr>
        <w:t>牵头人名称</w:t>
      </w:r>
      <w:r>
        <w:rPr>
          <w:color w:val="auto"/>
          <w:sz w:val="24"/>
          <w:highlight w:val="none"/>
        </w:rPr>
        <w:t>（全称并盖章）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3720" w:firstLineChars="1550"/>
        <w:rPr>
          <w:rFonts w:ascii="宋体" w:hAnsi="宋体"/>
          <w:color w:val="auto"/>
          <w:sz w:val="24"/>
          <w:highlight w:val="none"/>
        </w:rPr>
      </w:pPr>
      <w:r>
        <w:rPr>
          <w:rFonts w:hint="eastAsia" w:ascii="宋体" w:hAnsi="宋体"/>
          <w:color w:val="auto"/>
          <w:sz w:val="24"/>
          <w:highlight w:val="none"/>
        </w:rPr>
        <w:t>法定代表人或其委托代理人（签字）：</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p>
    <w:p>
      <w:pPr>
        <w:spacing w:line="360" w:lineRule="auto"/>
        <w:ind w:firstLine="3720" w:firstLineChars="1550"/>
        <w:rPr>
          <w:rFonts w:ascii="宋体" w:hAnsi="宋体"/>
          <w:color w:val="auto"/>
          <w:sz w:val="24"/>
          <w:highlight w:val="none"/>
        </w:rPr>
      </w:pPr>
      <w:r>
        <w:rPr>
          <w:rFonts w:hint="eastAsia" w:ascii="宋体" w:hAnsi="宋体"/>
          <w:color w:val="auto"/>
          <w:sz w:val="24"/>
          <w:highlight w:val="none"/>
        </w:rPr>
        <w:t>成员一名称</w:t>
      </w:r>
      <w:r>
        <w:rPr>
          <w:color w:val="auto"/>
          <w:sz w:val="24"/>
          <w:highlight w:val="none"/>
        </w:rPr>
        <w:t>（全称并盖章）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3720" w:firstLineChars="1550"/>
        <w:rPr>
          <w:rFonts w:ascii="宋体" w:hAnsi="宋体"/>
          <w:color w:val="auto"/>
          <w:sz w:val="24"/>
          <w:highlight w:val="none"/>
          <w:u w:val="single"/>
        </w:rPr>
      </w:pPr>
      <w:r>
        <w:rPr>
          <w:rFonts w:hint="eastAsia" w:ascii="宋体" w:hAnsi="宋体"/>
          <w:color w:val="auto"/>
          <w:sz w:val="24"/>
          <w:highlight w:val="none"/>
        </w:rPr>
        <w:t>法定代表人或其委托代理人（签字）：</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p>
    <w:p>
      <w:pPr>
        <w:spacing w:line="360" w:lineRule="auto"/>
        <w:ind w:firstLine="3720" w:firstLineChars="1550"/>
        <w:rPr>
          <w:rFonts w:ascii="宋体" w:hAnsi="宋体"/>
          <w:color w:val="auto"/>
          <w:sz w:val="24"/>
          <w:highlight w:val="none"/>
        </w:rPr>
      </w:pPr>
      <w:r>
        <w:rPr>
          <w:rFonts w:hint="eastAsia" w:ascii="宋体" w:hAnsi="宋体"/>
          <w:color w:val="auto"/>
          <w:sz w:val="24"/>
          <w:highlight w:val="none"/>
        </w:rPr>
        <w:t>成员二名称</w:t>
      </w:r>
      <w:r>
        <w:rPr>
          <w:color w:val="auto"/>
          <w:sz w:val="24"/>
          <w:highlight w:val="none"/>
        </w:rPr>
        <w:t>（全称并盖章）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3720" w:firstLineChars="1550"/>
        <w:rPr>
          <w:rFonts w:ascii="宋体" w:hAnsi="宋体"/>
          <w:color w:val="auto"/>
          <w:sz w:val="24"/>
          <w:highlight w:val="none"/>
          <w:u w:val="single"/>
        </w:rPr>
      </w:pPr>
      <w:r>
        <w:rPr>
          <w:rFonts w:hint="eastAsia" w:ascii="宋体" w:hAnsi="宋体"/>
          <w:color w:val="auto"/>
          <w:sz w:val="24"/>
          <w:highlight w:val="none"/>
        </w:rPr>
        <w:t>法定代表人或其委托代理人（签字）：</w:t>
      </w:r>
      <w:r>
        <w:rPr>
          <w:rFonts w:hint="eastAsia" w:ascii="宋体" w:hAnsi="宋体"/>
          <w:color w:val="auto"/>
          <w:sz w:val="24"/>
          <w:highlight w:val="none"/>
          <w:u w:val="single"/>
        </w:rPr>
        <w:t xml:space="preserve">               </w:t>
      </w:r>
    </w:p>
    <w:p>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w:t>
      </w:r>
    </w:p>
    <w:p>
      <w:pPr>
        <w:pStyle w:val="105"/>
        <w:tabs>
          <w:tab w:val="left" w:pos="4413"/>
        </w:tabs>
        <w:snapToGrid w:val="0"/>
        <w:spacing w:line="700" w:lineRule="exact"/>
        <w:ind w:firstLine="6600" w:firstLineChars="2750"/>
        <w:jc w:val="both"/>
        <w:rPr>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rPr>
          <w:color w:val="auto"/>
          <w:sz w:val="24"/>
          <w:highlight w:val="none"/>
        </w:rPr>
      </w:pPr>
    </w:p>
    <w:p>
      <w:pPr>
        <w:pStyle w:val="4"/>
        <w:jc w:val="center"/>
        <w:rPr>
          <w:b w:val="0"/>
          <w:color w:val="auto"/>
          <w:highlight w:val="none"/>
        </w:rPr>
      </w:pPr>
      <w:bookmarkStart w:id="1566" w:name="_Toc341805343"/>
      <w:bookmarkStart w:id="1567" w:name="_Toc487291632"/>
      <w:bookmarkStart w:id="1568" w:name="_Toc330384493"/>
      <w:bookmarkStart w:id="1569" w:name="_Toc356568021"/>
      <w:bookmarkStart w:id="1570" w:name="_Toc488651020"/>
      <w:r>
        <w:rPr>
          <w:rFonts w:hint="eastAsia"/>
          <w:color w:val="auto"/>
          <w:highlight w:val="none"/>
        </w:rPr>
        <w:t>五、投标保证金</w:t>
      </w:r>
      <w:bookmarkEnd w:id="1566"/>
      <w:bookmarkEnd w:id="1567"/>
      <w:bookmarkEnd w:id="1568"/>
      <w:bookmarkEnd w:id="1569"/>
      <w:bookmarkEnd w:id="1570"/>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监理人按照第二章“投标人须知”第3.4条投标保证金规定的形式和金额，提交投标保证金。</w:t>
      </w:r>
    </w:p>
    <w:p>
      <w:pPr>
        <w:spacing w:before="240" w:after="156" w:line="360" w:lineRule="auto"/>
        <w:ind w:firstLine="562" w:firstLineChars="200"/>
        <w:jc w:val="center"/>
        <w:rPr>
          <w:rFonts w:eastAsia="黑体"/>
          <w:b/>
          <w:bCs/>
          <w:color w:val="auto"/>
          <w:sz w:val="28"/>
          <w:szCs w:val="28"/>
          <w:highlight w:val="none"/>
        </w:rPr>
      </w:pPr>
      <w:r>
        <w:rPr>
          <w:rFonts w:eastAsia="黑体"/>
          <w:b/>
          <w:bCs/>
          <w:color w:val="auto"/>
          <w:sz w:val="28"/>
          <w:szCs w:val="28"/>
          <w:highlight w:val="none"/>
        </w:rPr>
        <w:t>投标</w:t>
      </w:r>
      <w:r>
        <w:rPr>
          <w:rFonts w:hint="eastAsia" w:eastAsia="黑体"/>
          <w:b/>
          <w:bCs/>
          <w:color w:val="auto"/>
          <w:sz w:val="28"/>
          <w:szCs w:val="28"/>
          <w:highlight w:val="none"/>
        </w:rPr>
        <w:t>保证金</w:t>
      </w:r>
    </w:p>
    <w:p>
      <w:pPr>
        <w:jc w:val="center"/>
        <w:rPr>
          <w:color w:val="auto"/>
          <w:sz w:val="24"/>
          <w:highlight w:val="none"/>
        </w:rPr>
      </w:pPr>
    </w:p>
    <w:tbl>
      <w:tblPr>
        <w:tblStyle w:val="4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9401" w:type="dxa"/>
            <w:noWrap w:val="0"/>
            <w:vAlign w:val="center"/>
          </w:tcPr>
          <w:p>
            <w:pPr>
              <w:spacing w:line="400" w:lineRule="exact"/>
              <w:jc w:val="center"/>
              <w:rPr>
                <w:color w:val="auto"/>
                <w:sz w:val="24"/>
                <w:highlight w:val="none"/>
              </w:rPr>
            </w:pPr>
            <w:r>
              <w:rPr>
                <w:rFonts w:hint="eastAsia"/>
                <w:color w:val="auto"/>
                <w:sz w:val="24"/>
                <w:highlight w:val="none"/>
              </w:rPr>
              <w:t>本项目投标保证金汇款凭证、银行保函、年度保证金扫描件</w:t>
            </w: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color w:val="auto"/>
                <w:sz w:val="24"/>
                <w:highlight w:val="none"/>
              </w:rPr>
            </w:pPr>
          </w:p>
          <w:p>
            <w:pPr>
              <w:spacing w:line="400" w:lineRule="exact"/>
              <w:jc w:val="center"/>
              <w:rPr>
                <w:color w:val="auto"/>
                <w:sz w:val="24"/>
                <w:highlight w:val="none"/>
              </w:rPr>
            </w:pPr>
          </w:p>
        </w:tc>
      </w:tr>
    </w:tbl>
    <w:p>
      <w:pPr>
        <w:spacing w:line="400" w:lineRule="exact"/>
        <w:ind w:firstLine="480" w:firstLineChars="200"/>
        <w:rPr>
          <w:color w:val="auto"/>
          <w:sz w:val="24"/>
          <w:highlight w:val="none"/>
        </w:rPr>
      </w:pPr>
    </w:p>
    <w:p>
      <w:pPr>
        <w:spacing w:line="400" w:lineRule="exact"/>
        <w:ind w:firstLine="480" w:firstLineChars="200"/>
        <w:rPr>
          <w:color w:val="auto"/>
          <w:sz w:val="24"/>
          <w:highlight w:val="none"/>
        </w:rPr>
      </w:pPr>
    </w:p>
    <w:tbl>
      <w:tblPr>
        <w:tblStyle w:val="4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9401" w:type="dxa"/>
            <w:noWrap w:val="0"/>
            <w:vAlign w:val="center"/>
          </w:tcPr>
          <w:p>
            <w:pPr>
              <w:spacing w:line="400" w:lineRule="exact"/>
              <w:jc w:val="center"/>
              <w:rPr>
                <w:color w:val="auto"/>
                <w:sz w:val="24"/>
                <w:highlight w:val="none"/>
              </w:rPr>
            </w:pPr>
            <w:r>
              <w:rPr>
                <w:rFonts w:hint="eastAsia"/>
                <w:color w:val="auto"/>
                <w:sz w:val="24"/>
                <w:highlight w:val="none"/>
              </w:rPr>
              <w:t>投标人工商注册所在地开户银行的基本账户开户许可证或基本存款账户信息扫描件</w:t>
            </w:r>
          </w:p>
          <w:p>
            <w:pPr>
              <w:spacing w:line="400" w:lineRule="exact"/>
              <w:jc w:val="center"/>
              <w:rPr>
                <w:color w:val="auto"/>
                <w:sz w:val="24"/>
                <w:highlight w:val="none"/>
              </w:rPr>
            </w:pPr>
          </w:p>
        </w:tc>
      </w:tr>
    </w:tbl>
    <w:p>
      <w:pPr>
        <w:spacing w:line="480" w:lineRule="auto"/>
        <w:rPr>
          <w:rFonts w:hint="eastAsia" w:ascii="宋体" w:hAnsi="宋体"/>
          <w:color w:val="auto"/>
          <w:sz w:val="28"/>
          <w:szCs w:val="28"/>
          <w:highlight w:val="none"/>
        </w:rPr>
      </w:pPr>
      <w:r>
        <w:rPr>
          <w:rFonts w:hint="eastAsia" w:ascii="宋体" w:hAnsi="宋体"/>
          <w:color w:val="auto"/>
          <w:sz w:val="28"/>
          <w:szCs w:val="28"/>
          <w:highlight w:val="none"/>
        </w:rPr>
        <w:t xml:space="preserve">注：采用电子保函的，投标人提交的电子保函文件应符合《福建省公共资源电子保函文件格式标准（试行）》要求，以及在电子保函文件中应有担保人对电子保函真实性和承担责任等的承诺、查验保函网址。 </w:t>
      </w:r>
    </w:p>
    <w:p>
      <w:pPr>
        <w:spacing w:line="240" w:lineRule="auto"/>
        <w:rPr>
          <w:rFonts w:hint="eastAsia" w:ascii="宋体" w:hAnsi="宋体"/>
          <w:color w:val="auto"/>
          <w:sz w:val="28"/>
          <w:szCs w:val="28"/>
          <w:highlight w:val="none"/>
        </w:rPr>
      </w:pPr>
      <w:r>
        <w:rPr>
          <w:rFonts w:hint="eastAsia" w:ascii="宋体" w:hAnsi="宋体"/>
          <w:color w:val="auto"/>
          <w:sz w:val="28"/>
          <w:szCs w:val="28"/>
          <w:highlight w:val="none"/>
        </w:rPr>
        <w:br w:type="page"/>
      </w:r>
    </w:p>
    <w:p>
      <w:pPr>
        <w:jc w:val="left"/>
        <w:rPr>
          <w:rFonts w:ascii="黑体" w:hAnsi="黑体" w:eastAsia="黑体" w:cs="Times New Roman"/>
          <w:color w:val="auto"/>
          <w:kern w:val="1"/>
          <w:sz w:val="21"/>
          <w:szCs w:val="24"/>
          <w:highlight w:val="none"/>
        </w:rPr>
      </w:pPr>
      <w:r>
        <w:rPr>
          <w:rFonts w:hint="eastAsia" w:ascii="黑体" w:hAnsi="黑体" w:eastAsia="黑体" w:cs="Times New Roman"/>
          <w:color w:val="auto"/>
          <w:kern w:val="1"/>
          <w:sz w:val="21"/>
          <w:szCs w:val="24"/>
          <w:highlight w:val="none"/>
        </w:rPr>
        <w:t>免缴投标保证金承诺函附件</w:t>
      </w:r>
    </w:p>
    <w:p>
      <w:pPr>
        <w:rPr>
          <w:rFonts w:ascii="宋体" w:hAnsi="宋体" w:cs="宋体"/>
          <w:color w:val="auto"/>
          <w:kern w:val="2"/>
          <w:sz w:val="21"/>
          <w:szCs w:val="21"/>
          <w:highlight w:val="none"/>
        </w:rPr>
      </w:pPr>
    </w:p>
    <w:p>
      <w:pPr>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符合免缴投标保证金形式规定的证明材料</w:t>
      </w:r>
    </w:p>
    <w:p>
      <w:pPr>
        <w:ind w:firstLine="420" w:firstLineChars="200"/>
        <w:rPr>
          <w:rFonts w:ascii="宋体" w:hAnsi="宋体" w:cs="宋体"/>
          <w:color w:val="auto"/>
          <w:kern w:val="2"/>
          <w:sz w:val="21"/>
          <w:szCs w:val="21"/>
          <w:highlight w:val="none"/>
        </w:rPr>
      </w:pPr>
    </w:p>
    <w:p>
      <w:pPr>
        <w:ind w:firstLine="420" w:firstLineChars="200"/>
        <w:rPr>
          <w:rFonts w:ascii="宋体" w:hAnsi="宋体" w:cs="宋体"/>
          <w:color w:val="auto"/>
          <w:kern w:val="2"/>
          <w:sz w:val="21"/>
          <w:szCs w:val="21"/>
          <w:highlight w:val="none"/>
        </w:rPr>
      </w:pPr>
    </w:p>
    <w:p>
      <w:pPr>
        <w:ind w:firstLine="420" w:firstLineChars="200"/>
        <w:rPr>
          <w:rFonts w:ascii="宋体" w:hAnsi="宋体" w:cs="宋体"/>
          <w:color w:val="auto"/>
          <w:kern w:val="2"/>
          <w:sz w:val="21"/>
          <w:szCs w:val="21"/>
          <w:highlight w:val="none"/>
        </w:rPr>
      </w:pPr>
    </w:p>
    <w:p>
      <w:pPr>
        <w:ind w:firstLine="420" w:firstLineChars="200"/>
        <w:rPr>
          <w:rFonts w:ascii="宋体" w:hAnsi="宋体" w:cs="宋体"/>
          <w:color w:val="auto"/>
          <w:kern w:val="2"/>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widowControl w:val="0"/>
        <w:spacing w:before="480" w:beforeLines="200" w:after="240" w:afterLines="100"/>
        <w:jc w:val="right"/>
        <w:outlineLvl w:val="0"/>
        <w:rPr>
          <w:rFonts w:hint="eastAsia" w:ascii="宋体" w:hAnsi="宋体" w:eastAsia="黑体" w:cs="宋体"/>
          <w:color w:val="auto"/>
          <w:kern w:val="0"/>
          <w:sz w:val="21"/>
          <w:szCs w:val="21"/>
          <w:highlight w:val="none"/>
          <w:lang w:val="en-US" w:eastAsia="zh-CN" w:bidi="ar-SA"/>
        </w:rPr>
      </w:pPr>
      <w:r>
        <w:rPr>
          <w:rFonts w:hint="eastAsia" w:ascii="宋体" w:hAnsi="宋体" w:eastAsia="黑体" w:cs="宋体"/>
          <w:color w:val="auto"/>
          <w:kern w:val="0"/>
          <w:sz w:val="21"/>
          <w:szCs w:val="21"/>
          <w:highlight w:val="none"/>
          <w:lang w:val="en-US" w:eastAsia="zh-CN" w:bidi="ar-SA"/>
        </w:rPr>
        <w:t>投标人：</w:t>
      </w:r>
      <w:r>
        <w:rPr>
          <w:rFonts w:hint="eastAsia" w:ascii="宋体" w:hAnsi="宋体" w:eastAsia="黑体" w:cs="宋体"/>
          <w:color w:val="auto"/>
          <w:kern w:val="0"/>
          <w:sz w:val="21"/>
          <w:szCs w:val="21"/>
          <w:highlight w:val="none"/>
          <w:u w:val="single"/>
          <w:lang w:val="en-US" w:eastAsia="zh-CN" w:bidi="ar-SA"/>
        </w:rPr>
        <w:t xml:space="preserve">             </w:t>
      </w:r>
      <w:r>
        <w:rPr>
          <w:rFonts w:hint="eastAsia" w:ascii="宋体" w:hAnsi="宋体" w:eastAsia="黑体" w:cs="宋体"/>
          <w:color w:val="auto"/>
          <w:kern w:val="0"/>
          <w:sz w:val="21"/>
          <w:szCs w:val="21"/>
          <w:highlight w:val="none"/>
          <w:lang w:val="en-US" w:eastAsia="zh-CN" w:bidi="ar-SA"/>
        </w:rPr>
        <w:t>（盖单位公章）</w:t>
      </w:r>
    </w:p>
    <w:p>
      <w:pPr>
        <w:widowControl w:val="0"/>
        <w:spacing w:before="480" w:beforeLines="200" w:after="240" w:afterLines="100"/>
        <w:jc w:val="right"/>
        <w:outlineLvl w:val="0"/>
        <w:rPr>
          <w:rFonts w:hint="eastAsia" w:ascii="宋体" w:hAnsi="宋体" w:eastAsia="黑体" w:cs="宋体"/>
          <w:color w:val="auto"/>
          <w:kern w:val="0"/>
          <w:sz w:val="21"/>
          <w:szCs w:val="21"/>
          <w:highlight w:val="none"/>
          <w:lang w:val="en-US" w:eastAsia="zh-CN" w:bidi="ar-SA"/>
        </w:rPr>
      </w:pPr>
    </w:p>
    <w:p>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（注：联合体投标，联合体各方可采用盖章彩色扫描件上传）</w:t>
      </w:r>
    </w:p>
    <w:p>
      <w:pPr>
        <w:spacing w:line="240" w:lineRule="auto"/>
        <w:rPr>
          <w:rFonts w:hint="eastAsia" w:ascii="宋体" w:hAnsi="宋体"/>
          <w:color w:val="auto"/>
          <w:sz w:val="28"/>
          <w:szCs w:val="28"/>
          <w:highlight w:val="none"/>
        </w:rPr>
      </w:pPr>
      <w:r>
        <w:rPr>
          <w:rFonts w:hint="eastAsia" w:ascii="宋体" w:hAnsi="宋体"/>
          <w:color w:val="auto"/>
          <w:sz w:val="28"/>
          <w:szCs w:val="28"/>
          <w:highlight w:val="none"/>
        </w:rPr>
        <w:br w:type="page"/>
      </w:r>
    </w:p>
    <w:p>
      <w:pPr>
        <w:spacing w:line="480" w:lineRule="auto"/>
        <w:rPr>
          <w:rFonts w:hint="eastAsia" w:ascii="宋体" w:hAnsi="宋体"/>
          <w:color w:val="auto"/>
          <w:sz w:val="28"/>
          <w:szCs w:val="28"/>
          <w:highlight w:val="none"/>
        </w:rPr>
      </w:pPr>
    </w:p>
    <w:p>
      <w:pPr>
        <w:spacing w:line="480" w:lineRule="auto"/>
        <w:ind w:firstLine="4935" w:firstLineChars="2350"/>
        <w:rPr>
          <w:rFonts w:ascii="宋体" w:hAnsi="宋体"/>
          <w:color w:val="auto"/>
          <w:szCs w:val="21"/>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pStyle w:val="4"/>
        <w:jc w:val="center"/>
        <w:rPr>
          <w:color w:val="auto"/>
          <w:highlight w:val="none"/>
        </w:rPr>
      </w:pPr>
      <w:bookmarkStart w:id="1571" w:name="_Toc341805345"/>
      <w:bookmarkStart w:id="1572" w:name="_Toc488651021"/>
      <w:bookmarkStart w:id="1573" w:name="_Toc356568022"/>
      <w:bookmarkStart w:id="1574" w:name="_Toc487291633"/>
      <w:r>
        <w:rPr>
          <w:rFonts w:hint="eastAsia"/>
          <w:color w:val="auto"/>
          <w:highlight w:val="none"/>
        </w:rPr>
        <w:t>六、监理服务费投标报价表</w:t>
      </w:r>
      <w:bookmarkEnd w:id="1571"/>
      <w:bookmarkEnd w:id="1572"/>
      <w:bookmarkEnd w:id="1573"/>
      <w:bookmarkEnd w:id="1574"/>
    </w:p>
    <w:p>
      <w:pPr>
        <w:spacing w:line="500" w:lineRule="exact"/>
        <w:ind w:firstLine="481" w:firstLineChars="200"/>
        <w:rPr>
          <w:color w:val="auto"/>
          <w:sz w:val="24"/>
          <w:highlight w:val="none"/>
        </w:rPr>
      </w:pPr>
      <w:bookmarkStart w:id="1575" w:name="_Toc336172296"/>
      <w:bookmarkStart w:id="1576" w:name="_Toc341015721"/>
      <w:r>
        <w:rPr>
          <w:rFonts w:hint="eastAsia"/>
          <w:b/>
          <w:bCs/>
          <w:color w:val="auto"/>
          <w:sz w:val="24"/>
          <w:highlight w:val="none"/>
        </w:rPr>
        <w:t>格式见第</w:t>
      </w:r>
      <w:r>
        <w:rPr>
          <w:rFonts w:hint="eastAsia"/>
          <w:b/>
          <w:bCs/>
          <w:color w:val="auto"/>
          <w:sz w:val="24"/>
          <w:highlight w:val="none"/>
          <w:lang w:eastAsia="zh-CN"/>
        </w:rPr>
        <w:t>六</w:t>
      </w:r>
      <w:r>
        <w:rPr>
          <w:rFonts w:hint="eastAsia"/>
          <w:b/>
          <w:bCs/>
          <w:color w:val="auto"/>
          <w:sz w:val="24"/>
          <w:highlight w:val="none"/>
        </w:rPr>
        <w:t>章“监理服务费投标报价表”</w:t>
      </w:r>
      <w:r>
        <w:rPr>
          <w:rFonts w:hint="eastAsia"/>
          <w:color w:val="auto"/>
          <w:sz w:val="24"/>
          <w:highlight w:val="none"/>
        </w:rPr>
        <w:t>。</w:t>
      </w: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bookmarkEnd w:id="1575"/>
    <w:bookmarkEnd w:id="1576"/>
    <w:p>
      <w:pPr>
        <w:pStyle w:val="4"/>
        <w:jc w:val="center"/>
        <w:rPr>
          <w:color w:val="auto"/>
          <w:highlight w:val="none"/>
        </w:rPr>
      </w:pPr>
      <w:bookmarkStart w:id="1577" w:name="_Toc341805347"/>
      <w:bookmarkStart w:id="1578" w:name="_Toc356568024"/>
      <w:r>
        <w:rPr>
          <w:rFonts w:hint="eastAsia"/>
          <w:color w:val="auto"/>
          <w:highlight w:val="none"/>
        </w:rPr>
        <w:br w:type="page"/>
      </w:r>
      <w:bookmarkStart w:id="1579" w:name="_Toc487291634"/>
      <w:bookmarkStart w:id="1580" w:name="_Toc488651022"/>
      <w:r>
        <w:rPr>
          <w:rFonts w:hint="eastAsia"/>
          <w:color w:val="auto"/>
          <w:highlight w:val="none"/>
        </w:rPr>
        <w:t>七、监理机构</w:t>
      </w:r>
      <w:bookmarkEnd w:id="1577"/>
      <w:bookmarkEnd w:id="1578"/>
      <w:bookmarkEnd w:id="1579"/>
      <w:bookmarkEnd w:id="1580"/>
    </w:p>
    <w:p>
      <w:pPr>
        <w:pStyle w:val="4"/>
        <w:spacing w:before="100" w:after="100"/>
        <w:jc w:val="center"/>
        <w:rPr>
          <w:rFonts w:ascii="黑体" w:hAnsi="宋体"/>
          <w:color w:val="auto"/>
          <w:sz w:val="24"/>
          <w:szCs w:val="24"/>
          <w:highlight w:val="none"/>
        </w:rPr>
      </w:pPr>
      <w:bookmarkStart w:id="1581" w:name="_Toc488651023"/>
      <w:bookmarkStart w:id="1582" w:name="_Toc222116503"/>
      <w:bookmarkStart w:id="1583" w:name="_Toc187983508"/>
      <w:bookmarkStart w:id="1584" w:name="_Toc341805350"/>
      <w:bookmarkStart w:id="1585" w:name="_Toc222105643"/>
      <w:bookmarkStart w:id="1586" w:name="_Toc487291637"/>
      <w:bookmarkStart w:id="1587" w:name="_Toc187983925"/>
      <w:bookmarkStart w:id="1588" w:name="_Toc487619602"/>
      <w:bookmarkStart w:id="1589" w:name="_Toc356568027"/>
      <w:r>
        <w:rPr>
          <w:rFonts w:hint="eastAsia" w:ascii="黑体" w:hAnsi="宋体"/>
          <w:color w:val="auto"/>
          <w:sz w:val="24"/>
          <w:szCs w:val="24"/>
          <w:highlight w:val="none"/>
        </w:rPr>
        <w:t>投标人拟投入本项目</w:t>
      </w:r>
      <w:r>
        <w:rPr>
          <w:rFonts w:hint="eastAsia" w:ascii="黑体" w:hAnsi="宋体"/>
          <w:b w:val="0"/>
          <w:color w:val="auto"/>
          <w:sz w:val="24"/>
          <w:szCs w:val="24"/>
          <w:highlight w:val="none"/>
        </w:rPr>
        <w:t>主要监理人员</w:t>
      </w:r>
      <w:r>
        <w:rPr>
          <w:rFonts w:hint="eastAsia" w:ascii="黑体" w:hAnsi="宋体"/>
          <w:color w:val="auto"/>
          <w:sz w:val="24"/>
          <w:szCs w:val="24"/>
          <w:highlight w:val="none"/>
        </w:rPr>
        <w:t>简历表</w:t>
      </w:r>
      <w:bookmarkEnd w:id="1581"/>
      <w:bookmarkEnd w:id="1582"/>
      <w:bookmarkEnd w:id="1583"/>
      <w:bookmarkEnd w:id="1584"/>
      <w:bookmarkEnd w:id="1585"/>
      <w:bookmarkEnd w:id="1586"/>
      <w:bookmarkEnd w:id="1587"/>
      <w:bookmarkEnd w:id="1588"/>
      <w:bookmarkEnd w:id="1589"/>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6"/>
        <w:gridCol w:w="336"/>
        <w:gridCol w:w="178"/>
        <w:gridCol w:w="803"/>
        <w:gridCol w:w="717"/>
        <w:gridCol w:w="601"/>
        <w:gridCol w:w="919"/>
        <w:gridCol w:w="1037"/>
        <w:gridCol w:w="467"/>
        <w:gridCol w:w="17"/>
        <w:gridCol w:w="821"/>
        <w:gridCol w:w="732"/>
        <w:gridCol w:w="438"/>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0" w:type="dxa"/>
            <w:gridSpan w:val="3"/>
            <w:tcBorders>
              <w:top w:val="single" w:color="auto" w:sz="12" w:space="0"/>
              <w:left w:val="single" w:color="auto" w:sz="12"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p>
        </w:tc>
        <w:tc>
          <w:tcPr>
            <w:tcW w:w="1520" w:type="dxa"/>
            <w:gridSpan w:val="2"/>
            <w:tcBorders>
              <w:top w:val="single" w:color="auto" w:sz="12"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性别</w:t>
            </w:r>
          </w:p>
        </w:tc>
        <w:tc>
          <w:tcPr>
            <w:tcW w:w="1521" w:type="dxa"/>
            <w:gridSpan w:val="3"/>
            <w:tcBorders>
              <w:top w:val="single" w:color="auto" w:sz="12"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p>
        </w:tc>
        <w:tc>
          <w:tcPr>
            <w:tcW w:w="1553" w:type="dxa"/>
            <w:gridSpan w:val="2"/>
            <w:tcBorders>
              <w:top w:val="single" w:color="auto" w:sz="12"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年龄</w:t>
            </w:r>
          </w:p>
        </w:tc>
        <w:tc>
          <w:tcPr>
            <w:tcW w:w="1491" w:type="dxa"/>
            <w:gridSpan w:val="2"/>
            <w:tcBorders>
              <w:top w:val="single" w:color="auto" w:sz="12" w:space="0"/>
              <w:left w:val="single" w:color="auto" w:sz="6" w:space="0"/>
              <w:bottom w:val="single" w:color="auto" w:sz="6" w:space="0"/>
              <w:right w:val="single" w:color="auto" w:sz="12" w:space="0"/>
            </w:tcBorders>
            <w:noWrap w:val="0"/>
            <w:vAlign w:val="center"/>
          </w:tcPr>
          <w:p>
            <w:pPr>
              <w:tabs>
                <w:tab w:val="left" w:pos="468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0" w:type="dxa"/>
            <w:gridSpan w:val="3"/>
            <w:tcBorders>
              <w:top w:val="single" w:color="auto" w:sz="6" w:space="0"/>
              <w:left w:val="single" w:color="auto" w:sz="12"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p>
        </w:tc>
        <w:tc>
          <w:tcPr>
            <w:tcW w:w="1520"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毕业院校</w:t>
            </w:r>
          </w:p>
        </w:tc>
        <w:tc>
          <w:tcPr>
            <w:tcW w:w="4565" w:type="dxa"/>
            <w:gridSpan w:val="7"/>
            <w:tcBorders>
              <w:top w:val="single" w:color="auto" w:sz="6" w:space="0"/>
              <w:left w:val="single" w:color="auto" w:sz="6" w:space="0"/>
              <w:bottom w:val="single" w:color="auto" w:sz="6" w:space="0"/>
              <w:right w:val="single" w:color="auto" w:sz="12" w:space="0"/>
            </w:tcBorders>
            <w:noWrap w:val="0"/>
            <w:vAlign w:val="center"/>
          </w:tcPr>
          <w:p>
            <w:pPr>
              <w:tabs>
                <w:tab w:val="left" w:pos="468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0" w:type="dxa"/>
            <w:gridSpan w:val="3"/>
            <w:tcBorders>
              <w:top w:val="single" w:color="auto" w:sz="6" w:space="0"/>
              <w:left w:val="single" w:color="auto" w:sz="12"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p>
        </w:tc>
        <w:tc>
          <w:tcPr>
            <w:tcW w:w="1520"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最高学历</w:t>
            </w:r>
          </w:p>
        </w:tc>
        <w:tc>
          <w:tcPr>
            <w:tcW w:w="1521" w:type="dxa"/>
            <w:gridSpan w:val="3"/>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p>
        </w:tc>
        <w:tc>
          <w:tcPr>
            <w:tcW w:w="1553"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专业</w:t>
            </w:r>
          </w:p>
        </w:tc>
        <w:tc>
          <w:tcPr>
            <w:tcW w:w="1491" w:type="dxa"/>
            <w:gridSpan w:val="2"/>
            <w:tcBorders>
              <w:top w:val="single" w:color="auto" w:sz="6" w:space="0"/>
              <w:left w:val="single" w:color="auto" w:sz="6" w:space="0"/>
              <w:bottom w:val="single" w:color="auto" w:sz="6" w:space="0"/>
              <w:right w:val="single" w:color="auto" w:sz="12" w:space="0"/>
            </w:tcBorders>
            <w:noWrap w:val="0"/>
            <w:vAlign w:val="center"/>
          </w:tcPr>
          <w:p>
            <w:pPr>
              <w:tabs>
                <w:tab w:val="left" w:pos="468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0" w:type="dxa"/>
            <w:gridSpan w:val="3"/>
            <w:tcBorders>
              <w:top w:val="single" w:color="auto" w:sz="6" w:space="0"/>
              <w:left w:val="single" w:color="auto" w:sz="12"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监理</w:t>
            </w:r>
            <w:r>
              <w:rPr>
                <w:rFonts w:hint="eastAsia"/>
                <w:color w:val="auto"/>
                <w:szCs w:val="21"/>
                <w:highlight w:val="none"/>
              </w:rPr>
              <w:t>资格</w:t>
            </w:r>
          </w:p>
        </w:tc>
        <w:tc>
          <w:tcPr>
            <w:tcW w:w="3040"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p>
        </w:tc>
        <w:tc>
          <w:tcPr>
            <w:tcW w:w="1504" w:type="dxa"/>
            <w:gridSpan w:val="2"/>
            <w:tcBorders>
              <w:top w:val="single" w:color="auto" w:sz="6" w:space="0"/>
              <w:left w:val="single" w:color="auto" w:sz="6" w:space="0"/>
              <w:bottom w:val="single" w:color="auto" w:sz="6" w:space="0"/>
              <w:right w:val="single" w:color="auto" w:sz="4" w:space="0"/>
            </w:tcBorders>
            <w:noWrap w:val="0"/>
            <w:vAlign w:val="center"/>
          </w:tcPr>
          <w:p>
            <w:pPr>
              <w:tabs>
                <w:tab w:val="left" w:pos="4680"/>
              </w:tabs>
              <w:jc w:val="center"/>
              <w:rPr>
                <w:color w:val="auto"/>
                <w:szCs w:val="21"/>
                <w:highlight w:val="none"/>
              </w:rPr>
            </w:pPr>
            <w:r>
              <w:rPr>
                <w:color w:val="auto"/>
                <w:szCs w:val="21"/>
                <w:highlight w:val="none"/>
              </w:rPr>
              <w:t>证书编号</w:t>
            </w:r>
          </w:p>
        </w:tc>
        <w:tc>
          <w:tcPr>
            <w:tcW w:w="3061" w:type="dxa"/>
            <w:gridSpan w:val="5"/>
            <w:tcBorders>
              <w:top w:val="single" w:color="auto" w:sz="6" w:space="0"/>
              <w:left w:val="single" w:color="auto" w:sz="4" w:space="0"/>
              <w:bottom w:val="single" w:color="auto" w:sz="6" w:space="0"/>
              <w:right w:val="single" w:color="auto" w:sz="12" w:space="0"/>
            </w:tcBorders>
            <w:noWrap w:val="0"/>
            <w:vAlign w:val="center"/>
          </w:tcPr>
          <w:p>
            <w:pPr>
              <w:tabs>
                <w:tab w:val="left" w:pos="468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0" w:type="dxa"/>
            <w:gridSpan w:val="3"/>
            <w:tcBorders>
              <w:top w:val="single" w:color="auto" w:sz="6" w:space="0"/>
              <w:left w:val="single" w:color="auto" w:sz="12" w:space="0"/>
              <w:bottom w:val="single" w:color="auto" w:sz="6" w:space="0"/>
              <w:right w:val="single" w:color="auto" w:sz="6" w:space="0"/>
            </w:tcBorders>
            <w:noWrap w:val="0"/>
            <w:vAlign w:val="center"/>
          </w:tcPr>
          <w:p>
            <w:pPr>
              <w:tabs>
                <w:tab w:val="left" w:pos="4680"/>
              </w:tabs>
              <w:jc w:val="center"/>
              <w:rPr>
                <w:color w:val="auto"/>
                <w:szCs w:val="21"/>
                <w:highlight w:val="none"/>
              </w:rPr>
            </w:pPr>
            <w:r>
              <w:rPr>
                <w:rFonts w:hint="eastAsia"/>
                <w:color w:val="auto"/>
                <w:szCs w:val="21"/>
                <w:highlight w:val="none"/>
              </w:rPr>
              <w:t>拟出任岗位</w:t>
            </w:r>
          </w:p>
        </w:tc>
        <w:tc>
          <w:tcPr>
            <w:tcW w:w="1520"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p>
        </w:tc>
        <w:tc>
          <w:tcPr>
            <w:tcW w:w="1520"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r>
              <w:rPr>
                <w:rFonts w:hint="eastAsia"/>
                <w:color w:val="auto"/>
                <w:szCs w:val="21"/>
                <w:highlight w:val="none"/>
              </w:rPr>
              <w:t>专业</w:t>
            </w:r>
            <w:r>
              <w:rPr>
                <w:color w:val="auto"/>
                <w:szCs w:val="21"/>
                <w:highlight w:val="none"/>
              </w:rPr>
              <w:t>工作年限</w:t>
            </w:r>
          </w:p>
        </w:tc>
        <w:tc>
          <w:tcPr>
            <w:tcW w:w="1521" w:type="dxa"/>
            <w:gridSpan w:val="3"/>
            <w:tcBorders>
              <w:top w:val="single" w:color="auto" w:sz="6" w:space="0"/>
              <w:left w:val="single" w:color="auto" w:sz="6" w:space="0"/>
              <w:bottom w:val="single" w:color="auto" w:sz="6" w:space="0"/>
              <w:right w:val="single" w:color="auto" w:sz="8" w:space="0"/>
            </w:tcBorders>
            <w:noWrap w:val="0"/>
            <w:vAlign w:val="center"/>
          </w:tcPr>
          <w:p>
            <w:pPr>
              <w:tabs>
                <w:tab w:val="left" w:pos="4680"/>
              </w:tabs>
              <w:jc w:val="center"/>
              <w:rPr>
                <w:color w:val="auto"/>
                <w:szCs w:val="21"/>
                <w:highlight w:val="none"/>
              </w:rPr>
            </w:pPr>
          </w:p>
        </w:tc>
        <w:tc>
          <w:tcPr>
            <w:tcW w:w="1553" w:type="dxa"/>
            <w:gridSpan w:val="2"/>
            <w:tcBorders>
              <w:top w:val="single" w:color="auto" w:sz="6" w:space="0"/>
              <w:left w:val="single" w:color="auto" w:sz="8" w:space="0"/>
              <w:bottom w:val="single" w:color="auto" w:sz="6" w:space="0"/>
              <w:right w:val="single" w:color="auto" w:sz="8" w:space="0"/>
            </w:tcBorders>
            <w:noWrap w:val="0"/>
            <w:vAlign w:val="center"/>
          </w:tcPr>
          <w:p>
            <w:pPr>
              <w:tabs>
                <w:tab w:val="left" w:pos="4680"/>
              </w:tabs>
              <w:jc w:val="center"/>
              <w:rPr>
                <w:color w:val="auto"/>
                <w:szCs w:val="21"/>
                <w:highlight w:val="none"/>
              </w:rPr>
            </w:pPr>
            <w:r>
              <w:rPr>
                <w:rFonts w:hint="eastAsia"/>
                <w:color w:val="auto"/>
                <w:szCs w:val="21"/>
                <w:highlight w:val="none"/>
              </w:rPr>
              <w:t>监理</w:t>
            </w:r>
            <w:r>
              <w:rPr>
                <w:color w:val="auto"/>
                <w:szCs w:val="21"/>
                <w:highlight w:val="none"/>
              </w:rPr>
              <w:t>工作年限</w:t>
            </w:r>
          </w:p>
        </w:tc>
        <w:tc>
          <w:tcPr>
            <w:tcW w:w="1491" w:type="dxa"/>
            <w:gridSpan w:val="2"/>
            <w:tcBorders>
              <w:top w:val="single" w:color="auto" w:sz="6" w:space="0"/>
              <w:left w:val="single" w:color="auto" w:sz="8" w:space="0"/>
              <w:bottom w:val="single" w:color="auto" w:sz="6" w:space="0"/>
              <w:right w:val="single" w:color="auto" w:sz="8" w:space="0"/>
            </w:tcBorders>
            <w:noWrap w:val="0"/>
            <w:vAlign w:val="center"/>
          </w:tcPr>
          <w:p>
            <w:pPr>
              <w:tabs>
                <w:tab w:val="left" w:pos="468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noWrap w:val="0"/>
            <w:vAlign w:val="center"/>
          </w:tcPr>
          <w:p>
            <w:pPr>
              <w:tabs>
                <w:tab w:val="left" w:pos="4680"/>
              </w:tabs>
              <w:jc w:val="center"/>
              <w:rPr>
                <w:color w:val="auto"/>
                <w:szCs w:val="21"/>
                <w:highlight w:val="none"/>
              </w:rPr>
            </w:pPr>
            <w:r>
              <w:rPr>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6" w:type="dxa"/>
            <w:tcBorders>
              <w:top w:val="single" w:color="auto" w:sz="6" w:space="0"/>
              <w:left w:val="single" w:color="auto" w:sz="12" w:space="0"/>
              <w:bottom w:val="single" w:color="auto" w:sz="6" w:space="0"/>
              <w:right w:val="single" w:color="auto" w:sz="6" w:space="0"/>
            </w:tcBorders>
            <w:noWrap w:val="0"/>
            <w:vAlign w:val="center"/>
          </w:tcPr>
          <w:p>
            <w:pPr>
              <w:tabs>
                <w:tab w:val="left" w:pos="4680"/>
              </w:tabs>
              <w:jc w:val="center"/>
              <w:rPr>
                <w:color w:val="auto"/>
                <w:szCs w:val="21"/>
                <w:highlight w:val="none"/>
              </w:rPr>
            </w:pPr>
            <w:r>
              <w:rPr>
                <w:rFonts w:hint="eastAsia"/>
                <w:color w:val="auto"/>
                <w:szCs w:val="21"/>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r>
              <w:rPr>
                <w:rFonts w:hint="eastAsia"/>
                <w:color w:val="auto"/>
                <w:szCs w:val="21"/>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r>
              <w:rPr>
                <w:rFonts w:hint="eastAsia"/>
                <w:color w:val="auto"/>
                <w:szCs w:val="21"/>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r>
              <w:rPr>
                <w:rFonts w:hint="eastAsia"/>
                <w:color w:val="auto"/>
                <w:szCs w:val="21"/>
                <w:highlight w:val="none"/>
              </w:rPr>
              <w:t>在项目中担任岗位</w:t>
            </w:r>
          </w:p>
        </w:tc>
        <w:tc>
          <w:tcPr>
            <w:tcW w:w="1305"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4680"/>
              </w:tabs>
              <w:jc w:val="center"/>
              <w:rPr>
                <w:color w:val="auto"/>
                <w:szCs w:val="21"/>
                <w:highlight w:val="none"/>
              </w:rPr>
            </w:pPr>
            <w:r>
              <w:rPr>
                <w:color w:val="auto"/>
                <w:szCs w:val="21"/>
                <w:highlight w:val="none"/>
              </w:rPr>
              <w:t>主要工作</w:t>
            </w:r>
          </w:p>
        </w:tc>
        <w:tc>
          <w:tcPr>
            <w:tcW w:w="1170" w:type="dxa"/>
            <w:gridSpan w:val="2"/>
            <w:tcBorders>
              <w:top w:val="single" w:color="auto" w:sz="6" w:space="0"/>
              <w:left w:val="single" w:color="auto" w:sz="4" w:space="0"/>
              <w:bottom w:val="single" w:color="auto" w:sz="6" w:space="0"/>
              <w:right w:val="single" w:color="auto" w:sz="4" w:space="0"/>
            </w:tcBorders>
            <w:noWrap w:val="0"/>
            <w:vAlign w:val="center"/>
          </w:tcPr>
          <w:p>
            <w:pPr>
              <w:tabs>
                <w:tab w:val="left" w:pos="4680"/>
              </w:tabs>
              <w:jc w:val="center"/>
              <w:rPr>
                <w:color w:val="auto"/>
                <w:szCs w:val="21"/>
                <w:highlight w:val="none"/>
              </w:rPr>
            </w:pPr>
            <w:r>
              <w:rPr>
                <w:color w:val="auto"/>
                <w:szCs w:val="21"/>
                <w:highlight w:val="none"/>
              </w:rPr>
              <w:t>证明人</w:t>
            </w:r>
          </w:p>
        </w:tc>
        <w:tc>
          <w:tcPr>
            <w:tcW w:w="1053" w:type="dxa"/>
            <w:tcBorders>
              <w:top w:val="single" w:color="auto" w:sz="6" w:space="0"/>
              <w:left w:val="single" w:color="auto" w:sz="4" w:space="0"/>
              <w:bottom w:val="single" w:color="auto" w:sz="6" w:space="0"/>
              <w:right w:val="single" w:color="auto" w:sz="12" w:space="0"/>
            </w:tcBorders>
            <w:noWrap w:val="0"/>
            <w:vAlign w:val="center"/>
          </w:tcPr>
          <w:p>
            <w:pPr>
              <w:tabs>
                <w:tab w:val="left" w:pos="4680"/>
              </w:tabs>
              <w:jc w:val="center"/>
              <w:rPr>
                <w:color w:val="auto"/>
                <w:szCs w:val="21"/>
                <w:highlight w:val="none"/>
              </w:rPr>
            </w:pPr>
            <w:r>
              <w:rPr>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6" w:type="dxa"/>
            <w:tcBorders>
              <w:top w:val="single" w:color="auto" w:sz="6" w:space="0"/>
              <w:left w:val="single" w:color="auto" w:sz="12" w:space="0"/>
              <w:bottom w:val="single" w:color="auto" w:sz="6" w:space="0"/>
              <w:right w:val="single" w:color="auto" w:sz="6" w:space="0"/>
            </w:tcBorders>
            <w:noWrap w:val="0"/>
            <w:vAlign w:val="center"/>
          </w:tcPr>
          <w:p>
            <w:pPr>
              <w:tabs>
                <w:tab w:val="left" w:pos="4680"/>
              </w:tabs>
              <w:jc w:val="center"/>
              <w:rPr>
                <w:color w:val="auto"/>
                <w:szCs w:val="21"/>
                <w:highlight w:val="none"/>
              </w:rPr>
            </w:pPr>
          </w:p>
          <w:p>
            <w:pPr>
              <w:tabs>
                <w:tab w:val="left" w:pos="4680"/>
              </w:tabs>
              <w:jc w:val="center"/>
              <w:rPr>
                <w:color w:val="auto"/>
                <w:szCs w:val="21"/>
                <w:highlight w:val="none"/>
              </w:rPr>
            </w:pPr>
          </w:p>
          <w:p>
            <w:pPr>
              <w:tabs>
                <w:tab w:val="left" w:pos="4680"/>
              </w:tabs>
              <w:jc w:val="center"/>
              <w:rPr>
                <w:color w:val="auto"/>
                <w:szCs w:val="21"/>
                <w:highlight w:val="none"/>
              </w:rPr>
            </w:pPr>
          </w:p>
          <w:p>
            <w:pPr>
              <w:tabs>
                <w:tab w:val="left" w:pos="4680"/>
              </w:tabs>
              <w:jc w:val="center"/>
              <w:rPr>
                <w:color w:val="auto"/>
                <w:szCs w:val="21"/>
                <w:highlight w:val="none"/>
              </w:rPr>
            </w:pPr>
          </w:p>
          <w:p>
            <w:pPr>
              <w:tabs>
                <w:tab w:val="left" w:pos="4680"/>
              </w:tabs>
              <w:jc w:val="center"/>
              <w:rPr>
                <w:color w:val="auto"/>
                <w:szCs w:val="21"/>
                <w:highlight w:val="none"/>
              </w:rPr>
            </w:pPr>
          </w:p>
          <w:p>
            <w:pPr>
              <w:tabs>
                <w:tab w:val="left" w:pos="4680"/>
              </w:tabs>
              <w:jc w:val="center"/>
              <w:rPr>
                <w:color w:val="auto"/>
                <w:szCs w:val="21"/>
                <w:highlight w:val="none"/>
              </w:rPr>
            </w:pPr>
          </w:p>
          <w:p>
            <w:pPr>
              <w:tabs>
                <w:tab w:val="left" w:pos="4680"/>
              </w:tabs>
              <w:jc w:val="center"/>
              <w:rPr>
                <w:color w:val="auto"/>
                <w:szCs w:val="21"/>
                <w:highlight w:val="none"/>
              </w:rPr>
            </w:pPr>
          </w:p>
          <w:p>
            <w:pPr>
              <w:tabs>
                <w:tab w:val="left" w:pos="4680"/>
              </w:tabs>
              <w:jc w:val="center"/>
              <w:rPr>
                <w:color w:val="auto"/>
                <w:szCs w:val="21"/>
                <w:highlight w:val="none"/>
              </w:rPr>
            </w:pPr>
          </w:p>
          <w:p>
            <w:pPr>
              <w:tabs>
                <w:tab w:val="left" w:pos="4680"/>
              </w:tabs>
              <w:jc w:val="center"/>
              <w:rPr>
                <w:color w:val="auto"/>
                <w:szCs w:val="21"/>
                <w:highlight w:val="none"/>
              </w:rPr>
            </w:pPr>
          </w:p>
          <w:p>
            <w:pPr>
              <w:tabs>
                <w:tab w:val="left" w:pos="4680"/>
              </w:tabs>
              <w:jc w:val="center"/>
              <w:rPr>
                <w:color w:val="auto"/>
                <w:szCs w:val="21"/>
                <w:highlight w:val="none"/>
              </w:rPr>
            </w:pPr>
          </w:p>
          <w:p>
            <w:pPr>
              <w:tabs>
                <w:tab w:val="left" w:pos="4680"/>
              </w:tabs>
              <w:jc w:val="center"/>
              <w:rPr>
                <w:color w:val="auto"/>
                <w:szCs w:val="21"/>
                <w:highlight w:val="none"/>
              </w:rPr>
            </w:pPr>
          </w:p>
        </w:tc>
        <w:tc>
          <w:tcPr>
            <w:tcW w:w="1317" w:type="dxa"/>
            <w:gridSpan w:val="3"/>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p>
        </w:tc>
        <w:tc>
          <w:tcPr>
            <w:tcW w:w="1318"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p>
        </w:tc>
        <w:tc>
          <w:tcPr>
            <w:tcW w:w="1956"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4680"/>
              </w:tabs>
              <w:jc w:val="center"/>
              <w:rPr>
                <w:color w:val="auto"/>
                <w:szCs w:val="21"/>
                <w:highlight w:val="none"/>
              </w:rPr>
            </w:pPr>
          </w:p>
        </w:tc>
        <w:tc>
          <w:tcPr>
            <w:tcW w:w="1305" w:type="dxa"/>
            <w:gridSpan w:val="3"/>
            <w:tcBorders>
              <w:top w:val="single" w:color="auto" w:sz="6" w:space="0"/>
              <w:left w:val="single" w:color="auto" w:sz="6" w:space="0"/>
              <w:bottom w:val="single" w:color="auto" w:sz="6" w:space="0"/>
              <w:right w:val="single" w:color="auto" w:sz="4" w:space="0"/>
            </w:tcBorders>
            <w:noWrap w:val="0"/>
            <w:vAlign w:val="center"/>
          </w:tcPr>
          <w:p>
            <w:pPr>
              <w:tabs>
                <w:tab w:val="left" w:pos="4680"/>
              </w:tabs>
              <w:jc w:val="center"/>
              <w:rPr>
                <w:color w:val="auto"/>
                <w:szCs w:val="21"/>
                <w:highlight w:val="none"/>
              </w:rPr>
            </w:pPr>
          </w:p>
        </w:tc>
        <w:tc>
          <w:tcPr>
            <w:tcW w:w="1170" w:type="dxa"/>
            <w:gridSpan w:val="2"/>
            <w:tcBorders>
              <w:top w:val="single" w:color="auto" w:sz="6" w:space="0"/>
              <w:left w:val="single" w:color="auto" w:sz="4" w:space="0"/>
              <w:bottom w:val="single" w:color="auto" w:sz="6" w:space="0"/>
              <w:right w:val="single" w:color="auto" w:sz="4" w:space="0"/>
            </w:tcBorders>
            <w:noWrap w:val="0"/>
            <w:vAlign w:val="center"/>
          </w:tcPr>
          <w:p>
            <w:pPr>
              <w:tabs>
                <w:tab w:val="left" w:pos="4680"/>
              </w:tabs>
              <w:jc w:val="center"/>
              <w:rPr>
                <w:color w:val="auto"/>
                <w:szCs w:val="21"/>
                <w:highlight w:val="none"/>
              </w:rPr>
            </w:pPr>
          </w:p>
        </w:tc>
        <w:tc>
          <w:tcPr>
            <w:tcW w:w="1053" w:type="dxa"/>
            <w:tcBorders>
              <w:top w:val="single" w:color="auto" w:sz="6" w:space="0"/>
              <w:left w:val="single" w:color="auto" w:sz="4" w:space="0"/>
              <w:bottom w:val="single" w:color="auto" w:sz="6" w:space="0"/>
              <w:right w:val="single" w:color="auto" w:sz="12" w:space="0"/>
            </w:tcBorders>
            <w:noWrap w:val="0"/>
            <w:vAlign w:val="center"/>
          </w:tcPr>
          <w:p>
            <w:pPr>
              <w:tabs>
                <w:tab w:val="left" w:pos="468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1" w:type="dxa"/>
            <w:gridSpan w:val="6"/>
            <w:tcBorders>
              <w:top w:val="single" w:color="auto" w:sz="6" w:space="0"/>
              <w:left w:val="single" w:color="auto" w:sz="12"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目前在监的和新承监的</w:t>
            </w:r>
            <w:r>
              <w:rPr>
                <w:rFonts w:hint="eastAsia"/>
                <w:color w:val="auto"/>
                <w:szCs w:val="21"/>
                <w:highlight w:val="none"/>
              </w:rPr>
              <w:t>项目</w:t>
            </w:r>
            <w:r>
              <w:rPr>
                <w:color w:val="auto"/>
                <w:szCs w:val="21"/>
                <w:highlight w:val="none"/>
              </w:rPr>
              <w:t>名称</w:t>
            </w:r>
          </w:p>
        </w:tc>
        <w:tc>
          <w:tcPr>
            <w:tcW w:w="5484"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68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1" w:type="dxa"/>
            <w:gridSpan w:val="6"/>
            <w:tcBorders>
              <w:top w:val="single" w:color="auto" w:sz="6" w:space="0"/>
              <w:left w:val="single" w:color="auto" w:sz="12"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担任职务</w:t>
            </w:r>
          </w:p>
        </w:tc>
        <w:tc>
          <w:tcPr>
            <w:tcW w:w="5484"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68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1" w:type="dxa"/>
            <w:gridSpan w:val="6"/>
            <w:tcBorders>
              <w:top w:val="single" w:color="auto" w:sz="6" w:space="0"/>
              <w:left w:val="single" w:color="auto" w:sz="12" w:space="0"/>
              <w:bottom w:val="single" w:color="auto" w:sz="6"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在监的和新承监的</w:t>
            </w:r>
            <w:r>
              <w:rPr>
                <w:rFonts w:hint="eastAsia"/>
                <w:color w:val="auto"/>
                <w:szCs w:val="21"/>
                <w:highlight w:val="none"/>
              </w:rPr>
              <w:t>项目计划交</w:t>
            </w:r>
            <w:r>
              <w:rPr>
                <w:color w:val="auto"/>
                <w:szCs w:val="21"/>
                <w:highlight w:val="none"/>
              </w:rPr>
              <w:t>工时间</w:t>
            </w:r>
          </w:p>
        </w:tc>
        <w:tc>
          <w:tcPr>
            <w:tcW w:w="5484"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68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2" w:type="dxa"/>
            <w:gridSpan w:val="2"/>
            <w:tcBorders>
              <w:top w:val="single" w:color="auto" w:sz="6" w:space="0"/>
              <w:left w:val="single" w:color="auto" w:sz="12" w:space="0"/>
              <w:bottom w:val="single" w:color="auto" w:sz="12" w:space="0"/>
              <w:right w:val="single" w:color="auto" w:sz="6" w:space="0"/>
            </w:tcBorders>
            <w:noWrap w:val="0"/>
            <w:vAlign w:val="center"/>
          </w:tcPr>
          <w:p>
            <w:pPr>
              <w:tabs>
                <w:tab w:val="left" w:pos="4680"/>
              </w:tabs>
              <w:jc w:val="center"/>
              <w:rPr>
                <w:color w:val="auto"/>
                <w:szCs w:val="21"/>
                <w:highlight w:val="none"/>
              </w:rPr>
            </w:pPr>
            <w:r>
              <w:rPr>
                <w:color w:val="auto"/>
                <w:szCs w:val="21"/>
                <w:highlight w:val="none"/>
              </w:rPr>
              <w:t>奖惩情况</w:t>
            </w:r>
          </w:p>
        </w:tc>
        <w:tc>
          <w:tcPr>
            <w:tcW w:w="7783" w:type="dxa"/>
            <w:gridSpan w:val="12"/>
            <w:tcBorders>
              <w:top w:val="single" w:color="auto" w:sz="6" w:space="0"/>
              <w:left w:val="single" w:color="auto" w:sz="6" w:space="0"/>
              <w:bottom w:val="single" w:color="auto" w:sz="12" w:space="0"/>
              <w:right w:val="single" w:color="auto" w:sz="12" w:space="0"/>
            </w:tcBorders>
            <w:noWrap w:val="0"/>
            <w:vAlign w:val="center"/>
          </w:tcPr>
          <w:p>
            <w:pPr>
              <w:tabs>
                <w:tab w:val="left" w:pos="4680"/>
              </w:tabs>
              <w:jc w:val="center"/>
              <w:rPr>
                <w:color w:val="auto"/>
                <w:szCs w:val="21"/>
                <w:highlight w:val="none"/>
              </w:rPr>
            </w:pPr>
          </w:p>
        </w:tc>
      </w:tr>
    </w:tbl>
    <w:p>
      <w:pPr>
        <w:rPr>
          <w:rFonts w:ascii="宋体" w:hAnsi="宋体"/>
          <w:color w:val="auto"/>
          <w:sz w:val="18"/>
          <w:szCs w:val="18"/>
          <w:highlight w:val="none"/>
        </w:rPr>
      </w:pPr>
      <w:r>
        <w:rPr>
          <w:color w:val="auto"/>
          <w:sz w:val="18"/>
          <w:szCs w:val="18"/>
          <w:highlight w:val="none"/>
        </w:rPr>
        <w:t>注</w:t>
      </w:r>
      <w:r>
        <w:rPr>
          <w:rFonts w:ascii="宋体" w:hAnsi="宋体"/>
          <w:color w:val="auto"/>
          <w:sz w:val="18"/>
          <w:szCs w:val="18"/>
          <w:highlight w:val="none"/>
        </w:rPr>
        <w:t>：</w:t>
      </w:r>
      <w:r>
        <w:rPr>
          <w:rFonts w:hint="eastAsia" w:ascii="宋体" w:hAnsi="宋体"/>
          <w:color w:val="auto"/>
          <w:sz w:val="18"/>
          <w:szCs w:val="18"/>
          <w:highlight w:val="none"/>
        </w:rPr>
        <w:t>①</w:t>
      </w:r>
      <w:r>
        <w:rPr>
          <w:color w:val="auto"/>
          <w:sz w:val="18"/>
          <w:szCs w:val="18"/>
          <w:highlight w:val="none"/>
        </w:rPr>
        <w:t>附</w:t>
      </w:r>
      <w:r>
        <w:rPr>
          <w:rFonts w:hint="eastAsia"/>
          <w:color w:val="auto"/>
          <w:sz w:val="18"/>
          <w:szCs w:val="18"/>
          <w:highlight w:val="none"/>
        </w:rPr>
        <w:t>身份证、</w:t>
      </w:r>
      <w:r>
        <w:rPr>
          <w:color w:val="auto"/>
          <w:sz w:val="18"/>
          <w:szCs w:val="18"/>
          <w:highlight w:val="none"/>
        </w:rPr>
        <w:t>职称证</w:t>
      </w:r>
      <w:r>
        <w:rPr>
          <w:rFonts w:hint="eastAsia"/>
          <w:color w:val="auto"/>
          <w:sz w:val="18"/>
          <w:szCs w:val="18"/>
          <w:highlight w:val="none"/>
        </w:rPr>
        <w:t>、</w:t>
      </w:r>
      <w:r>
        <w:rPr>
          <w:color w:val="auto"/>
          <w:sz w:val="18"/>
          <w:szCs w:val="18"/>
          <w:highlight w:val="none"/>
        </w:rPr>
        <w:t>监理</w:t>
      </w:r>
      <w:r>
        <w:rPr>
          <w:rFonts w:hint="eastAsia"/>
          <w:color w:val="auto"/>
          <w:sz w:val="18"/>
          <w:szCs w:val="18"/>
          <w:highlight w:val="none"/>
        </w:rPr>
        <w:t>资格</w:t>
      </w:r>
      <w:r>
        <w:rPr>
          <w:color w:val="auto"/>
          <w:sz w:val="18"/>
          <w:szCs w:val="18"/>
          <w:highlight w:val="none"/>
        </w:rPr>
        <w:t>证</w:t>
      </w:r>
      <w:r>
        <w:rPr>
          <w:rFonts w:hint="eastAsia"/>
          <w:color w:val="auto"/>
          <w:sz w:val="18"/>
          <w:szCs w:val="18"/>
          <w:highlight w:val="none"/>
        </w:rPr>
        <w:t>或其它资格证、交通建设工程安全、环境监理培训考试合格证书</w:t>
      </w:r>
      <w:r>
        <w:rPr>
          <w:color w:val="auto"/>
          <w:sz w:val="18"/>
          <w:szCs w:val="18"/>
          <w:highlight w:val="none"/>
        </w:rPr>
        <w:t>的扫描件</w:t>
      </w:r>
      <w:r>
        <w:rPr>
          <w:rFonts w:hint="eastAsia"/>
          <w:color w:val="auto"/>
          <w:sz w:val="18"/>
          <w:szCs w:val="18"/>
          <w:highlight w:val="none"/>
        </w:rPr>
        <w:t>。</w:t>
      </w:r>
    </w:p>
    <w:p>
      <w:pPr>
        <w:ind w:firstLine="360" w:firstLineChars="200"/>
        <w:rPr>
          <w:rFonts w:hint="eastAsia"/>
          <w:color w:val="auto"/>
          <w:sz w:val="18"/>
          <w:szCs w:val="18"/>
          <w:highlight w:val="none"/>
        </w:rPr>
      </w:pPr>
      <w:r>
        <w:rPr>
          <w:rFonts w:hint="eastAsia" w:ascii="宋体" w:hAnsi="宋体"/>
          <w:color w:val="auto"/>
          <w:sz w:val="18"/>
          <w:szCs w:val="18"/>
          <w:highlight w:val="none"/>
        </w:rPr>
        <w:t>②</w:t>
      </w:r>
      <w:r>
        <w:rPr>
          <w:rFonts w:hint="eastAsia"/>
          <w:color w:val="auto"/>
          <w:sz w:val="18"/>
          <w:szCs w:val="18"/>
          <w:highlight w:val="none"/>
        </w:rPr>
        <w:t>附</w:t>
      </w:r>
      <w:r>
        <w:rPr>
          <w:rFonts w:hint="eastAsia"/>
          <w:color w:val="auto"/>
          <w:sz w:val="18"/>
          <w:szCs w:val="18"/>
          <w:highlight w:val="none"/>
          <w:lang w:eastAsia="zh-CN"/>
        </w:rPr>
        <w:t>全国水运建设市场信用信息管理系统</w:t>
      </w:r>
      <w:r>
        <w:rPr>
          <w:rFonts w:hint="eastAsia"/>
          <w:color w:val="auto"/>
          <w:sz w:val="18"/>
          <w:szCs w:val="18"/>
          <w:highlight w:val="none"/>
        </w:rPr>
        <w:t>岗位登记截图的打印件。</w:t>
      </w:r>
    </w:p>
    <w:p>
      <w:pPr>
        <w:ind w:firstLine="360" w:firstLineChars="200"/>
        <w:rPr>
          <w:rFonts w:ascii="宋体" w:hAnsi="宋体"/>
          <w:color w:val="auto"/>
          <w:sz w:val="18"/>
          <w:szCs w:val="18"/>
          <w:highlight w:val="none"/>
        </w:rPr>
      </w:pPr>
      <w:r>
        <w:rPr>
          <w:rFonts w:hint="eastAsia"/>
          <w:color w:val="auto"/>
          <w:sz w:val="18"/>
          <w:szCs w:val="18"/>
          <w:highlight w:val="none"/>
        </w:rPr>
        <w:t>③总监理工程师及试验室主任须填写，其余人员不必填写。</w:t>
      </w:r>
    </w:p>
    <w:p>
      <w:pPr>
        <w:ind w:firstLine="480" w:firstLineChars="200"/>
        <w:rPr>
          <w:color w:val="auto"/>
          <w:sz w:val="24"/>
          <w:highlight w:val="none"/>
        </w:rPr>
      </w:pPr>
    </w:p>
    <w:p>
      <w:pPr>
        <w:rPr>
          <w:color w:val="auto"/>
          <w:sz w:val="24"/>
          <w:highlight w:val="none"/>
        </w:rPr>
      </w:pPr>
    </w:p>
    <w:p>
      <w:pPr>
        <w:rPr>
          <w:color w:val="auto"/>
          <w:sz w:val="24"/>
          <w:highlight w:val="none"/>
        </w:rPr>
      </w:pPr>
    </w:p>
    <w:p>
      <w:pPr>
        <w:spacing w:line="440" w:lineRule="exact"/>
        <w:ind w:left="359" w:leftChars="171" w:right="535" w:rightChars="255"/>
        <w:rPr>
          <w:color w:val="auto"/>
          <w:sz w:val="18"/>
          <w:szCs w:val="18"/>
          <w:highlight w:val="none"/>
        </w:rPr>
      </w:pPr>
    </w:p>
    <w:p>
      <w:pPr>
        <w:rPr>
          <w:color w:val="auto"/>
          <w:sz w:val="24"/>
          <w:highlight w:val="none"/>
        </w:rPr>
      </w:pPr>
    </w:p>
    <w:p>
      <w:pPr>
        <w:pStyle w:val="4"/>
        <w:jc w:val="center"/>
        <w:rPr>
          <w:color w:val="auto"/>
          <w:highlight w:val="none"/>
        </w:rPr>
      </w:pPr>
      <w:bookmarkStart w:id="1590" w:name="_Toc488651025"/>
      <w:bookmarkStart w:id="1591" w:name="_Toc341805353"/>
      <w:bookmarkStart w:id="1592" w:name="_Toc487291639"/>
      <w:bookmarkStart w:id="1593" w:name="_Toc356568030"/>
      <w:r>
        <w:rPr>
          <w:rFonts w:hint="eastAsia"/>
          <w:color w:val="auto"/>
          <w:highlight w:val="none"/>
        </w:rPr>
        <w:t>八、资格审查资料</w:t>
      </w:r>
      <w:bookmarkEnd w:id="1590"/>
      <w:bookmarkEnd w:id="1591"/>
      <w:bookmarkEnd w:id="1592"/>
      <w:bookmarkEnd w:id="1593"/>
    </w:p>
    <w:p>
      <w:pPr>
        <w:pStyle w:val="4"/>
        <w:spacing w:before="100" w:after="100"/>
        <w:jc w:val="center"/>
        <w:rPr>
          <w:rFonts w:ascii="黑体" w:hAnsi="宋体"/>
          <w:color w:val="auto"/>
          <w:sz w:val="24"/>
          <w:szCs w:val="24"/>
          <w:highlight w:val="none"/>
        </w:rPr>
      </w:pPr>
      <w:bookmarkStart w:id="1594" w:name="_Toc341805354"/>
      <w:bookmarkStart w:id="1595" w:name="_Toc488651026"/>
      <w:bookmarkStart w:id="1596" w:name="_Toc356568031"/>
      <w:bookmarkStart w:id="1597" w:name="_Toc487291640"/>
      <w:bookmarkStart w:id="1598" w:name="_Toc487619605"/>
      <w:r>
        <w:rPr>
          <w:rFonts w:hint="eastAsia" w:ascii="黑体" w:hAnsi="宋体"/>
          <w:color w:val="auto"/>
          <w:sz w:val="24"/>
          <w:szCs w:val="24"/>
          <w:highlight w:val="none"/>
        </w:rPr>
        <w:t>（一）</w:t>
      </w:r>
      <w:r>
        <w:rPr>
          <w:rFonts w:ascii="黑体" w:hAnsi="宋体"/>
          <w:color w:val="auto"/>
          <w:sz w:val="24"/>
          <w:szCs w:val="24"/>
          <w:highlight w:val="none"/>
        </w:rPr>
        <w:t>投标人</w:t>
      </w:r>
      <w:r>
        <w:rPr>
          <w:rFonts w:hint="eastAsia" w:ascii="黑体" w:hAnsi="宋体"/>
          <w:color w:val="auto"/>
          <w:sz w:val="24"/>
          <w:szCs w:val="24"/>
          <w:highlight w:val="none"/>
        </w:rPr>
        <w:t>基本</w:t>
      </w:r>
      <w:r>
        <w:rPr>
          <w:rFonts w:ascii="黑体" w:hAnsi="宋体"/>
          <w:color w:val="auto"/>
          <w:sz w:val="24"/>
          <w:szCs w:val="24"/>
          <w:highlight w:val="none"/>
        </w:rPr>
        <w:t>情况表</w:t>
      </w:r>
      <w:bookmarkEnd w:id="1594"/>
      <w:bookmarkEnd w:id="1595"/>
      <w:bookmarkEnd w:id="1596"/>
      <w:bookmarkEnd w:id="1597"/>
      <w:bookmarkEnd w:id="1598"/>
    </w:p>
    <w:p>
      <w:pPr>
        <w:rPr>
          <w:color w:val="auto"/>
          <w:sz w:val="24"/>
          <w:highlight w:val="none"/>
        </w:rPr>
      </w:pP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015" w:type="dxa"/>
            <w:gridSpan w:val="2"/>
            <w:noWrap w:val="0"/>
            <w:vAlign w:val="center"/>
          </w:tcPr>
          <w:p>
            <w:pPr>
              <w:tabs>
                <w:tab w:val="left" w:pos="4680"/>
              </w:tabs>
              <w:jc w:val="center"/>
              <w:rPr>
                <w:color w:val="auto"/>
                <w:szCs w:val="21"/>
                <w:highlight w:val="none"/>
              </w:rPr>
            </w:pPr>
            <w:r>
              <w:rPr>
                <w:color w:val="auto"/>
                <w:szCs w:val="21"/>
                <w:highlight w:val="none"/>
              </w:rPr>
              <w:t>投标人名称</w:t>
            </w:r>
          </w:p>
        </w:tc>
        <w:tc>
          <w:tcPr>
            <w:tcW w:w="7119" w:type="dxa"/>
            <w:gridSpan w:val="15"/>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9134" w:type="dxa"/>
            <w:gridSpan w:val="17"/>
            <w:noWrap w:val="0"/>
            <w:vAlign w:val="center"/>
          </w:tcPr>
          <w:p>
            <w:pPr>
              <w:tabs>
                <w:tab w:val="left" w:pos="4680"/>
              </w:tabs>
              <w:jc w:val="center"/>
              <w:rPr>
                <w:color w:val="auto"/>
                <w:szCs w:val="21"/>
                <w:highlight w:val="none"/>
              </w:rPr>
            </w:pPr>
            <w:r>
              <w:rPr>
                <w:color w:val="auto"/>
                <w:szCs w:val="21"/>
                <w:highlight w:val="none"/>
              </w:rPr>
              <w:t>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015" w:type="dxa"/>
            <w:gridSpan w:val="2"/>
            <w:noWrap w:val="0"/>
            <w:vAlign w:val="center"/>
          </w:tcPr>
          <w:p>
            <w:pPr>
              <w:tabs>
                <w:tab w:val="left" w:pos="4680"/>
              </w:tabs>
              <w:jc w:val="center"/>
              <w:rPr>
                <w:color w:val="auto"/>
                <w:szCs w:val="21"/>
                <w:highlight w:val="none"/>
              </w:rPr>
            </w:pPr>
            <w:r>
              <w:rPr>
                <w:color w:val="auto"/>
                <w:szCs w:val="21"/>
                <w:highlight w:val="none"/>
              </w:rPr>
              <w:t>营业执照编号</w:t>
            </w:r>
          </w:p>
        </w:tc>
        <w:tc>
          <w:tcPr>
            <w:tcW w:w="2605" w:type="dxa"/>
            <w:gridSpan w:val="6"/>
            <w:noWrap w:val="0"/>
            <w:vAlign w:val="center"/>
          </w:tcPr>
          <w:p>
            <w:pPr>
              <w:tabs>
                <w:tab w:val="left" w:pos="4680"/>
              </w:tabs>
              <w:jc w:val="center"/>
              <w:rPr>
                <w:color w:val="auto"/>
                <w:szCs w:val="21"/>
                <w:highlight w:val="none"/>
              </w:rPr>
            </w:pPr>
          </w:p>
        </w:tc>
        <w:tc>
          <w:tcPr>
            <w:tcW w:w="1744" w:type="dxa"/>
            <w:gridSpan w:val="4"/>
            <w:noWrap w:val="0"/>
            <w:vAlign w:val="center"/>
          </w:tcPr>
          <w:p>
            <w:pPr>
              <w:tabs>
                <w:tab w:val="left" w:pos="4680"/>
              </w:tabs>
              <w:jc w:val="center"/>
              <w:rPr>
                <w:color w:val="auto"/>
                <w:szCs w:val="21"/>
                <w:highlight w:val="none"/>
              </w:rPr>
            </w:pPr>
            <w:r>
              <w:rPr>
                <w:color w:val="auto"/>
                <w:szCs w:val="21"/>
                <w:highlight w:val="none"/>
              </w:rPr>
              <w:t>注册资金</w:t>
            </w:r>
          </w:p>
        </w:tc>
        <w:tc>
          <w:tcPr>
            <w:tcW w:w="2770" w:type="dxa"/>
            <w:gridSpan w:val="5"/>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015" w:type="dxa"/>
            <w:gridSpan w:val="2"/>
            <w:noWrap w:val="0"/>
            <w:vAlign w:val="center"/>
          </w:tcPr>
          <w:p>
            <w:pPr>
              <w:tabs>
                <w:tab w:val="left" w:pos="4680"/>
              </w:tabs>
              <w:jc w:val="center"/>
              <w:rPr>
                <w:color w:val="auto"/>
                <w:szCs w:val="21"/>
                <w:highlight w:val="none"/>
              </w:rPr>
            </w:pPr>
            <w:r>
              <w:rPr>
                <w:color w:val="auto"/>
                <w:szCs w:val="21"/>
                <w:highlight w:val="none"/>
              </w:rPr>
              <w:t>发照机关</w:t>
            </w:r>
          </w:p>
        </w:tc>
        <w:tc>
          <w:tcPr>
            <w:tcW w:w="2605" w:type="dxa"/>
            <w:gridSpan w:val="6"/>
            <w:noWrap w:val="0"/>
            <w:vAlign w:val="center"/>
          </w:tcPr>
          <w:p>
            <w:pPr>
              <w:tabs>
                <w:tab w:val="left" w:pos="4680"/>
              </w:tabs>
              <w:jc w:val="center"/>
              <w:rPr>
                <w:color w:val="auto"/>
                <w:szCs w:val="21"/>
                <w:highlight w:val="none"/>
              </w:rPr>
            </w:pPr>
          </w:p>
        </w:tc>
        <w:tc>
          <w:tcPr>
            <w:tcW w:w="1744" w:type="dxa"/>
            <w:gridSpan w:val="4"/>
            <w:noWrap w:val="0"/>
            <w:vAlign w:val="center"/>
          </w:tcPr>
          <w:p>
            <w:pPr>
              <w:tabs>
                <w:tab w:val="left" w:pos="4680"/>
              </w:tabs>
              <w:jc w:val="center"/>
              <w:rPr>
                <w:color w:val="auto"/>
                <w:szCs w:val="21"/>
                <w:highlight w:val="none"/>
              </w:rPr>
            </w:pPr>
            <w:r>
              <w:rPr>
                <w:color w:val="auto"/>
                <w:szCs w:val="21"/>
                <w:highlight w:val="none"/>
              </w:rPr>
              <w:t>注册地址</w:t>
            </w:r>
          </w:p>
        </w:tc>
        <w:tc>
          <w:tcPr>
            <w:tcW w:w="2770" w:type="dxa"/>
            <w:gridSpan w:val="5"/>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015" w:type="dxa"/>
            <w:gridSpan w:val="2"/>
            <w:noWrap w:val="0"/>
            <w:vAlign w:val="center"/>
          </w:tcPr>
          <w:p>
            <w:pPr>
              <w:tabs>
                <w:tab w:val="left" w:pos="4680"/>
              </w:tabs>
              <w:jc w:val="center"/>
              <w:rPr>
                <w:color w:val="auto"/>
                <w:szCs w:val="21"/>
                <w:highlight w:val="none"/>
              </w:rPr>
            </w:pPr>
            <w:r>
              <w:rPr>
                <w:color w:val="auto"/>
                <w:szCs w:val="21"/>
                <w:highlight w:val="none"/>
              </w:rPr>
              <w:t>成立时间</w:t>
            </w:r>
          </w:p>
        </w:tc>
        <w:tc>
          <w:tcPr>
            <w:tcW w:w="2605" w:type="dxa"/>
            <w:gridSpan w:val="6"/>
            <w:noWrap w:val="0"/>
            <w:vAlign w:val="center"/>
          </w:tcPr>
          <w:p>
            <w:pPr>
              <w:tabs>
                <w:tab w:val="left" w:pos="4680"/>
              </w:tabs>
              <w:jc w:val="center"/>
              <w:rPr>
                <w:color w:val="auto"/>
                <w:szCs w:val="21"/>
                <w:highlight w:val="none"/>
              </w:rPr>
            </w:pPr>
          </w:p>
        </w:tc>
        <w:tc>
          <w:tcPr>
            <w:tcW w:w="1744" w:type="dxa"/>
            <w:gridSpan w:val="4"/>
            <w:noWrap w:val="0"/>
            <w:vAlign w:val="center"/>
          </w:tcPr>
          <w:p>
            <w:pPr>
              <w:tabs>
                <w:tab w:val="left" w:pos="4680"/>
              </w:tabs>
              <w:jc w:val="center"/>
              <w:rPr>
                <w:color w:val="auto"/>
                <w:szCs w:val="21"/>
                <w:highlight w:val="none"/>
              </w:rPr>
            </w:pPr>
            <w:r>
              <w:rPr>
                <w:color w:val="auto"/>
                <w:szCs w:val="21"/>
                <w:highlight w:val="none"/>
              </w:rPr>
              <w:t>企业性质</w:t>
            </w:r>
          </w:p>
        </w:tc>
        <w:tc>
          <w:tcPr>
            <w:tcW w:w="2770" w:type="dxa"/>
            <w:gridSpan w:val="5"/>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015" w:type="dxa"/>
            <w:gridSpan w:val="2"/>
            <w:noWrap w:val="0"/>
            <w:vAlign w:val="center"/>
          </w:tcPr>
          <w:p>
            <w:pPr>
              <w:tabs>
                <w:tab w:val="left" w:pos="4680"/>
              </w:tabs>
              <w:jc w:val="center"/>
              <w:rPr>
                <w:color w:val="auto"/>
                <w:szCs w:val="21"/>
                <w:highlight w:val="none"/>
              </w:rPr>
            </w:pPr>
            <w:r>
              <w:rPr>
                <w:color w:val="auto"/>
                <w:szCs w:val="21"/>
                <w:highlight w:val="none"/>
              </w:rPr>
              <w:t>经营范围</w:t>
            </w:r>
          </w:p>
        </w:tc>
        <w:tc>
          <w:tcPr>
            <w:tcW w:w="7119" w:type="dxa"/>
            <w:gridSpan w:val="15"/>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9134" w:type="dxa"/>
            <w:gridSpan w:val="17"/>
            <w:noWrap w:val="0"/>
            <w:vAlign w:val="center"/>
          </w:tcPr>
          <w:p>
            <w:pPr>
              <w:tabs>
                <w:tab w:val="left" w:pos="4680"/>
              </w:tabs>
              <w:jc w:val="center"/>
              <w:rPr>
                <w:color w:val="auto"/>
                <w:szCs w:val="21"/>
                <w:highlight w:val="none"/>
              </w:rPr>
            </w:pPr>
            <w:r>
              <w:rPr>
                <w:color w:val="auto"/>
                <w:szCs w:val="21"/>
                <w:highlight w:val="none"/>
              </w:rPr>
              <w:t>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015" w:type="dxa"/>
            <w:gridSpan w:val="2"/>
            <w:noWrap w:val="0"/>
            <w:vAlign w:val="center"/>
          </w:tcPr>
          <w:p>
            <w:pPr>
              <w:tabs>
                <w:tab w:val="left" w:pos="4680"/>
              </w:tabs>
              <w:jc w:val="center"/>
              <w:rPr>
                <w:color w:val="auto"/>
                <w:szCs w:val="21"/>
                <w:highlight w:val="none"/>
              </w:rPr>
            </w:pPr>
            <w:r>
              <w:rPr>
                <w:color w:val="auto"/>
                <w:szCs w:val="21"/>
                <w:highlight w:val="none"/>
              </w:rPr>
              <w:t>企业资质等级</w:t>
            </w:r>
          </w:p>
        </w:tc>
        <w:tc>
          <w:tcPr>
            <w:tcW w:w="2605" w:type="dxa"/>
            <w:gridSpan w:val="6"/>
            <w:noWrap w:val="0"/>
            <w:vAlign w:val="center"/>
          </w:tcPr>
          <w:p>
            <w:pPr>
              <w:tabs>
                <w:tab w:val="left" w:pos="4680"/>
              </w:tabs>
              <w:jc w:val="center"/>
              <w:rPr>
                <w:color w:val="auto"/>
                <w:szCs w:val="21"/>
                <w:highlight w:val="none"/>
              </w:rPr>
            </w:pPr>
          </w:p>
        </w:tc>
        <w:tc>
          <w:tcPr>
            <w:tcW w:w="1744" w:type="dxa"/>
            <w:gridSpan w:val="4"/>
            <w:noWrap w:val="0"/>
            <w:vAlign w:val="center"/>
          </w:tcPr>
          <w:p>
            <w:pPr>
              <w:tabs>
                <w:tab w:val="left" w:pos="4680"/>
              </w:tabs>
              <w:jc w:val="center"/>
              <w:rPr>
                <w:color w:val="auto"/>
                <w:szCs w:val="21"/>
                <w:highlight w:val="none"/>
              </w:rPr>
            </w:pPr>
            <w:r>
              <w:rPr>
                <w:color w:val="auto"/>
                <w:szCs w:val="21"/>
                <w:highlight w:val="none"/>
              </w:rPr>
              <w:t>证书编号</w:t>
            </w:r>
          </w:p>
        </w:tc>
        <w:tc>
          <w:tcPr>
            <w:tcW w:w="2770" w:type="dxa"/>
            <w:gridSpan w:val="5"/>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015" w:type="dxa"/>
            <w:gridSpan w:val="2"/>
            <w:noWrap w:val="0"/>
            <w:vAlign w:val="center"/>
          </w:tcPr>
          <w:p>
            <w:pPr>
              <w:tabs>
                <w:tab w:val="left" w:pos="4680"/>
              </w:tabs>
              <w:jc w:val="center"/>
              <w:rPr>
                <w:color w:val="auto"/>
                <w:szCs w:val="21"/>
                <w:highlight w:val="none"/>
              </w:rPr>
            </w:pPr>
            <w:r>
              <w:rPr>
                <w:color w:val="auto"/>
                <w:szCs w:val="21"/>
                <w:highlight w:val="none"/>
              </w:rPr>
              <w:t>发证机关</w:t>
            </w:r>
          </w:p>
        </w:tc>
        <w:tc>
          <w:tcPr>
            <w:tcW w:w="2605" w:type="dxa"/>
            <w:gridSpan w:val="6"/>
            <w:noWrap w:val="0"/>
            <w:vAlign w:val="center"/>
          </w:tcPr>
          <w:p>
            <w:pPr>
              <w:tabs>
                <w:tab w:val="left" w:pos="4680"/>
              </w:tabs>
              <w:jc w:val="center"/>
              <w:rPr>
                <w:color w:val="auto"/>
                <w:szCs w:val="21"/>
                <w:highlight w:val="none"/>
              </w:rPr>
            </w:pPr>
          </w:p>
        </w:tc>
        <w:tc>
          <w:tcPr>
            <w:tcW w:w="1744" w:type="dxa"/>
            <w:gridSpan w:val="4"/>
            <w:noWrap w:val="0"/>
            <w:vAlign w:val="center"/>
          </w:tcPr>
          <w:p>
            <w:pPr>
              <w:tabs>
                <w:tab w:val="left" w:pos="4680"/>
              </w:tabs>
              <w:jc w:val="center"/>
              <w:rPr>
                <w:color w:val="auto"/>
                <w:szCs w:val="21"/>
                <w:highlight w:val="none"/>
              </w:rPr>
            </w:pPr>
            <w:r>
              <w:rPr>
                <w:color w:val="auto"/>
                <w:szCs w:val="21"/>
                <w:highlight w:val="none"/>
              </w:rPr>
              <w:t>业务范围</w:t>
            </w:r>
          </w:p>
        </w:tc>
        <w:tc>
          <w:tcPr>
            <w:tcW w:w="2770" w:type="dxa"/>
            <w:gridSpan w:val="5"/>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9134" w:type="dxa"/>
            <w:gridSpan w:val="17"/>
            <w:noWrap w:val="0"/>
            <w:vAlign w:val="center"/>
          </w:tcPr>
          <w:p>
            <w:pPr>
              <w:tabs>
                <w:tab w:val="left" w:pos="4680"/>
              </w:tabs>
              <w:jc w:val="center"/>
              <w:rPr>
                <w:color w:val="auto"/>
                <w:szCs w:val="21"/>
                <w:highlight w:val="none"/>
              </w:rPr>
            </w:pPr>
            <w:r>
              <w:rPr>
                <w:color w:val="auto"/>
                <w:szCs w:val="21"/>
                <w:highlight w:val="none"/>
              </w:rPr>
              <w:t>领导层构成情况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847" w:type="dxa"/>
            <w:noWrap w:val="0"/>
            <w:vAlign w:val="center"/>
          </w:tcPr>
          <w:p>
            <w:pPr>
              <w:tabs>
                <w:tab w:val="left" w:pos="4680"/>
              </w:tabs>
              <w:jc w:val="center"/>
              <w:rPr>
                <w:color w:val="auto"/>
                <w:szCs w:val="21"/>
                <w:highlight w:val="none"/>
              </w:rPr>
            </w:pPr>
          </w:p>
        </w:tc>
        <w:tc>
          <w:tcPr>
            <w:tcW w:w="1849" w:type="dxa"/>
            <w:gridSpan w:val="4"/>
            <w:noWrap w:val="0"/>
            <w:vAlign w:val="center"/>
          </w:tcPr>
          <w:p>
            <w:pPr>
              <w:tabs>
                <w:tab w:val="left" w:pos="4680"/>
              </w:tabs>
              <w:jc w:val="center"/>
              <w:rPr>
                <w:color w:val="auto"/>
                <w:szCs w:val="21"/>
                <w:highlight w:val="none"/>
              </w:rPr>
            </w:pPr>
            <w:r>
              <w:rPr>
                <w:color w:val="auto"/>
                <w:szCs w:val="21"/>
                <w:highlight w:val="none"/>
              </w:rPr>
              <w:t>姓名</w:t>
            </w:r>
          </w:p>
        </w:tc>
        <w:tc>
          <w:tcPr>
            <w:tcW w:w="1849" w:type="dxa"/>
            <w:gridSpan w:val="4"/>
            <w:noWrap w:val="0"/>
            <w:vAlign w:val="center"/>
          </w:tcPr>
          <w:p>
            <w:pPr>
              <w:tabs>
                <w:tab w:val="left" w:pos="4680"/>
              </w:tabs>
              <w:jc w:val="center"/>
              <w:rPr>
                <w:color w:val="auto"/>
                <w:szCs w:val="21"/>
                <w:highlight w:val="none"/>
              </w:rPr>
            </w:pPr>
            <w:r>
              <w:rPr>
                <w:color w:val="auto"/>
                <w:szCs w:val="21"/>
                <w:highlight w:val="none"/>
              </w:rPr>
              <w:t>职务</w:t>
            </w:r>
          </w:p>
        </w:tc>
        <w:tc>
          <w:tcPr>
            <w:tcW w:w="1848" w:type="dxa"/>
            <w:gridSpan w:val="6"/>
            <w:noWrap w:val="0"/>
            <w:vAlign w:val="center"/>
          </w:tcPr>
          <w:p>
            <w:pPr>
              <w:tabs>
                <w:tab w:val="left" w:pos="4680"/>
              </w:tabs>
              <w:jc w:val="center"/>
              <w:rPr>
                <w:color w:val="auto"/>
                <w:szCs w:val="21"/>
                <w:highlight w:val="none"/>
              </w:rPr>
            </w:pPr>
            <w:r>
              <w:rPr>
                <w:color w:val="auto"/>
                <w:szCs w:val="21"/>
                <w:highlight w:val="none"/>
              </w:rPr>
              <w:t>职称</w:t>
            </w:r>
          </w:p>
        </w:tc>
        <w:tc>
          <w:tcPr>
            <w:tcW w:w="1741" w:type="dxa"/>
            <w:gridSpan w:val="2"/>
            <w:noWrap w:val="0"/>
            <w:vAlign w:val="center"/>
          </w:tcPr>
          <w:p>
            <w:pPr>
              <w:tabs>
                <w:tab w:val="left" w:pos="4680"/>
              </w:tabs>
              <w:jc w:val="center"/>
              <w:rPr>
                <w:color w:val="auto"/>
                <w:szCs w:val="21"/>
                <w:highlight w:val="none"/>
              </w:rPr>
            </w:pPr>
            <w:r>
              <w:rPr>
                <w:color w:val="auto"/>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847" w:type="dxa"/>
            <w:noWrap w:val="0"/>
            <w:vAlign w:val="center"/>
          </w:tcPr>
          <w:p>
            <w:pPr>
              <w:tabs>
                <w:tab w:val="left" w:pos="4680"/>
              </w:tabs>
              <w:jc w:val="center"/>
              <w:rPr>
                <w:color w:val="auto"/>
                <w:szCs w:val="21"/>
                <w:highlight w:val="none"/>
              </w:rPr>
            </w:pPr>
            <w:r>
              <w:rPr>
                <w:color w:val="auto"/>
                <w:szCs w:val="21"/>
                <w:highlight w:val="none"/>
              </w:rPr>
              <w:t>法定代表人</w:t>
            </w:r>
          </w:p>
        </w:tc>
        <w:tc>
          <w:tcPr>
            <w:tcW w:w="1849" w:type="dxa"/>
            <w:gridSpan w:val="4"/>
            <w:noWrap w:val="0"/>
            <w:vAlign w:val="center"/>
          </w:tcPr>
          <w:p>
            <w:pPr>
              <w:tabs>
                <w:tab w:val="left" w:pos="4680"/>
              </w:tabs>
              <w:jc w:val="center"/>
              <w:rPr>
                <w:color w:val="auto"/>
                <w:szCs w:val="21"/>
                <w:highlight w:val="none"/>
              </w:rPr>
            </w:pPr>
          </w:p>
        </w:tc>
        <w:tc>
          <w:tcPr>
            <w:tcW w:w="1849" w:type="dxa"/>
            <w:gridSpan w:val="4"/>
            <w:noWrap w:val="0"/>
            <w:vAlign w:val="center"/>
          </w:tcPr>
          <w:p>
            <w:pPr>
              <w:tabs>
                <w:tab w:val="left" w:pos="4680"/>
              </w:tabs>
              <w:jc w:val="center"/>
              <w:rPr>
                <w:color w:val="auto"/>
                <w:szCs w:val="21"/>
                <w:highlight w:val="none"/>
              </w:rPr>
            </w:pPr>
          </w:p>
        </w:tc>
        <w:tc>
          <w:tcPr>
            <w:tcW w:w="1848" w:type="dxa"/>
            <w:gridSpan w:val="6"/>
            <w:noWrap w:val="0"/>
            <w:vAlign w:val="center"/>
          </w:tcPr>
          <w:p>
            <w:pPr>
              <w:tabs>
                <w:tab w:val="left" w:pos="4680"/>
              </w:tabs>
              <w:jc w:val="center"/>
              <w:rPr>
                <w:color w:val="auto"/>
                <w:szCs w:val="21"/>
                <w:highlight w:val="none"/>
              </w:rPr>
            </w:pPr>
          </w:p>
        </w:tc>
        <w:tc>
          <w:tcPr>
            <w:tcW w:w="1741" w:type="dxa"/>
            <w:gridSpan w:val="2"/>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847" w:type="dxa"/>
            <w:noWrap w:val="0"/>
            <w:vAlign w:val="center"/>
          </w:tcPr>
          <w:p>
            <w:pPr>
              <w:tabs>
                <w:tab w:val="left" w:pos="4680"/>
              </w:tabs>
              <w:jc w:val="center"/>
              <w:rPr>
                <w:color w:val="auto"/>
                <w:szCs w:val="21"/>
                <w:highlight w:val="none"/>
              </w:rPr>
            </w:pPr>
            <w:r>
              <w:rPr>
                <w:color w:val="auto"/>
                <w:szCs w:val="21"/>
                <w:highlight w:val="none"/>
              </w:rPr>
              <w:t>企业负责人</w:t>
            </w:r>
          </w:p>
        </w:tc>
        <w:tc>
          <w:tcPr>
            <w:tcW w:w="1849" w:type="dxa"/>
            <w:gridSpan w:val="4"/>
            <w:noWrap w:val="0"/>
            <w:vAlign w:val="center"/>
          </w:tcPr>
          <w:p>
            <w:pPr>
              <w:tabs>
                <w:tab w:val="left" w:pos="4680"/>
              </w:tabs>
              <w:jc w:val="center"/>
              <w:rPr>
                <w:color w:val="auto"/>
                <w:szCs w:val="21"/>
                <w:highlight w:val="none"/>
              </w:rPr>
            </w:pPr>
          </w:p>
        </w:tc>
        <w:tc>
          <w:tcPr>
            <w:tcW w:w="1849" w:type="dxa"/>
            <w:gridSpan w:val="4"/>
            <w:noWrap w:val="0"/>
            <w:vAlign w:val="center"/>
          </w:tcPr>
          <w:p>
            <w:pPr>
              <w:tabs>
                <w:tab w:val="left" w:pos="4680"/>
              </w:tabs>
              <w:jc w:val="center"/>
              <w:rPr>
                <w:color w:val="auto"/>
                <w:szCs w:val="21"/>
                <w:highlight w:val="none"/>
              </w:rPr>
            </w:pPr>
          </w:p>
        </w:tc>
        <w:tc>
          <w:tcPr>
            <w:tcW w:w="1848" w:type="dxa"/>
            <w:gridSpan w:val="6"/>
            <w:noWrap w:val="0"/>
            <w:vAlign w:val="center"/>
          </w:tcPr>
          <w:p>
            <w:pPr>
              <w:tabs>
                <w:tab w:val="left" w:pos="4680"/>
              </w:tabs>
              <w:jc w:val="center"/>
              <w:rPr>
                <w:color w:val="auto"/>
                <w:szCs w:val="21"/>
                <w:highlight w:val="none"/>
              </w:rPr>
            </w:pPr>
          </w:p>
        </w:tc>
        <w:tc>
          <w:tcPr>
            <w:tcW w:w="1741" w:type="dxa"/>
            <w:gridSpan w:val="2"/>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847" w:type="dxa"/>
            <w:noWrap w:val="0"/>
            <w:vAlign w:val="center"/>
          </w:tcPr>
          <w:p>
            <w:pPr>
              <w:tabs>
                <w:tab w:val="left" w:pos="4680"/>
              </w:tabs>
              <w:jc w:val="center"/>
              <w:rPr>
                <w:color w:val="auto"/>
                <w:szCs w:val="21"/>
                <w:highlight w:val="none"/>
              </w:rPr>
            </w:pPr>
            <w:r>
              <w:rPr>
                <w:color w:val="auto"/>
                <w:szCs w:val="21"/>
                <w:highlight w:val="none"/>
              </w:rPr>
              <w:t>技术负责人</w:t>
            </w:r>
          </w:p>
        </w:tc>
        <w:tc>
          <w:tcPr>
            <w:tcW w:w="1849" w:type="dxa"/>
            <w:gridSpan w:val="4"/>
            <w:noWrap w:val="0"/>
            <w:vAlign w:val="center"/>
          </w:tcPr>
          <w:p>
            <w:pPr>
              <w:tabs>
                <w:tab w:val="left" w:pos="4680"/>
              </w:tabs>
              <w:jc w:val="center"/>
              <w:rPr>
                <w:color w:val="auto"/>
                <w:szCs w:val="21"/>
                <w:highlight w:val="none"/>
              </w:rPr>
            </w:pPr>
          </w:p>
        </w:tc>
        <w:tc>
          <w:tcPr>
            <w:tcW w:w="1849" w:type="dxa"/>
            <w:gridSpan w:val="4"/>
            <w:noWrap w:val="0"/>
            <w:vAlign w:val="center"/>
          </w:tcPr>
          <w:p>
            <w:pPr>
              <w:tabs>
                <w:tab w:val="left" w:pos="4680"/>
              </w:tabs>
              <w:jc w:val="center"/>
              <w:rPr>
                <w:color w:val="auto"/>
                <w:szCs w:val="21"/>
                <w:highlight w:val="none"/>
              </w:rPr>
            </w:pPr>
          </w:p>
        </w:tc>
        <w:tc>
          <w:tcPr>
            <w:tcW w:w="1848" w:type="dxa"/>
            <w:gridSpan w:val="6"/>
            <w:noWrap w:val="0"/>
            <w:vAlign w:val="center"/>
          </w:tcPr>
          <w:p>
            <w:pPr>
              <w:tabs>
                <w:tab w:val="left" w:pos="4680"/>
              </w:tabs>
              <w:jc w:val="center"/>
              <w:rPr>
                <w:color w:val="auto"/>
                <w:szCs w:val="21"/>
                <w:highlight w:val="none"/>
              </w:rPr>
            </w:pPr>
          </w:p>
        </w:tc>
        <w:tc>
          <w:tcPr>
            <w:tcW w:w="1741" w:type="dxa"/>
            <w:gridSpan w:val="2"/>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847" w:type="dxa"/>
            <w:noWrap w:val="0"/>
            <w:vAlign w:val="center"/>
          </w:tcPr>
          <w:p>
            <w:pPr>
              <w:tabs>
                <w:tab w:val="left" w:pos="4680"/>
              </w:tabs>
              <w:jc w:val="center"/>
              <w:rPr>
                <w:color w:val="auto"/>
                <w:szCs w:val="21"/>
                <w:highlight w:val="none"/>
              </w:rPr>
            </w:pPr>
            <w:r>
              <w:rPr>
                <w:color w:val="auto"/>
                <w:szCs w:val="21"/>
                <w:highlight w:val="none"/>
              </w:rPr>
              <w:t>财务负责人</w:t>
            </w:r>
          </w:p>
        </w:tc>
        <w:tc>
          <w:tcPr>
            <w:tcW w:w="1849" w:type="dxa"/>
            <w:gridSpan w:val="4"/>
            <w:noWrap w:val="0"/>
            <w:vAlign w:val="center"/>
          </w:tcPr>
          <w:p>
            <w:pPr>
              <w:tabs>
                <w:tab w:val="left" w:pos="4680"/>
              </w:tabs>
              <w:jc w:val="center"/>
              <w:rPr>
                <w:color w:val="auto"/>
                <w:szCs w:val="21"/>
                <w:highlight w:val="none"/>
              </w:rPr>
            </w:pPr>
          </w:p>
        </w:tc>
        <w:tc>
          <w:tcPr>
            <w:tcW w:w="1849" w:type="dxa"/>
            <w:gridSpan w:val="4"/>
            <w:noWrap w:val="0"/>
            <w:vAlign w:val="center"/>
          </w:tcPr>
          <w:p>
            <w:pPr>
              <w:tabs>
                <w:tab w:val="left" w:pos="4680"/>
              </w:tabs>
              <w:jc w:val="center"/>
              <w:rPr>
                <w:color w:val="auto"/>
                <w:szCs w:val="21"/>
                <w:highlight w:val="none"/>
              </w:rPr>
            </w:pPr>
          </w:p>
        </w:tc>
        <w:tc>
          <w:tcPr>
            <w:tcW w:w="1848" w:type="dxa"/>
            <w:gridSpan w:val="6"/>
            <w:noWrap w:val="0"/>
            <w:vAlign w:val="center"/>
          </w:tcPr>
          <w:p>
            <w:pPr>
              <w:tabs>
                <w:tab w:val="left" w:pos="4680"/>
              </w:tabs>
              <w:jc w:val="center"/>
              <w:rPr>
                <w:color w:val="auto"/>
                <w:szCs w:val="21"/>
                <w:highlight w:val="none"/>
              </w:rPr>
            </w:pPr>
          </w:p>
        </w:tc>
        <w:tc>
          <w:tcPr>
            <w:tcW w:w="1741" w:type="dxa"/>
            <w:gridSpan w:val="2"/>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9134" w:type="dxa"/>
            <w:gridSpan w:val="17"/>
            <w:noWrap w:val="0"/>
            <w:vAlign w:val="center"/>
          </w:tcPr>
          <w:p>
            <w:pPr>
              <w:tabs>
                <w:tab w:val="left" w:pos="4680"/>
              </w:tabs>
              <w:jc w:val="center"/>
              <w:rPr>
                <w:color w:val="auto"/>
                <w:szCs w:val="21"/>
                <w:highlight w:val="none"/>
              </w:rPr>
            </w:pPr>
            <w:r>
              <w:rPr>
                <w:color w:val="auto"/>
                <w:szCs w:val="21"/>
                <w:highlight w:val="none"/>
              </w:rPr>
              <w:t>人员职称构成情况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847" w:type="dxa"/>
            <w:noWrap w:val="0"/>
            <w:vAlign w:val="center"/>
          </w:tcPr>
          <w:p>
            <w:pPr>
              <w:tabs>
                <w:tab w:val="left" w:pos="4680"/>
              </w:tabs>
              <w:jc w:val="center"/>
              <w:rPr>
                <w:color w:val="auto"/>
                <w:szCs w:val="21"/>
                <w:highlight w:val="none"/>
              </w:rPr>
            </w:pPr>
            <w:r>
              <w:rPr>
                <w:color w:val="auto"/>
                <w:szCs w:val="21"/>
                <w:highlight w:val="none"/>
              </w:rPr>
              <w:t>人员总数</w:t>
            </w:r>
          </w:p>
        </w:tc>
        <w:tc>
          <w:tcPr>
            <w:tcW w:w="1974" w:type="dxa"/>
            <w:gridSpan w:val="5"/>
            <w:noWrap w:val="0"/>
            <w:vAlign w:val="center"/>
          </w:tcPr>
          <w:p>
            <w:pPr>
              <w:tabs>
                <w:tab w:val="left" w:pos="4680"/>
              </w:tabs>
              <w:jc w:val="center"/>
              <w:rPr>
                <w:color w:val="auto"/>
                <w:szCs w:val="21"/>
                <w:highlight w:val="none"/>
              </w:rPr>
            </w:pPr>
            <w:r>
              <w:rPr>
                <w:color w:val="auto"/>
                <w:szCs w:val="21"/>
                <w:highlight w:val="none"/>
              </w:rPr>
              <w:t>高级职称</w:t>
            </w:r>
          </w:p>
        </w:tc>
        <w:tc>
          <w:tcPr>
            <w:tcW w:w="1975" w:type="dxa"/>
            <w:gridSpan w:val="4"/>
            <w:noWrap w:val="0"/>
            <w:vAlign w:val="center"/>
          </w:tcPr>
          <w:p>
            <w:pPr>
              <w:tabs>
                <w:tab w:val="left" w:pos="4680"/>
              </w:tabs>
              <w:jc w:val="center"/>
              <w:rPr>
                <w:color w:val="auto"/>
                <w:szCs w:val="21"/>
                <w:highlight w:val="none"/>
              </w:rPr>
            </w:pPr>
            <w:r>
              <w:rPr>
                <w:color w:val="auto"/>
                <w:szCs w:val="21"/>
                <w:highlight w:val="none"/>
              </w:rPr>
              <w:t>中级职称</w:t>
            </w:r>
          </w:p>
        </w:tc>
        <w:tc>
          <w:tcPr>
            <w:tcW w:w="1975" w:type="dxa"/>
            <w:gridSpan w:val="6"/>
            <w:noWrap w:val="0"/>
            <w:vAlign w:val="center"/>
          </w:tcPr>
          <w:p>
            <w:pPr>
              <w:tabs>
                <w:tab w:val="left" w:pos="4680"/>
              </w:tabs>
              <w:jc w:val="center"/>
              <w:rPr>
                <w:color w:val="auto"/>
                <w:szCs w:val="21"/>
                <w:highlight w:val="none"/>
              </w:rPr>
            </w:pPr>
            <w:r>
              <w:rPr>
                <w:color w:val="auto"/>
                <w:szCs w:val="21"/>
                <w:highlight w:val="none"/>
              </w:rPr>
              <w:t>初级职称</w:t>
            </w:r>
          </w:p>
        </w:tc>
        <w:tc>
          <w:tcPr>
            <w:tcW w:w="1363" w:type="dxa"/>
            <w:noWrap w:val="0"/>
            <w:vAlign w:val="center"/>
          </w:tcPr>
          <w:p>
            <w:pPr>
              <w:tabs>
                <w:tab w:val="left" w:pos="4680"/>
              </w:tabs>
              <w:jc w:val="center"/>
              <w:rPr>
                <w:color w:val="auto"/>
                <w:szCs w:val="21"/>
                <w:highlight w:val="none"/>
              </w:rPr>
            </w:pPr>
            <w:r>
              <w:rPr>
                <w:color w:val="auto"/>
                <w:szCs w:val="21"/>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pPr>
              <w:tabs>
                <w:tab w:val="left" w:pos="4680"/>
              </w:tabs>
              <w:jc w:val="center"/>
              <w:rPr>
                <w:color w:val="auto"/>
                <w:szCs w:val="21"/>
                <w:highlight w:val="none"/>
              </w:rPr>
            </w:pPr>
          </w:p>
        </w:tc>
        <w:tc>
          <w:tcPr>
            <w:tcW w:w="1974" w:type="dxa"/>
            <w:gridSpan w:val="5"/>
            <w:noWrap w:val="0"/>
            <w:vAlign w:val="center"/>
          </w:tcPr>
          <w:p>
            <w:pPr>
              <w:tabs>
                <w:tab w:val="left" w:pos="4680"/>
              </w:tabs>
              <w:jc w:val="center"/>
              <w:rPr>
                <w:color w:val="auto"/>
                <w:szCs w:val="21"/>
                <w:highlight w:val="none"/>
              </w:rPr>
            </w:pPr>
          </w:p>
        </w:tc>
        <w:tc>
          <w:tcPr>
            <w:tcW w:w="1975" w:type="dxa"/>
            <w:gridSpan w:val="4"/>
            <w:noWrap w:val="0"/>
            <w:vAlign w:val="center"/>
          </w:tcPr>
          <w:p>
            <w:pPr>
              <w:tabs>
                <w:tab w:val="left" w:pos="4680"/>
              </w:tabs>
              <w:jc w:val="center"/>
              <w:rPr>
                <w:color w:val="auto"/>
                <w:szCs w:val="21"/>
                <w:highlight w:val="none"/>
              </w:rPr>
            </w:pPr>
          </w:p>
        </w:tc>
        <w:tc>
          <w:tcPr>
            <w:tcW w:w="1975" w:type="dxa"/>
            <w:gridSpan w:val="6"/>
            <w:noWrap w:val="0"/>
            <w:vAlign w:val="center"/>
          </w:tcPr>
          <w:p>
            <w:pPr>
              <w:tabs>
                <w:tab w:val="left" w:pos="4680"/>
              </w:tabs>
              <w:jc w:val="center"/>
              <w:rPr>
                <w:color w:val="auto"/>
                <w:szCs w:val="21"/>
                <w:highlight w:val="none"/>
              </w:rPr>
            </w:pPr>
          </w:p>
        </w:tc>
        <w:tc>
          <w:tcPr>
            <w:tcW w:w="1363" w:type="dxa"/>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pPr>
              <w:tabs>
                <w:tab w:val="left" w:pos="4680"/>
              </w:tabs>
              <w:jc w:val="center"/>
              <w:rPr>
                <w:color w:val="auto"/>
                <w:szCs w:val="21"/>
                <w:highlight w:val="none"/>
              </w:rPr>
            </w:pPr>
          </w:p>
        </w:tc>
        <w:tc>
          <w:tcPr>
            <w:tcW w:w="2409" w:type="dxa"/>
            <w:gridSpan w:val="6"/>
            <w:noWrap w:val="0"/>
            <w:vAlign w:val="center"/>
          </w:tcPr>
          <w:p>
            <w:pPr>
              <w:tabs>
                <w:tab w:val="left" w:pos="4680"/>
              </w:tabs>
              <w:jc w:val="center"/>
              <w:rPr>
                <w:color w:val="auto"/>
                <w:szCs w:val="21"/>
                <w:highlight w:val="none"/>
              </w:rPr>
            </w:pPr>
            <w:r>
              <w:rPr>
                <w:color w:val="auto"/>
                <w:szCs w:val="21"/>
                <w:highlight w:val="none"/>
              </w:rPr>
              <w:t>管理人员</w:t>
            </w:r>
          </w:p>
        </w:tc>
        <w:tc>
          <w:tcPr>
            <w:tcW w:w="2513" w:type="dxa"/>
            <w:gridSpan w:val="7"/>
            <w:noWrap w:val="0"/>
            <w:vAlign w:val="center"/>
          </w:tcPr>
          <w:p>
            <w:pPr>
              <w:tabs>
                <w:tab w:val="left" w:pos="4680"/>
              </w:tabs>
              <w:jc w:val="center"/>
              <w:rPr>
                <w:color w:val="auto"/>
                <w:szCs w:val="21"/>
                <w:highlight w:val="none"/>
              </w:rPr>
            </w:pPr>
            <w:r>
              <w:rPr>
                <w:color w:val="auto"/>
                <w:szCs w:val="21"/>
                <w:highlight w:val="none"/>
              </w:rPr>
              <w:t>监理人员</w:t>
            </w:r>
          </w:p>
        </w:tc>
        <w:tc>
          <w:tcPr>
            <w:tcW w:w="2365" w:type="dxa"/>
            <w:gridSpan w:val="3"/>
            <w:noWrap w:val="0"/>
            <w:vAlign w:val="center"/>
          </w:tcPr>
          <w:p>
            <w:pPr>
              <w:tabs>
                <w:tab w:val="left" w:pos="4680"/>
              </w:tabs>
              <w:jc w:val="center"/>
              <w:rPr>
                <w:color w:val="auto"/>
                <w:szCs w:val="21"/>
                <w:highlight w:val="none"/>
              </w:rPr>
            </w:pPr>
            <w:r>
              <w:rPr>
                <w:color w:val="auto"/>
                <w:szCs w:val="21"/>
                <w:highlight w:val="none"/>
              </w:rPr>
              <w:t>后勤人员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pPr>
              <w:tabs>
                <w:tab w:val="left" w:pos="4680"/>
              </w:tabs>
              <w:jc w:val="center"/>
              <w:rPr>
                <w:color w:val="auto"/>
                <w:szCs w:val="21"/>
                <w:highlight w:val="none"/>
              </w:rPr>
            </w:pPr>
          </w:p>
        </w:tc>
        <w:tc>
          <w:tcPr>
            <w:tcW w:w="2409" w:type="dxa"/>
            <w:gridSpan w:val="6"/>
            <w:noWrap w:val="0"/>
            <w:vAlign w:val="center"/>
          </w:tcPr>
          <w:p>
            <w:pPr>
              <w:tabs>
                <w:tab w:val="left" w:pos="4680"/>
              </w:tabs>
              <w:jc w:val="center"/>
              <w:rPr>
                <w:color w:val="auto"/>
                <w:szCs w:val="21"/>
                <w:highlight w:val="none"/>
              </w:rPr>
            </w:pPr>
          </w:p>
        </w:tc>
        <w:tc>
          <w:tcPr>
            <w:tcW w:w="2513" w:type="dxa"/>
            <w:gridSpan w:val="7"/>
            <w:noWrap w:val="0"/>
            <w:vAlign w:val="center"/>
          </w:tcPr>
          <w:p>
            <w:pPr>
              <w:tabs>
                <w:tab w:val="left" w:pos="4680"/>
              </w:tabs>
              <w:jc w:val="center"/>
              <w:rPr>
                <w:color w:val="auto"/>
                <w:szCs w:val="21"/>
                <w:highlight w:val="none"/>
              </w:rPr>
            </w:pPr>
          </w:p>
        </w:tc>
        <w:tc>
          <w:tcPr>
            <w:tcW w:w="2365" w:type="dxa"/>
            <w:gridSpan w:val="3"/>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771" w:type="dxa"/>
            <w:gridSpan w:val="3"/>
            <w:noWrap w:val="0"/>
            <w:vAlign w:val="center"/>
          </w:tcPr>
          <w:p>
            <w:pPr>
              <w:tabs>
                <w:tab w:val="left" w:pos="4680"/>
              </w:tabs>
              <w:jc w:val="center"/>
              <w:rPr>
                <w:color w:val="auto"/>
                <w:szCs w:val="21"/>
                <w:highlight w:val="none"/>
              </w:rPr>
            </w:pPr>
            <w:r>
              <w:rPr>
                <w:color w:val="auto"/>
                <w:szCs w:val="21"/>
                <w:highlight w:val="none"/>
              </w:rPr>
              <w:t>45岁以下</w:t>
            </w:r>
          </w:p>
        </w:tc>
        <w:tc>
          <w:tcPr>
            <w:tcW w:w="3700" w:type="dxa"/>
            <w:gridSpan w:val="10"/>
            <w:noWrap w:val="0"/>
            <w:vAlign w:val="center"/>
          </w:tcPr>
          <w:p>
            <w:pPr>
              <w:tabs>
                <w:tab w:val="left" w:pos="4680"/>
              </w:tabs>
              <w:jc w:val="center"/>
              <w:rPr>
                <w:color w:val="auto"/>
                <w:szCs w:val="21"/>
                <w:highlight w:val="none"/>
              </w:rPr>
            </w:pPr>
            <w:r>
              <w:rPr>
                <w:color w:val="auto"/>
                <w:szCs w:val="21"/>
                <w:highlight w:val="none"/>
              </w:rPr>
              <w:t>45～60岁</w:t>
            </w:r>
          </w:p>
        </w:tc>
        <w:tc>
          <w:tcPr>
            <w:tcW w:w="2663" w:type="dxa"/>
            <w:gridSpan w:val="4"/>
            <w:noWrap w:val="0"/>
            <w:vAlign w:val="center"/>
          </w:tcPr>
          <w:p>
            <w:pPr>
              <w:tabs>
                <w:tab w:val="left" w:pos="4680"/>
              </w:tabs>
              <w:jc w:val="center"/>
              <w:rPr>
                <w:color w:val="auto"/>
                <w:szCs w:val="21"/>
                <w:highlight w:val="none"/>
              </w:rPr>
            </w:pPr>
            <w:r>
              <w:rPr>
                <w:color w:val="auto"/>
                <w:szCs w:val="21"/>
                <w:highlight w:val="none"/>
              </w:rPr>
              <w:t>60岁以上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771" w:type="dxa"/>
            <w:gridSpan w:val="3"/>
            <w:noWrap w:val="0"/>
            <w:vAlign w:val="center"/>
          </w:tcPr>
          <w:p>
            <w:pPr>
              <w:tabs>
                <w:tab w:val="left" w:pos="4680"/>
              </w:tabs>
              <w:jc w:val="center"/>
              <w:rPr>
                <w:color w:val="auto"/>
                <w:szCs w:val="21"/>
                <w:highlight w:val="none"/>
              </w:rPr>
            </w:pPr>
          </w:p>
        </w:tc>
        <w:tc>
          <w:tcPr>
            <w:tcW w:w="3700" w:type="dxa"/>
            <w:gridSpan w:val="10"/>
            <w:noWrap w:val="0"/>
            <w:vAlign w:val="center"/>
          </w:tcPr>
          <w:p>
            <w:pPr>
              <w:tabs>
                <w:tab w:val="left" w:pos="4680"/>
              </w:tabs>
              <w:jc w:val="center"/>
              <w:rPr>
                <w:color w:val="auto"/>
                <w:szCs w:val="21"/>
                <w:highlight w:val="none"/>
              </w:rPr>
            </w:pPr>
          </w:p>
        </w:tc>
        <w:tc>
          <w:tcPr>
            <w:tcW w:w="2663" w:type="dxa"/>
            <w:gridSpan w:val="4"/>
            <w:noWrap w:val="0"/>
            <w:vAlign w:val="center"/>
          </w:tcPr>
          <w:p>
            <w:pPr>
              <w:tabs>
                <w:tab w:val="left" w:pos="468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9134" w:type="dxa"/>
            <w:gridSpan w:val="17"/>
            <w:noWrap w:val="0"/>
            <w:vAlign w:val="center"/>
          </w:tcPr>
          <w:p>
            <w:pPr>
              <w:tabs>
                <w:tab w:val="left" w:pos="4680"/>
              </w:tabs>
              <w:jc w:val="center"/>
              <w:rPr>
                <w:color w:val="auto"/>
                <w:szCs w:val="21"/>
                <w:highlight w:val="none"/>
              </w:rPr>
            </w:pPr>
            <w:r>
              <w:rPr>
                <w:rFonts w:hint="eastAsia"/>
                <w:color w:val="auto"/>
                <w:szCs w:val="21"/>
                <w:highlight w:val="none"/>
              </w:rPr>
              <w:t>自</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rPr>
              <w:t>到</w:t>
            </w:r>
            <w:r>
              <w:rPr>
                <w:rFonts w:hint="eastAsia"/>
                <w:color w:val="auto"/>
                <w:szCs w:val="21"/>
                <w:highlight w:val="none"/>
                <w:u w:val="single"/>
              </w:rPr>
              <w:t xml:space="preserve">    </w:t>
            </w:r>
            <w:r>
              <w:rPr>
                <w:rFonts w:hint="eastAsia"/>
                <w:color w:val="auto"/>
                <w:szCs w:val="21"/>
                <w:highlight w:val="none"/>
              </w:rPr>
              <w:t>年</w:t>
            </w:r>
            <w:r>
              <w:rPr>
                <w:color w:val="auto"/>
                <w:szCs w:val="21"/>
                <w:highlight w:val="none"/>
              </w:rPr>
              <w:t>营业额情况（万元）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43" w:type="dxa"/>
            <w:gridSpan w:val="4"/>
            <w:noWrap w:val="0"/>
            <w:vAlign w:val="center"/>
          </w:tcPr>
          <w:p>
            <w:pPr>
              <w:tabs>
                <w:tab w:val="left" w:pos="4680"/>
              </w:tabs>
              <w:jc w:val="center"/>
              <w:rPr>
                <w:color w:val="auto"/>
                <w:szCs w:val="21"/>
                <w:highlight w:val="none"/>
              </w:rPr>
            </w:pPr>
            <w:r>
              <w:rPr>
                <w:rFonts w:hint="eastAsia"/>
                <w:color w:val="auto"/>
                <w:szCs w:val="21"/>
                <w:highlight w:val="none"/>
                <w:u w:val="single"/>
              </w:rPr>
              <w:t xml:space="preserve">        </w:t>
            </w:r>
            <w:r>
              <w:rPr>
                <w:color w:val="auto"/>
                <w:szCs w:val="21"/>
                <w:highlight w:val="none"/>
              </w:rPr>
              <w:t>年</w:t>
            </w:r>
          </w:p>
        </w:tc>
        <w:tc>
          <w:tcPr>
            <w:tcW w:w="3047" w:type="dxa"/>
            <w:gridSpan w:val="7"/>
            <w:noWrap w:val="0"/>
            <w:vAlign w:val="center"/>
          </w:tcPr>
          <w:p>
            <w:pPr>
              <w:tabs>
                <w:tab w:val="left" w:pos="4680"/>
              </w:tabs>
              <w:jc w:val="center"/>
              <w:rPr>
                <w:color w:val="auto"/>
                <w:szCs w:val="21"/>
                <w:highlight w:val="none"/>
              </w:rPr>
            </w:pPr>
            <w:r>
              <w:rPr>
                <w:rFonts w:hint="eastAsia"/>
                <w:color w:val="auto"/>
                <w:szCs w:val="21"/>
                <w:highlight w:val="none"/>
                <w:u w:val="single"/>
              </w:rPr>
              <w:t xml:space="preserve">        </w:t>
            </w:r>
            <w:r>
              <w:rPr>
                <w:color w:val="auto"/>
                <w:szCs w:val="21"/>
                <w:highlight w:val="none"/>
              </w:rPr>
              <w:t>年</w:t>
            </w:r>
          </w:p>
        </w:tc>
        <w:tc>
          <w:tcPr>
            <w:tcW w:w="3044" w:type="dxa"/>
            <w:gridSpan w:val="6"/>
            <w:noWrap w:val="0"/>
            <w:vAlign w:val="center"/>
          </w:tcPr>
          <w:p>
            <w:pPr>
              <w:tabs>
                <w:tab w:val="left" w:pos="4680"/>
              </w:tabs>
              <w:jc w:val="center"/>
              <w:rPr>
                <w:color w:val="auto"/>
                <w:szCs w:val="21"/>
                <w:highlight w:val="none"/>
              </w:rPr>
            </w:pPr>
            <w:r>
              <w:rPr>
                <w:rFonts w:hint="eastAsia"/>
                <w:color w:val="auto"/>
                <w:szCs w:val="21"/>
                <w:highlight w:val="none"/>
                <w:u w:val="single"/>
              </w:rPr>
              <w:t xml:space="preserve">        </w:t>
            </w:r>
            <w:r>
              <w:rPr>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43" w:type="dxa"/>
            <w:gridSpan w:val="4"/>
            <w:noWrap w:val="0"/>
            <w:vAlign w:val="center"/>
          </w:tcPr>
          <w:p>
            <w:pPr>
              <w:tabs>
                <w:tab w:val="left" w:pos="4680"/>
              </w:tabs>
              <w:jc w:val="center"/>
              <w:rPr>
                <w:color w:val="auto"/>
                <w:szCs w:val="21"/>
                <w:highlight w:val="none"/>
              </w:rPr>
            </w:pPr>
          </w:p>
        </w:tc>
        <w:tc>
          <w:tcPr>
            <w:tcW w:w="3047" w:type="dxa"/>
            <w:gridSpan w:val="7"/>
            <w:noWrap w:val="0"/>
            <w:vAlign w:val="center"/>
          </w:tcPr>
          <w:p>
            <w:pPr>
              <w:tabs>
                <w:tab w:val="left" w:pos="4680"/>
              </w:tabs>
              <w:jc w:val="center"/>
              <w:rPr>
                <w:color w:val="auto"/>
                <w:szCs w:val="21"/>
                <w:highlight w:val="none"/>
              </w:rPr>
            </w:pPr>
          </w:p>
        </w:tc>
        <w:tc>
          <w:tcPr>
            <w:tcW w:w="3044" w:type="dxa"/>
            <w:gridSpan w:val="6"/>
            <w:noWrap w:val="0"/>
            <w:vAlign w:val="center"/>
          </w:tcPr>
          <w:p>
            <w:pPr>
              <w:tabs>
                <w:tab w:val="left" w:pos="4680"/>
              </w:tabs>
              <w:jc w:val="center"/>
              <w:rPr>
                <w:color w:val="auto"/>
                <w:szCs w:val="21"/>
                <w:highlight w:val="none"/>
              </w:rPr>
            </w:pPr>
          </w:p>
        </w:tc>
      </w:tr>
    </w:tbl>
    <w:p>
      <w:pPr>
        <w:spacing w:line="440" w:lineRule="exact"/>
        <w:ind w:left="359" w:leftChars="171" w:right="535" w:rightChars="255"/>
        <w:rPr>
          <w:color w:val="auto"/>
          <w:sz w:val="18"/>
          <w:szCs w:val="18"/>
          <w:highlight w:val="none"/>
        </w:rPr>
      </w:pPr>
      <w:r>
        <w:rPr>
          <w:rFonts w:hint="eastAsia"/>
          <w:color w:val="auto"/>
          <w:sz w:val="18"/>
          <w:szCs w:val="18"/>
          <w:highlight w:val="none"/>
        </w:rPr>
        <w:t>注：本表后应附营业执照副本、监理资质证书副本相关资料的扫描件。</w:t>
      </w: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pStyle w:val="4"/>
        <w:spacing w:before="100" w:after="100"/>
        <w:jc w:val="center"/>
        <w:rPr>
          <w:rFonts w:ascii="黑体" w:hAnsi="宋体"/>
          <w:color w:val="auto"/>
          <w:sz w:val="24"/>
          <w:szCs w:val="24"/>
          <w:highlight w:val="none"/>
        </w:rPr>
      </w:pPr>
      <w:bookmarkStart w:id="1599" w:name="_Toc356568033"/>
      <w:bookmarkStart w:id="1600" w:name="_Toc341805356"/>
      <w:bookmarkStart w:id="1601" w:name="_Toc487619607"/>
      <w:bookmarkStart w:id="1602" w:name="_Toc487291642"/>
      <w:bookmarkStart w:id="1603" w:name="_Toc488651028"/>
      <w:r>
        <w:rPr>
          <w:rFonts w:hint="eastAsia" w:ascii="黑体" w:hAnsi="宋体"/>
          <w:color w:val="auto"/>
          <w:sz w:val="24"/>
          <w:szCs w:val="24"/>
          <w:highlight w:val="none"/>
        </w:rPr>
        <w:t>（</w:t>
      </w:r>
      <w:r>
        <w:rPr>
          <w:rFonts w:hint="eastAsia" w:ascii="黑体" w:hAnsi="宋体"/>
          <w:color w:val="auto"/>
          <w:sz w:val="24"/>
          <w:szCs w:val="24"/>
          <w:highlight w:val="none"/>
          <w:lang w:eastAsia="zh-CN"/>
        </w:rPr>
        <w:t>二</w:t>
      </w:r>
      <w:r>
        <w:rPr>
          <w:rFonts w:hint="eastAsia" w:ascii="黑体" w:hAnsi="宋体"/>
          <w:color w:val="auto"/>
          <w:sz w:val="24"/>
          <w:szCs w:val="24"/>
          <w:highlight w:val="none"/>
        </w:rPr>
        <w:t>）</w:t>
      </w:r>
      <w:bookmarkEnd w:id="1599"/>
      <w:bookmarkEnd w:id="1600"/>
      <w:bookmarkStart w:id="1604" w:name="_Toc341805357"/>
      <w:bookmarkStart w:id="1605" w:name="_Toc356568034"/>
      <w:r>
        <w:rPr>
          <w:rFonts w:hint="eastAsia" w:ascii="黑体" w:hAnsi="宋体"/>
          <w:color w:val="auto"/>
          <w:sz w:val="24"/>
          <w:szCs w:val="24"/>
          <w:highlight w:val="none"/>
        </w:rPr>
        <w:t>投标人近年</w:t>
      </w:r>
      <w:r>
        <w:rPr>
          <w:rFonts w:ascii="黑体" w:hAnsi="宋体"/>
          <w:color w:val="auto"/>
          <w:sz w:val="24"/>
          <w:szCs w:val="24"/>
          <w:highlight w:val="none"/>
        </w:rPr>
        <w:t>已完工的</w:t>
      </w:r>
      <w:r>
        <w:rPr>
          <w:rFonts w:hint="eastAsia" w:ascii="黑体" w:hAnsi="宋体"/>
          <w:color w:val="auto"/>
          <w:sz w:val="24"/>
          <w:szCs w:val="24"/>
          <w:highlight w:val="none"/>
        </w:rPr>
        <w:t>类似工程</w:t>
      </w:r>
      <w:r>
        <w:rPr>
          <w:rFonts w:ascii="黑体" w:hAnsi="宋体"/>
          <w:color w:val="auto"/>
          <w:sz w:val="24"/>
          <w:szCs w:val="24"/>
          <w:highlight w:val="none"/>
        </w:rPr>
        <w:t>表</w:t>
      </w:r>
      <w:bookmarkEnd w:id="1601"/>
      <w:bookmarkEnd w:id="1602"/>
      <w:bookmarkEnd w:id="1603"/>
      <w:bookmarkEnd w:id="1604"/>
      <w:bookmarkEnd w:id="1605"/>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8"/>
        <w:gridCol w:w="1227"/>
        <w:gridCol w:w="1209"/>
        <w:gridCol w:w="2304"/>
        <w:gridCol w:w="1440"/>
        <w:gridCol w:w="1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588" w:type="dxa"/>
            <w:vMerge w:val="restart"/>
            <w:noWrap w:val="0"/>
            <w:vAlign w:val="center"/>
          </w:tcPr>
          <w:p>
            <w:pPr>
              <w:spacing w:line="360" w:lineRule="auto"/>
              <w:rPr>
                <w:color w:val="auto"/>
                <w:szCs w:val="21"/>
                <w:highlight w:val="none"/>
              </w:rPr>
            </w:pPr>
            <w:r>
              <w:rPr>
                <w:color w:val="auto"/>
                <w:szCs w:val="21"/>
                <w:highlight w:val="none"/>
              </w:rPr>
              <w:t>1.</w:t>
            </w:r>
          </w:p>
        </w:tc>
        <w:tc>
          <w:tcPr>
            <w:tcW w:w="2436" w:type="dxa"/>
            <w:gridSpan w:val="2"/>
            <w:noWrap w:val="0"/>
            <w:vAlign w:val="center"/>
          </w:tcPr>
          <w:p>
            <w:pPr>
              <w:spacing w:line="360" w:lineRule="auto"/>
              <w:rPr>
                <w:color w:val="auto"/>
                <w:position w:val="-6"/>
                <w:szCs w:val="21"/>
                <w:highlight w:val="none"/>
              </w:rPr>
            </w:pPr>
            <w:r>
              <w:rPr>
                <w:rFonts w:hint="eastAsia"/>
                <w:color w:val="auto"/>
                <w:position w:val="-6"/>
                <w:szCs w:val="21"/>
                <w:highlight w:val="none"/>
              </w:rPr>
              <w:t>工程名称</w:t>
            </w:r>
            <w:r>
              <w:rPr>
                <w:color w:val="auto"/>
                <w:position w:val="-6"/>
                <w:szCs w:val="21"/>
                <w:highlight w:val="none"/>
              </w:rPr>
              <w:t xml:space="preserve"> </w:t>
            </w:r>
          </w:p>
        </w:tc>
        <w:tc>
          <w:tcPr>
            <w:tcW w:w="5394" w:type="dxa"/>
            <w:gridSpan w:val="3"/>
            <w:noWrap w:val="0"/>
            <w:vAlign w:val="center"/>
          </w:tcPr>
          <w:p>
            <w:pPr>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588" w:type="dxa"/>
            <w:vMerge w:val="continue"/>
            <w:noWrap w:val="0"/>
            <w:vAlign w:val="center"/>
          </w:tcPr>
          <w:p>
            <w:pPr>
              <w:spacing w:line="360" w:lineRule="auto"/>
              <w:rPr>
                <w:color w:val="auto"/>
                <w:szCs w:val="21"/>
                <w:highlight w:val="none"/>
              </w:rPr>
            </w:pPr>
          </w:p>
        </w:tc>
        <w:tc>
          <w:tcPr>
            <w:tcW w:w="2436" w:type="dxa"/>
            <w:gridSpan w:val="2"/>
            <w:noWrap w:val="0"/>
            <w:vAlign w:val="center"/>
          </w:tcPr>
          <w:p>
            <w:pPr>
              <w:spacing w:line="360" w:lineRule="auto"/>
              <w:rPr>
                <w:color w:val="auto"/>
                <w:szCs w:val="21"/>
                <w:highlight w:val="none"/>
              </w:rPr>
            </w:pPr>
            <w:r>
              <w:rPr>
                <w:rFonts w:hint="eastAsia"/>
                <w:color w:val="auto"/>
                <w:szCs w:val="21"/>
                <w:highlight w:val="none"/>
              </w:rPr>
              <w:t>工程地点</w:t>
            </w:r>
          </w:p>
        </w:tc>
        <w:tc>
          <w:tcPr>
            <w:tcW w:w="5394" w:type="dxa"/>
            <w:gridSpan w:val="3"/>
            <w:noWrap w:val="0"/>
            <w:vAlign w:val="center"/>
          </w:tcPr>
          <w:p>
            <w:pPr>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588" w:type="dxa"/>
            <w:vMerge w:val="restart"/>
            <w:noWrap w:val="0"/>
            <w:vAlign w:val="center"/>
          </w:tcPr>
          <w:p>
            <w:pPr>
              <w:spacing w:line="360" w:lineRule="auto"/>
              <w:rPr>
                <w:color w:val="auto"/>
                <w:szCs w:val="21"/>
                <w:highlight w:val="none"/>
              </w:rPr>
            </w:pPr>
            <w:r>
              <w:rPr>
                <w:color w:val="auto"/>
                <w:szCs w:val="21"/>
                <w:highlight w:val="none"/>
              </w:rPr>
              <w:t>2.</w:t>
            </w:r>
          </w:p>
        </w:tc>
        <w:tc>
          <w:tcPr>
            <w:tcW w:w="1227" w:type="dxa"/>
            <w:vMerge w:val="restart"/>
            <w:noWrap w:val="0"/>
            <w:vAlign w:val="center"/>
          </w:tcPr>
          <w:p>
            <w:pPr>
              <w:spacing w:line="360" w:lineRule="auto"/>
              <w:rPr>
                <w:color w:val="auto"/>
                <w:szCs w:val="21"/>
                <w:highlight w:val="none"/>
              </w:rPr>
            </w:pPr>
            <w:r>
              <w:rPr>
                <w:rFonts w:hint="eastAsia"/>
                <w:color w:val="auto"/>
                <w:szCs w:val="21"/>
                <w:highlight w:val="none"/>
              </w:rPr>
              <w:t>建设单位</w:t>
            </w:r>
          </w:p>
        </w:tc>
        <w:tc>
          <w:tcPr>
            <w:tcW w:w="1209" w:type="dxa"/>
            <w:noWrap w:val="0"/>
            <w:vAlign w:val="center"/>
          </w:tcPr>
          <w:p>
            <w:pPr>
              <w:spacing w:line="360" w:lineRule="auto"/>
              <w:rPr>
                <w:color w:val="auto"/>
                <w:szCs w:val="21"/>
                <w:highlight w:val="none"/>
              </w:rPr>
            </w:pPr>
            <w:r>
              <w:rPr>
                <w:rFonts w:hint="eastAsia"/>
                <w:color w:val="auto"/>
                <w:szCs w:val="21"/>
                <w:highlight w:val="none"/>
              </w:rPr>
              <w:t>名称</w:t>
            </w:r>
          </w:p>
        </w:tc>
        <w:tc>
          <w:tcPr>
            <w:tcW w:w="2304" w:type="dxa"/>
            <w:noWrap w:val="0"/>
            <w:vAlign w:val="center"/>
          </w:tcPr>
          <w:p>
            <w:pPr>
              <w:spacing w:line="360" w:lineRule="auto"/>
              <w:jc w:val="center"/>
              <w:rPr>
                <w:color w:val="auto"/>
                <w:szCs w:val="21"/>
                <w:highlight w:val="none"/>
              </w:rPr>
            </w:pPr>
          </w:p>
        </w:tc>
        <w:tc>
          <w:tcPr>
            <w:tcW w:w="1440" w:type="dxa"/>
            <w:noWrap w:val="0"/>
            <w:vAlign w:val="center"/>
          </w:tcPr>
          <w:p>
            <w:pPr>
              <w:spacing w:line="360" w:lineRule="auto"/>
              <w:rPr>
                <w:color w:val="auto"/>
                <w:szCs w:val="21"/>
                <w:highlight w:val="none"/>
              </w:rPr>
            </w:pPr>
            <w:r>
              <w:rPr>
                <w:rFonts w:hint="eastAsia"/>
                <w:color w:val="auto"/>
                <w:szCs w:val="21"/>
                <w:highlight w:val="none"/>
              </w:rPr>
              <w:t>联 系 人</w:t>
            </w:r>
          </w:p>
        </w:tc>
        <w:tc>
          <w:tcPr>
            <w:tcW w:w="1650" w:type="dxa"/>
            <w:noWrap w:val="0"/>
            <w:vAlign w:val="center"/>
          </w:tcPr>
          <w:p>
            <w:pPr>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588" w:type="dxa"/>
            <w:vMerge w:val="continue"/>
            <w:noWrap w:val="0"/>
            <w:vAlign w:val="center"/>
          </w:tcPr>
          <w:p>
            <w:pPr>
              <w:spacing w:line="360" w:lineRule="auto"/>
              <w:rPr>
                <w:color w:val="auto"/>
                <w:szCs w:val="21"/>
                <w:highlight w:val="none"/>
              </w:rPr>
            </w:pPr>
          </w:p>
        </w:tc>
        <w:tc>
          <w:tcPr>
            <w:tcW w:w="1227" w:type="dxa"/>
            <w:vMerge w:val="continue"/>
            <w:noWrap w:val="0"/>
            <w:vAlign w:val="center"/>
          </w:tcPr>
          <w:p>
            <w:pPr>
              <w:spacing w:line="360" w:lineRule="auto"/>
              <w:rPr>
                <w:color w:val="auto"/>
                <w:szCs w:val="21"/>
                <w:highlight w:val="none"/>
              </w:rPr>
            </w:pPr>
          </w:p>
        </w:tc>
        <w:tc>
          <w:tcPr>
            <w:tcW w:w="1209" w:type="dxa"/>
            <w:noWrap w:val="0"/>
            <w:vAlign w:val="center"/>
          </w:tcPr>
          <w:p>
            <w:pPr>
              <w:spacing w:line="360" w:lineRule="auto"/>
              <w:rPr>
                <w:color w:val="auto"/>
                <w:szCs w:val="21"/>
                <w:highlight w:val="none"/>
              </w:rPr>
            </w:pPr>
            <w:r>
              <w:rPr>
                <w:rFonts w:hint="eastAsia"/>
                <w:color w:val="auto"/>
                <w:szCs w:val="21"/>
                <w:highlight w:val="none"/>
              </w:rPr>
              <w:t>地址</w:t>
            </w:r>
          </w:p>
        </w:tc>
        <w:tc>
          <w:tcPr>
            <w:tcW w:w="2304" w:type="dxa"/>
            <w:noWrap w:val="0"/>
            <w:vAlign w:val="center"/>
          </w:tcPr>
          <w:p>
            <w:pPr>
              <w:spacing w:line="360" w:lineRule="auto"/>
              <w:jc w:val="center"/>
              <w:rPr>
                <w:color w:val="auto"/>
                <w:szCs w:val="21"/>
                <w:highlight w:val="none"/>
              </w:rPr>
            </w:pPr>
          </w:p>
        </w:tc>
        <w:tc>
          <w:tcPr>
            <w:tcW w:w="1440" w:type="dxa"/>
            <w:noWrap w:val="0"/>
            <w:vAlign w:val="center"/>
          </w:tcPr>
          <w:p>
            <w:pPr>
              <w:spacing w:line="360" w:lineRule="auto"/>
              <w:rPr>
                <w:color w:val="auto"/>
                <w:szCs w:val="21"/>
                <w:highlight w:val="none"/>
              </w:rPr>
            </w:pPr>
            <w:r>
              <w:rPr>
                <w:rFonts w:hint="eastAsia"/>
                <w:color w:val="auto"/>
                <w:szCs w:val="21"/>
                <w:highlight w:val="none"/>
              </w:rPr>
              <w:t>联系电话</w:t>
            </w:r>
          </w:p>
        </w:tc>
        <w:tc>
          <w:tcPr>
            <w:tcW w:w="1650" w:type="dxa"/>
            <w:noWrap w:val="0"/>
            <w:vAlign w:val="center"/>
          </w:tcPr>
          <w:p>
            <w:pPr>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588" w:type="dxa"/>
            <w:vMerge w:val="restart"/>
            <w:noWrap w:val="0"/>
            <w:vAlign w:val="center"/>
          </w:tcPr>
          <w:p>
            <w:pPr>
              <w:spacing w:line="360" w:lineRule="auto"/>
              <w:rPr>
                <w:color w:val="auto"/>
                <w:szCs w:val="21"/>
                <w:highlight w:val="none"/>
              </w:rPr>
            </w:pPr>
            <w:r>
              <w:rPr>
                <w:rFonts w:hint="eastAsia"/>
                <w:color w:val="auto"/>
                <w:szCs w:val="21"/>
                <w:highlight w:val="none"/>
              </w:rPr>
              <w:t>3.</w:t>
            </w:r>
          </w:p>
        </w:tc>
        <w:tc>
          <w:tcPr>
            <w:tcW w:w="1227" w:type="dxa"/>
            <w:vMerge w:val="restart"/>
            <w:noWrap w:val="0"/>
            <w:vAlign w:val="center"/>
          </w:tcPr>
          <w:p>
            <w:pPr>
              <w:spacing w:line="360" w:lineRule="auto"/>
              <w:rPr>
                <w:color w:val="auto"/>
                <w:szCs w:val="21"/>
                <w:highlight w:val="none"/>
              </w:rPr>
            </w:pPr>
            <w:r>
              <w:rPr>
                <w:rFonts w:hint="eastAsia"/>
                <w:color w:val="auto"/>
                <w:szCs w:val="21"/>
                <w:highlight w:val="none"/>
              </w:rPr>
              <w:t>施工单位</w:t>
            </w:r>
          </w:p>
        </w:tc>
        <w:tc>
          <w:tcPr>
            <w:tcW w:w="1209" w:type="dxa"/>
            <w:noWrap w:val="0"/>
            <w:vAlign w:val="center"/>
          </w:tcPr>
          <w:p>
            <w:pPr>
              <w:spacing w:line="360" w:lineRule="auto"/>
              <w:rPr>
                <w:color w:val="auto"/>
                <w:szCs w:val="21"/>
                <w:highlight w:val="none"/>
              </w:rPr>
            </w:pPr>
            <w:r>
              <w:rPr>
                <w:rFonts w:hint="eastAsia"/>
                <w:color w:val="auto"/>
                <w:szCs w:val="21"/>
                <w:highlight w:val="none"/>
              </w:rPr>
              <w:t>名称</w:t>
            </w:r>
          </w:p>
        </w:tc>
        <w:tc>
          <w:tcPr>
            <w:tcW w:w="2304" w:type="dxa"/>
            <w:noWrap w:val="0"/>
            <w:vAlign w:val="center"/>
          </w:tcPr>
          <w:p>
            <w:pPr>
              <w:spacing w:line="360" w:lineRule="auto"/>
              <w:jc w:val="center"/>
              <w:rPr>
                <w:color w:val="auto"/>
                <w:szCs w:val="21"/>
                <w:highlight w:val="none"/>
              </w:rPr>
            </w:pPr>
          </w:p>
        </w:tc>
        <w:tc>
          <w:tcPr>
            <w:tcW w:w="1440" w:type="dxa"/>
            <w:noWrap w:val="0"/>
            <w:vAlign w:val="center"/>
          </w:tcPr>
          <w:p>
            <w:pPr>
              <w:spacing w:line="360" w:lineRule="auto"/>
              <w:rPr>
                <w:color w:val="auto"/>
                <w:szCs w:val="21"/>
                <w:highlight w:val="none"/>
              </w:rPr>
            </w:pPr>
            <w:r>
              <w:rPr>
                <w:rFonts w:hint="eastAsia"/>
                <w:color w:val="auto"/>
                <w:szCs w:val="21"/>
                <w:highlight w:val="none"/>
              </w:rPr>
              <w:t>联 系 人</w:t>
            </w:r>
          </w:p>
        </w:tc>
        <w:tc>
          <w:tcPr>
            <w:tcW w:w="1650" w:type="dxa"/>
            <w:noWrap w:val="0"/>
            <w:vAlign w:val="center"/>
          </w:tcPr>
          <w:p>
            <w:pPr>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588" w:type="dxa"/>
            <w:vMerge w:val="continue"/>
            <w:noWrap w:val="0"/>
            <w:vAlign w:val="center"/>
          </w:tcPr>
          <w:p>
            <w:pPr>
              <w:spacing w:line="360" w:lineRule="auto"/>
              <w:rPr>
                <w:color w:val="auto"/>
                <w:szCs w:val="21"/>
                <w:highlight w:val="none"/>
              </w:rPr>
            </w:pPr>
          </w:p>
        </w:tc>
        <w:tc>
          <w:tcPr>
            <w:tcW w:w="1227" w:type="dxa"/>
            <w:vMerge w:val="continue"/>
            <w:noWrap w:val="0"/>
            <w:vAlign w:val="center"/>
          </w:tcPr>
          <w:p>
            <w:pPr>
              <w:spacing w:line="360" w:lineRule="auto"/>
              <w:rPr>
                <w:color w:val="auto"/>
                <w:szCs w:val="21"/>
                <w:highlight w:val="none"/>
              </w:rPr>
            </w:pPr>
          </w:p>
        </w:tc>
        <w:tc>
          <w:tcPr>
            <w:tcW w:w="1209" w:type="dxa"/>
            <w:noWrap w:val="0"/>
            <w:vAlign w:val="center"/>
          </w:tcPr>
          <w:p>
            <w:pPr>
              <w:spacing w:line="360" w:lineRule="auto"/>
              <w:rPr>
                <w:color w:val="auto"/>
                <w:szCs w:val="21"/>
                <w:highlight w:val="none"/>
              </w:rPr>
            </w:pPr>
            <w:r>
              <w:rPr>
                <w:rFonts w:hint="eastAsia"/>
                <w:color w:val="auto"/>
                <w:szCs w:val="21"/>
                <w:highlight w:val="none"/>
              </w:rPr>
              <w:t>地址</w:t>
            </w:r>
          </w:p>
        </w:tc>
        <w:tc>
          <w:tcPr>
            <w:tcW w:w="2304" w:type="dxa"/>
            <w:noWrap w:val="0"/>
            <w:vAlign w:val="center"/>
          </w:tcPr>
          <w:p>
            <w:pPr>
              <w:spacing w:line="360" w:lineRule="auto"/>
              <w:jc w:val="center"/>
              <w:rPr>
                <w:color w:val="auto"/>
                <w:szCs w:val="21"/>
                <w:highlight w:val="none"/>
              </w:rPr>
            </w:pPr>
          </w:p>
        </w:tc>
        <w:tc>
          <w:tcPr>
            <w:tcW w:w="1440" w:type="dxa"/>
            <w:noWrap w:val="0"/>
            <w:vAlign w:val="center"/>
          </w:tcPr>
          <w:p>
            <w:pPr>
              <w:spacing w:line="360" w:lineRule="auto"/>
              <w:rPr>
                <w:color w:val="auto"/>
                <w:szCs w:val="21"/>
                <w:highlight w:val="none"/>
              </w:rPr>
            </w:pPr>
            <w:r>
              <w:rPr>
                <w:rFonts w:hint="eastAsia"/>
                <w:color w:val="auto"/>
                <w:szCs w:val="21"/>
                <w:highlight w:val="none"/>
              </w:rPr>
              <w:t>联系电话</w:t>
            </w:r>
          </w:p>
        </w:tc>
        <w:tc>
          <w:tcPr>
            <w:tcW w:w="1650" w:type="dxa"/>
            <w:noWrap w:val="0"/>
            <w:vAlign w:val="center"/>
          </w:tcPr>
          <w:p>
            <w:pPr>
              <w:spacing w:line="360" w:lineRule="auto"/>
              <w:jc w:val="center"/>
              <w:rPr>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7" w:hRule="atLeast"/>
          <w:jc w:val="center"/>
        </w:trPr>
        <w:tc>
          <w:tcPr>
            <w:tcW w:w="588" w:type="dxa"/>
            <w:noWrap w:val="0"/>
            <w:vAlign w:val="center"/>
          </w:tcPr>
          <w:p>
            <w:pPr>
              <w:spacing w:line="360" w:lineRule="auto"/>
              <w:rPr>
                <w:color w:val="auto"/>
                <w:szCs w:val="21"/>
                <w:highlight w:val="none"/>
              </w:rPr>
            </w:pPr>
            <w:r>
              <w:rPr>
                <w:rFonts w:hint="eastAsia"/>
                <w:color w:val="auto"/>
                <w:szCs w:val="21"/>
                <w:highlight w:val="none"/>
              </w:rPr>
              <w:t>4.</w:t>
            </w:r>
          </w:p>
        </w:tc>
        <w:tc>
          <w:tcPr>
            <w:tcW w:w="7830" w:type="dxa"/>
            <w:gridSpan w:val="5"/>
            <w:noWrap w:val="0"/>
            <w:vAlign w:val="center"/>
          </w:tcPr>
          <w:p>
            <w:pPr>
              <w:spacing w:line="360" w:lineRule="auto"/>
              <w:rPr>
                <w:color w:val="auto"/>
                <w:szCs w:val="21"/>
                <w:highlight w:val="none"/>
              </w:rPr>
            </w:pPr>
            <w:r>
              <w:rPr>
                <w:rFonts w:hint="eastAsia"/>
                <w:color w:val="auto"/>
                <w:szCs w:val="21"/>
                <w:highlight w:val="none"/>
              </w:rPr>
              <w:t>合同身份</w:t>
            </w:r>
            <w:r>
              <w:rPr>
                <w:color w:val="auto"/>
                <w:szCs w:val="21"/>
                <w:highlight w:val="none"/>
              </w:rPr>
              <w:t xml:space="preserve"> (</w:t>
            </w:r>
            <w:r>
              <w:rPr>
                <w:rFonts w:hint="eastAsia"/>
                <w:color w:val="auto"/>
                <w:szCs w:val="21"/>
                <w:highlight w:val="none"/>
              </w:rPr>
              <w:t>标明其中之一</w:t>
            </w:r>
            <w:r>
              <w:rPr>
                <w:color w:val="auto"/>
                <w:szCs w:val="21"/>
                <w:highlight w:val="none"/>
              </w:rPr>
              <w:t>)</w:t>
            </w:r>
          </w:p>
          <w:p>
            <w:pPr>
              <w:spacing w:line="360" w:lineRule="auto"/>
              <w:rPr>
                <w:color w:val="auto"/>
                <w:szCs w:val="21"/>
                <w:highlight w:val="none"/>
              </w:rPr>
            </w:pPr>
            <w:r>
              <w:rPr>
                <w:color w:val="auto"/>
                <w:szCs w:val="21"/>
                <w:highlight w:val="none"/>
              </w:rPr>
              <w:t xml:space="preserve">         </w:t>
            </w:r>
            <w:r>
              <w:rPr>
                <w:color w:val="auto"/>
                <w:szCs w:val="21"/>
                <w:highlight w:val="none"/>
              </w:rPr>
              <w:sym w:font="Symbol" w:char="F086"/>
            </w:r>
            <w:r>
              <w:rPr>
                <w:rFonts w:hint="eastAsia"/>
                <w:color w:val="auto"/>
                <w:szCs w:val="21"/>
                <w:highlight w:val="none"/>
              </w:rPr>
              <w:t xml:space="preserve">  独立承监人</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color w:val="auto"/>
                <w:szCs w:val="21"/>
                <w:highlight w:val="none"/>
              </w:rPr>
              <w:sym w:font="Symbol" w:char="F086"/>
            </w:r>
            <w:r>
              <w:rPr>
                <w:color w:val="auto"/>
                <w:szCs w:val="21"/>
                <w:highlight w:val="none"/>
              </w:rPr>
              <w:t xml:space="preserve">   </w:t>
            </w:r>
            <w:r>
              <w:rPr>
                <w:rFonts w:hint="eastAsia"/>
                <w:color w:val="auto"/>
                <w:szCs w:val="21"/>
                <w:highlight w:val="none"/>
              </w:rPr>
              <w:t xml:space="preserve">联合体牵头人     </w:t>
            </w:r>
            <w:r>
              <w:rPr>
                <w:color w:val="auto"/>
                <w:szCs w:val="21"/>
                <w:highlight w:val="none"/>
              </w:rPr>
              <w:sym w:font="Symbol" w:char="F086"/>
            </w:r>
            <w:r>
              <w:rPr>
                <w:color w:val="auto"/>
                <w:szCs w:val="21"/>
                <w:highlight w:val="none"/>
              </w:rPr>
              <w:t xml:space="preserve">   </w:t>
            </w:r>
            <w:r>
              <w:rPr>
                <w:rFonts w:hint="eastAsia"/>
                <w:color w:val="auto"/>
                <w:szCs w:val="21"/>
                <w:highlight w:val="none"/>
              </w:rPr>
              <w:t xml:space="preserve">联合体成员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9" w:hRule="atLeast"/>
          <w:jc w:val="center"/>
        </w:trPr>
        <w:tc>
          <w:tcPr>
            <w:tcW w:w="588" w:type="dxa"/>
            <w:noWrap w:val="0"/>
            <w:vAlign w:val="center"/>
          </w:tcPr>
          <w:p>
            <w:pPr>
              <w:spacing w:line="360" w:lineRule="auto"/>
              <w:rPr>
                <w:color w:val="auto"/>
                <w:szCs w:val="21"/>
                <w:highlight w:val="none"/>
              </w:rPr>
            </w:pPr>
            <w:r>
              <w:rPr>
                <w:color w:val="auto"/>
                <w:szCs w:val="21"/>
                <w:highlight w:val="none"/>
              </w:rPr>
              <w:t>5.</w:t>
            </w:r>
          </w:p>
        </w:tc>
        <w:tc>
          <w:tcPr>
            <w:tcW w:w="7830" w:type="dxa"/>
            <w:gridSpan w:val="5"/>
            <w:noWrap w:val="0"/>
            <w:vAlign w:val="center"/>
          </w:tcPr>
          <w:p>
            <w:pPr>
              <w:spacing w:line="360" w:lineRule="auto"/>
              <w:rPr>
                <w:color w:val="auto"/>
                <w:szCs w:val="21"/>
                <w:highlight w:val="none"/>
              </w:rPr>
            </w:pPr>
            <w:r>
              <w:rPr>
                <w:rFonts w:hint="eastAsia"/>
                <w:color w:val="auto"/>
                <w:szCs w:val="21"/>
                <w:highlight w:val="none"/>
              </w:rPr>
              <w:t>工程施工合同总价：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588" w:type="dxa"/>
            <w:noWrap w:val="0"/>
            <w:vAlign w:val="center"/>
          </w:tcPr>
          <w:p>
            <w:pPr>
              <w:spacing w:line="360" w:lineRule="auto"/>
              <w:rPr>
                <w:color w:val="auto"/>
                <w:szCs w:val="21"/>
                <w:highlight w:val="none"/>
              </w:rPr>
            </w:pPr>
            <w:r>
              <w:rPr>
                <w:rFonts w:hint="eastAsia"/>
                <w:color w:val="auto"/>
                <w:szCs w:val="21"/>
                <w:highlight w:val="none"/>
              </w:rPr>
              <w:t>6</w:t>
            </w:r>
            <w:r>
              <w:rPr>
                <w:color w:val="auto"/>
                <w:szCs w:val="21"/>
                <w:highlight w:val="none"/>
              </w:rPr>
              <w:t>.</w:t>
            </w:r>
          </w:p>
        </w:tc>
        <w:tc>
          <w:tcPr>
            <w:tcW w:w="7830" w:type="dxa"/>
            <w:gridSpan w:val="5"/>
            <w:noWrap w:val="0"/>
            <w:vAlign w:val="center"/>
          </w:tcPr>
          <w:p>
            <w:pPr>
              <w:spacing w:line="360" w:lineRule="auto"/>
              <w:rPr>
                <w:color w:val="auto"/>
                <w:szCs w:val="21"/>
                <w:highlight w:val="none"/>
              </w:rPr>
            </w:pPr>
            <w:r>
              <w:rPr>
                <w:rFonts w:hint="eastAsia"/>
                <w:color w:val="auto"/>
                <w:szCs w:val="21"/>
                <w:highlight w:val="none"/>
              </w:rPr>
              <w:t>工程质量等级、获得何种荣誉：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588" w:type="dxa"/>
            <w:noWrap w:val="0"/>
            <w:vAlign w:val="center"/>
          </w:tcPr>
          <w:p>
            <w:pPr>
              <w:spacing w:line="360" w:lineRule="auto"/>
              <w:rPr>
                <w:color w:val="auto"/>
                <w:szCs w:val="21"/>
                <w:highlight w:val="none"/>
              </w:rPr>
            </w:pPr>
            <w:r>
              <w:rPr>
                <w:rFonts w:hint="eastAsia"/>
                <w:color w:val="auto"/>
                <w:szCs w:val="21"/>
                <w:highlight w:val="none"/>
              </w:rPr>
              <w:t>7.</w:t>
            </w:r>
          </w:p>
        </w:tc>
        <w:tc>
          <w:tcPr>
            <w:tcW w:w="7830" w:type="dxa"/>
            <w:gridSpan w:val="5"/>
            <w:noWrap w:val="0"/>
            <w:vAlign w:val="center"/>
          </w:tcPr>
          <w:p>
            <w:pPr>
              <w:spacing w:line="360" w:lineRule="auto"/>
              <w:rPr>
                <w:color w:val="auto"/>
                <w:szCs w:val="21"/>
                <w:highlight w:val="none"/>
              </w:rPr>
            </w:pPr>
            <w:r>
              <w:rPr>
                <w:rFonts w:hint="eastAsia"/>
                <w:color w:val="auto"/>
                <w:szCs w:val="21"/>
                <w:highlight w:val="none"/>
              </w:rPr>
              <w:t>工程开工及竣工时间：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588" w:type="dxa"/>
            <w:noWrap w:val="0"/>
            <w:vAlign w:val="center"/>
          </w:tcPr>
          <w:p>
            <w:pPr>
              <w:spacing w:line="360" w:lineRule="auto"/>
              <w:rPr>
                <w:color w:val="auto"/>
                <w:szCs w:val="21"/>
                <w:highlight w:val="none"/>
              </w:rPr>
            </w:pPr>
            <w:r>
              <w:rPr>
                <w:rFonts w:hint="eastAsia"/>
                <w:color w:val="auto"/>
                <w:szCs w:val="21"/>
                <w:highlight w:val="none"/>
              </w:rPr>
              <w:t>8.</w:t>
            </w:r>
          </w:p>
        </w:tc>
        <w:tc>
          <w:tcPr>
            <w:tcW w:w="7830" w:type="dxa"/>
            <w:gridSpan w:val="5"/>
            <w:noWrap w:val="0"/>
            <w:vAlign w:val="center"/>
          </w:tcPr>
          <w:p>
            <w:pPr>
              <w:spacing w:line="360" w:lineRule="auto"/>
              <w:rPr>
                <w:color w:val="auto"/>
                <w:szCs w:val="21"/>
                <w:highlight w:val="none"/>
              </w:rPr>
            </w:pPr>
            <w:r>
              <w:rPr>
                <w:rFonts w:hint="eastAsia"/>
                <w:color w:val="auto"/>
                <w:szCs w:val="21"/>
                <w:highlight w:val="none"/>
              </w:rPr>
              <w:t>工程规模和主要工程内容：</w:t>
            </w:r>
          </w:p>
          <w:p>
            <w:pPr>
              <w:spacing w:line="360" w:lineRule="auto"/>
              <w:rPr>
                <w:color w:val="auto"/>
                <w:szCs w:val="21"/>
                <w:highlight w:val="none"/>
              </w:rPr>
            </w:pPr>
          </w:p>
        </w:tc>
      </w:tr>
    </w:tbl>
    <w:p>
      <w:pPr>
        <w:spacing w:line="440" w:lineRule="exact"/>
        <w:ind w:left="359" w:leftChars="171" w:right="535" w:rightChars="255"/>
        <w:rPr>
          <w:rFonts w:hint="eastAsia"/>
          <w:color w:val="auto"/>
          <w:sz w:val="18"/>
          <w:szCs w:val="18"/>
          <w:highlight w:val="none"/>
        </w:rPr>
      </w:pPr>
      <w:r>
        <w:rPr>
          <w:rFonts w:hint="eastAsia"/>
          <w:color w:val="auto"/>
          <w:sz w:val="18"/>
          <w:szCs w:val="18"/>
          <w:highlight w:val="none"/>
        </w:rPr>
        <w:t>注：1、每张表格只填写一个项目，并标明序号。</w:t>
      </w:r>
    </w:p>
    <w:p>
      <w:pPr>
        <w:spacing w:line="400" w:lineRule="exact"/>
        <w:ind w:left="359" w:leftChars="171" w:right="535" w:rightChars="255" w:firstLine="360" w:firstLineChars="200"/>
        <w:rPr>
          <w:rFonts w:hint="eastAsia" w:cs="Times New Roman"/>
          <w:color w:val="auto"/>
          <w:szCs w:val="21"/>
          <w:highlight w:val="none"/>
        </w:rPr>
      </w:pPr>
      <w:r>
        <w:rPr>
          <w:rFonts w:hint="eastAsia"/>
          <w:color w:val="auto"/>
          <w:sz w:val="18"/>
          <w:szCs w:val="18"/>
          <w:highlight w:val="none"/>
        </w:rPr>
        <w:t>2、本表后须附应附在交通运输部“全国水运建设市场信用信息管理系统”（https://wtis.mot.gov.cn/credit/index.html）中查询到的企业“业绩信息”相关项目网页截图扫描件，或附在“福建省交通公路水运建设与运输市场信用信息管理系统（信用交通·福建）”（</w:t>
      </w:r>
      <w:r>
        <w:rPr>
          <w:rFonts w:hint="eastAsia"/>
          <w:color w:val="auto"/>
          <w:sz w:val="18"/>
          <w:szCs w:val="18"/>
          <w:highlight w:val="none"/>
          <w:lang w:eastAsia="zh-CN"/>
        </w:rPr>
        <w:t>http://220.160.53.3:30050/gzwz/</w:t>
      </w:r>
      <w:r>
        <w:rPr>
          <w:rFonts w:hint="eastAsia"/>
          <w:color w:val="auto"/>
          <w:sz w:val="18"/>
          <w:szCs w:val="18"/>
          <w:highlight w:val="none"/>
        </w:rPr>
        <w:t>）中查询到的网页截图（并注明查询路径）；并提供①合同文件扫描件，②交(竣)工验收证书或交工验收表或竣工验收现场核查报告（均同时附上质量鉴定意见）扫描件。航道工程还需提供单独立项的工可批复文件扫描件。</w:t>
      </w:r>
      <w:bookmarkStart w:id="1606" w:name="_Toc356568035"/>
      <w:bookmarkStart w:id="1607" w:name="_Toc341805358"/>
    </w:p>
    <w:p>
      <w:pPr>
        <w:pStyle w:val="4"/>
        <w:spacing w:before="100" w:after="100"/>
        <w:jc w:val="center"/>
        <w:rPr>
          <w:rFonts w:ascii="黑体" w:hAnsi="宋体"/>
          <w:color w:val="auto"/>
          <w:sz w:val="24"/>
          <w:szCs w:val="24"/>
          <w:highlight w:val="none"/>
        </w:rPr>
      </w:pPr>
      <w:r>
        <w:rPr>
          <w:rFonts w:hint="eastAsia" w:ascii="黑体" w:hAnsi="宋体"/>
          <w:color w:val="auto"/>
          <w:sz w:val="24"/>
          <w:szCs w:val="24"/>
          <w:highlight w:val="none"/>
        </w:rPr>
        <w:br w:type="page"/>
      </w:r>
      <w:bookmarkEnd w:id="1606"/>
      <w:bookmarkEnd w:id="1607"/>
      <w:bookmarkStart w:id="1608" w:name="_Toc187983514"/>
      <w:bookmarkStart w:id="1609" w:name="_Toc222105648"/>
      <w:bookmarkStart w:id="1610" w:name="_Toc187983931"/>
      <w:bookmarkStart w:id="1611" w:name="_Toc222116508"/>
      <w:bookmarkStart w:id="1612" w:name="_Toc487291644"/>
      <w:bookmarkStart w:id="1613" w:name="_Toc488651029"/>
      <w:bookmarkStart w:id="1614" w:name="_Toc341805359"/>
      <w:bookmarkStart w:id="1615" w:name="_Toc487619609"/>
      <w:bookmarkStart w:id="1616" w:name="_Toc356568036"/>
      <w:r>
        <w:rPr>
          <w:rFonts w:hint="eastAsia" w:ascii="黑体" w:hAnsi="宋体"/>
          <w:color w:val="auto"/>
          <w:sz w:val="24"/>
          <w:szCs w:val="24"/>
          <w:highlight w:val="none"/>
        </w:rPr>
        <w:t>（</w:t>
      </w:r>
      <w:r>
        <w:rPr>
          <w:rFonts w:hint="eastAsia" w:ascii="黑体" w:hAnsi="宋体"/>
          <w:color w:val="auto"/>
          <w:sz w:val="24"/>
          <w:szCs w:val="24"/>
          <w:highlight w:val="none"/>
          <w:lang w:eastAsia="zh-CN"/>
        </w:rPr>
        <w:t>三</w:t>
      </w:r>
      <w:r>
        <w:rPr>
          <w:rFonts w:hint="eastAsia" w:ascii="黑体" w:hAnsi="宋体"/>
          <w:color w:val="auto"/>
          <w:sz w:val="24"/>
          <w:szCs w:val="24"/>
          <w:highlight w:val="none"/>
        </w:rPr>
        <w:t xml:space="preserve">） </w:t>
      </w:r>
      <w:bookmarkEnd w:id="1608"/>
      <w:bookmarkEnd w:id="1609"/>
      <w:bookmarkEnd w:id="1610"/>
      <w:bookmarkEnd w:id="1611"/>
      <w:r>
        <w:rPr>
          <w:rFonts w:hint="eastAsia" w:ascii="黑体" w:hAnsi="宋体"/>
          <w:color w:val="auto"/>
          <w:sz w:val="24"/>
          <w:szCs w:val="24"/>
          <w:highlight w:val="none"/>
        </w:rPr>
        <w:t>投标人近年发生的诉讼及仲裁情况一览表</w:t>
      </w:r>
      <w:bookmarkEnd w:id="1612"/>
      <w:bookmarkEnd w:id="1613"/>
      <w:bookmarkEnd w:id="1614"/>
      <w:bookmarkEnd w:id="1615"/>
      <w:bookmarkEnd w:id="1616"/>
    </w:p>
    <w:p>
      <w:pPr>
        <w:rPr>
          <w:color w:val="auto"/>
          <w:highlight w:val="none"/>
        </w:rPr>
      </w:pPr>
    </w:p>
    <w:p>
      <w:pPr>
        <w:rPr>
          <w:color w:val="auto"/>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5" w:hRule="atLeast"/>
          <w:jc w:val="center"/>
        </w:trPr>
        <w:tc>
          <w:tcPr>
            <w:tcW w:w="8820" w:type="dxa"/>
            <w:noWrap w:val="0"/>
            <w:vAlign w:val="top"/>
          </w:tcPr>
          <w:p>
            <w:pPr>
              <w:rPr>
                <w:color w:val="auto"/>
                <w:highlight w:val="none"/>
              </w:rPr>
            </w:pPr>
          </w:p>
          <w:p>
            <w:pPr>
              <w:rPr>
                <w:color w:val="auto"/>
                <w:highlight w:val="none"/>
              </w:rPr>
            </w:pPr>
            <w:r>
              <w:rPr>
                <w:color w:val="auto"/>
                <w:highlight w:val="none"/>
              </w:rPr>
              <w:t>（详细说明</w:t>
            </w:r>
            <w:r>
              <w:rPr>
                <w:rFonts w:hint="eastAsia"/>
                <w:color w:val="auto"/>
                <w:highlight w:val="none"/>
              </w:rPr>
              <w:t>投标人</w:t>
            </w:r>
            <w:r>
              <w:rPr>
                <w:color w:val="auto"/>
                <w:highlight w:val="none"/>
              </w:rPr>
              <w:t>介入的诉讼案件）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jc w:val="center"/>
        <w:rPr>
          <w:rFonts w:hint="eastAsia"/>
          <w:color w:val="auto"/>
          <w:highlight w:val="none"/>
        </w:rPr>
      </w:pPr>
      <w:bookmarkStart w:id="1617" w:name="_Toc488651030"/>
      <w:bookmarkStart w:id="1618" w:name="_Toc487291645"/>
      <w:r>
        <w:rPr>
          <w:rFonts w:hint="eastAsia"/>
          <w:color w:val="auto"/>
          <w:highlight w:val="none"/>
        </w:rPr>
        <w:t>九、定标要素情况表</w:t>
      </w:r>
    </w:p>
    <w:p>
      <w:pPr>
        <w:pStyle w:val="17"/>
        <w:spacing w:before="7"/>
        <w:rPr>
          <w:rFonts w:ascii="黑体"/>
          <w:color w:val="auto"/>
          <w:sz w:val="15"/>
          <w:highlight w:val="none"/>
        </w:rPr>
      </w:pPr>
    </w:p>
    <w:p>
      <w:pPr>
        <w:ind w:left="766"/>
        <w:jc w:val="left"/>
        <w:rPr>
          <w:rFonts w:hint="eastAsia" w:ascii="黑体" w:hAnsi="黑体" w:eastAsia="黑体"/>
          <w:color w:val="auto"/>
          <w:sz w:val="10"/>
          <w:highlight w:val="none"/>
        </w:rPr>
      </w:pPr>
      <w:r>
        <w:rPr>
          <w:rFonts w:hint="eastAsia" w:ascii="黑体" w:hAnsi="黑体" w:eastAsia="黑体"/>
          <w:b/>
          <w:color w:val="auto"/>
          <w:highlight w:val="none"/>
        </w:rPr>
        <w:t>1、</w:t>
      </w:r>
      <w:r>
        <w:rPr>
          <w:rFonts w:hint="eastAsia" w:ascii="黑体" w:hAnsi="黑体" w:eastAsia="黑体"/>
          <w:color w:val="auto"/>
          <w:highlight w:val="none"/>
        </w:rPr>
        <w:t>信用要素情况表</w:t>
      </w:r>
      <w:r>
        <w:rPr>
          <w:rFonts w:hint="eastAsia" w:ascii="黑体" w:hAnsi="黑体" w:eastAsia="黑体"/>
          <w:color w:val="auto"/>
          <w:position w:val="9"/>
          <w:sz w:val="10"/>
          <w:highlight w:val="none"/>
        </w:rPr>
        <w:t>①</w:t>
      </w:r>
    </w:p>
    <w:p>
      <w:pPr>
        <w:pStyle w:val="17"/>
        <w:spacing w:before="10"/>
        <w:rPr>
          <w:rFonts w:ascii="黑体"/>
          <w:color w:val="auto"/>
          <w:sz w:val="13"/>
          <w:highlight w:val="none"/>
        </w:rPr>
      </w:pPr>
    </w:p>
    <w:tbl>
      <w:tblPr>
        <w:tblStyle w:val="43"/>
        <w:tblW w:w="0" w:type="auto"/>
        <w:tblInd w:w="7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4"/>
        <w:gridCol w:w="5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64" w:type="dxa"/>
            <w:noWrap w:val="0"/>
            <w:vAlign w:val="top"/>
          </w:tcPr>
          <w:p>
            <w:pPr>
              <w:pStyle w:val="115"/>
              <w:spacing w:before="107"/>
              <w:ind w:left="473"/>
              <w:rPr>
                <w:rFonts w:hint="eastAsia" w:ascii="黑体" w:hAnsi="黑体" w:eastAsia="黑体"/>
                <w:color w:val="auto"/>
                <w:sz w:val="10"/>
                <w:highlight w:val="none"/>
              </w:rPr>
            </w:pPr>
            <w:r>
              <w:rPr>
                <w:rFonts w:hint="eastAsia" w:ascii="黑体" w:hAnsi="黑体" w:eastAsia="黑体"/>
                <w:color w:val="auto"/>
                <w:highlight w:val="none"/>
              </w:rPr>
              <w:t>招标人要求的信用子要素</w:t>
            </w:r>
            <w:r>
              <w:rPr>
                <w:rFonts w:hint="eastAsia" w:ascii="黑体" w:hAnsi="黑体" w:eastAsia="黑体"/>
                <w:color w:val="auto"/>
                <w:position w:val="9"/>
                <w:sz w:val="10"/>
                <w:highlight w:val="none"/>
              </w:rPr>
              <w:t>②</w:t>
            </w:r>
          </w:p>
        </w:tc>
        <w:tc>
          <w:tcPr>
            <w:tcW w:w="5753" w:type="dxa"/>
            <w:noWrap w:val="0"/>
            <w:vAlign w:val="top"/>
          </w:tcPr>
          <w:p>
            <w:pPr>
              <w:pStyle w:val="115"/>
              <w:spacing w:before="107"/>
              <w:ind w:left="1614"/>
              <w:rPr>
                <w:rFonts w:hint="eastAsia" w:ascii="黑体" w:eastAsia="黑体"/>
                <w:color w:val="auto"/>
                <w:highlight w:val="none"/>
              </w:rPr>
            </w:pPr>
            <w:r>
              <w:rPr>
                <w:rFonts w:hint="eastAsia" w:ascii="黑体" w:eastAsia="黑体"/>
                <w:color w:val="auto"/>
                <w:highlight w:val="none"/>
              </w:rPr>
              <w:t>投标人提供的证明材料明细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3364" w:type="dxa"/>
            <w:noWrap w:val="0"/>
            <w:vAlign w:val="top"/>
          </w:tcPr>
          <w:p>
            <w:pPr>
              <w:pStyle w:val="115"/>
              <w:rPr>
                <w:rFonts w:ascii="Times New Roman"/>
                <w:color w:val="auto"/>
                <w:sz w:val="18"/>
                <w:highlight w:val="none"/>
              </w:rPr>
            </w:pPr>
          </w:p>
        </w:tc>
        <w:tc>
          <w:tcPr>
            <w:tcW w:w="5753" w:type="dxa"/>
            <w:noWrap w:val="0"/>
            <w:vAlign w:val="top"/>
          </w:tcPr>
          <w:p>
            <w:pPr>
              <w:pStyle w:val="115"/>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pPr>
              <w:pStyle w:val="115"/>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pPr>
              <w:pStyle w:val="115"/>
              <w:spacing w:before="137"/>
              <w:ind w:left="106"/>
              <w:rPr>
                <w:color w:val="auto"/>
                <w:highlight w:val="none"/>
              </w:rPr>
            </w:pPr>
            <w:r>
              <w:rPr>
                <w:color w:val="auto"/>
                <w:highlight w:val="none"/>
              </w:rPr>
              <w:t>③</w:t>
            </w:r>
            <w:r>
              <w:rPr>
                <w:color w:val="auto"/>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117" w:type="dxa"/>
            <w:gridSpan w:val="2"/>
            <w:noWrap w:val="0"/>
            <w:vAlign w:val="top"/>
          </w:tcPr>
          <w:p>
            <w:pPr>
              <w:pStyle w:val="115"/>
              <w:spacing w:before="109"/>
              <w:ind w:left="107"/>
              <w:rPr>
                <w:color w:val="auto"/>
                <w:highlight w:val="none"/>
              </w:rPr>
            </w:pPr>
            <w:r>
              <w:rPr>
                <w:color w:val="auto"/>
                <w:highlight w:val="none"/>
              </w:rPr>
              <w:t>说明：投标人应根据招标文件第四章定标办法的前附表中定标要素编列内容的规定提供与信用子</w:t>
            </w:r>
          </w:p>
          <w:p>
            <w:pPr>
              <w:pStyle w:val="115"/>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spacing w:before="6"/>
        <w:rPr>
          <w:rFonts w:ascii="黑体"/>
          <w:color w:val="auto"/>
          <w:highlight w:val="none"/>
        </w:rPr>
      </w:pPr>
      <w:r>
        <w:rPr>
          <w:color w:val="auto"/>
          <w:highlight w:val="none"/>
        </w:rPr>
        <mc:AlternateContent>
          <mc:Choice Requires="wps">
            <w:drawing>
              <wp:anchor distT="0" distB="0" distL="114300" distR="114300" simplePos="0" relativeHeight="251661312" behindDoc="1" locked="0" layoutInCell="1" allowOverlap="1">
                <wp:simplePos x="0" y="0"/>
                <wp:positionH relativeFrom="page">
                  <wp:posOffset>1007745</wp:posOffset>
                </wp:positionH>
                <wp:positionV relativeFrom="paragraph">
                  <wp:posOffset>199390</wp:posOffset>
                </wp:positionV>
                <wp:extent cx="1828800" cy="0"/>
                <wp:effectExtent l="0" t="0" r="0" b="0"/>
                <wp:wrapTopAndBottom/>
                <wp:docPr id="3" name="直线 3"/>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79.35pt;margin-top:15.7pt;height:0pt;width:144pt;mso-position-horizontal-relative:page;mso-wrap-distance-bottom:0pt;mso-wrap-distance-top:0pt;z-index:-251655168;mso-width-relative:page;mso-height-relative:page;" filled="f" stroked="t" coordsize="21600,21600" o:gfxdata="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e7pZw1gAAAAkBAAAP&#10;AAAAAAAAAAEAIAAAADgAAABkcnMvZG93bnJldi54bWxQSwECFAAUAAAACACHTuJAlkBlZcsBAACN&#10;AwAADgAAAAAAAAABACAAAAA7AQAAZHJzL2Uyb0RvYy54bWxQSwUGAAAAAAYABgBZAQAAeAUAAAAA&#10;">
                <v:fill on="f" focussize="0,0"/>
                <v:stroke weight="0pt" color="#000000" joinstyle="round"/>
                <v:imagedata o:title=""/>
                <o:lock v:ext="edit" aspectratio="f"/>
                <w10:wrap type="topAndBottom"/>
              </v:line>
            </w:pict>
          </mc:Fallback>
        </mc:AlternateContent>
      </w:r>
    </w:p>
    <w:p>
      <w:pPr>
        <w:spacing w:before="101"/>
        <w:ind w:left="766"/>
        <w:jc w:val="left"/>
        <w:rPr>
          <w:color w:val="auto"/>
          <w:sz w:val="15"/>
          <w:highlight w:val="none"/>
        </w:rPr>
      </w:pPr>
      <w:r>
        <w:rPr>
          <w:color w:val="auto"/>
          <w:sz w:val="15"/>
          <w:highlight w:val="none"/>
        </w:rPr>
        <w:t>①投标人针对每一项信用子要素需分别单独编制情况表。</w:t>
      </w:r>
    </w:p>
    <w:p>
      <w:pPr>
        <w:spacing w:before="8"/>
        <w:ind w:left="766"/>
        <w:jc w:val="left"/>
        <w:rPr>
          <w:color w:val="auto"/>
          <w:sz w:val="15"/>
          <w:highlight w:val="none"/>
        </w:rPr>
      </w:pPr>
      <w:r>
        <w:rPr>
          <w:color w:val="auto"/>
          <w:sz w:val="15"/>
          <w:highlight w:val="none"/>
        </w:rPr>
        <w:t>②此处由投标人根据招标文件第四章定标办法规定的定标要素中的信用要素填入相应的子要素。</w:t>
      </w:r>
    </w:p>
    <w:p>
      <w:pPr>
        <w:jc w:val="left"/>
        <w:rPr>
          <w:color w:val="auto"/>
          <w:sz w:val="15"/>
          <w:highlight w:val="none"/>
        </w:rPr>
        <w:sectPr>
          <w:pgSz w:w="11910" w:h="16840"/>
          <w:pgMar w:top="1600" w:right="520" w:bottom="1180" w:left="820" w:header="0" w:footer="982" w:gutter="0"/>
          <w:cols w:space="720" w:num="1"/>
        </w:sectPr>
      </w:pPr>
    </w:p>
    <w:p>
      <w:pPr>
        <w:rPr>
          <w:rFonts w:hint="eastAsia"/>
          <w:color w:val="auto"/>
          <w:highlight w:val="none"/>
        </w:rPr>
      </w:pPr>
    </w:p>
    <w:p>
      <w:pPr>
        <w:spacing w:before="49"/>
        <w:ind w:left="767" w:hanging="767" w:hangingChars="364"/>
        <w:jc w:val="left"/>
        <w:rPr>
          <w:rFonts w:hint="eastAsia" w:ascii="黑体" w:hAnsi="黑体" w:eastAsia="黑体"/>
          <w:color w:val="auto"/>
          <w:sz w:val="10"/>
          <w:highlight w:val="none"/>
        </w:rPr>
      </w:pPr>
      <w:r>
        <w:rPr>
          <w:rFonts w:hint="eastAsia" w:ascii="黑体" w:hAnsi="黑体" w:eastAsia="黑体"/>
          <w:b/>
          <w:color w:val="auto"/>
          <w:highlight w:val="none"/>
        </w:rPr>
        <w:t>2、</w:t>
      </w:r>
      <w:r>
        <w:rPr>
          <w:rFonts w:hint="eastAsia" w:ascii="黑体" w:hAnsi="黑体" w:eastAsia="黑体"/>
          <w:color w:val="auto"/>
          <w:highlight w:val="none"/>
        </w:rPr>
        <w:t>实力要素情况表</w:t>
      </w:r>
      <w:r>
        <w:rPr>
          <w:rFonts w:hint="eastAsia" w:ascii="黑体" w:hAnsi="黑体" w:eastAsia="黑体"/>
          <w:color w:val="auto"/>
          <w:position w:val="9"/>
          <w:sz w:val="10"/>
          <w:highlight w:val="none"/>
        </w:rPr>
        <w:t>①</w:t>
      </w:r>
    </w:p>
    <w:tbl>
      <w:tblPr>
        <w:tblStyle w:val="43"/>
        <w:tblpPr w:leftFromText="180" w:rightFromText="180" w:vertAnchor="text" w:horzAnchor="page" w:tblpX="1306" w:tblpY="508"/>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8"/>
        <w:gridCol w:w="5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58" w:type="dxa"/>
            <w:noWrap w:val="0"/>
            <w:vAlign w:val="top"/>
          </w:tcPr>
          <w:p>
            <w:pPr>
              <w:pStyle w:val="115"/>
              <w:spacing w:before="107"/>
              <w:ind w:left="470"/>
              <w:rPr>
                <w:rFonts w:hint="eastAsia" w:ascii="黑体" w:hAnsi="黑体" w:eastAsia="黑体"/>
                <w:color w:val="auto"/>
                <w:sz w:val="10"/>
                <w:highlight w:val="none"/>
              </w:rPr>
            </w:pPr>
            <w:r>
              <w:rPr>
                <w:rFonts w:hint="eastAsia" w:ascii="黑体" w:hAnsi="黑体" w:eastAsia="黑体"/>
                <w:color w:val="auto"/>
                <w:highlight w:val="none"/>
              </w:rPr>
              <w:t>招标人要求的实力子要素</w:t>
            </w:r>
            <w:r>
              <w:rPr>
                <w:rFonts w:hint="eastAsia" w:ascii="黑体" w:hAnsi="黑体" w:eastAsia="黑体"/>
                <w:color w:val="auto"/>
                <w:position w:val="9"/>
                <w:sz w:val="10"/>
                <w:highlight w:val="none"/>
              </w:rPr>
              <w:t>②</w:t>
            </w:r>
          </w:p>
        </w:tc>
        <w:tc>
          <w:tcPr>
            <w:tcW w:w="5759" w:type="dxa"/>
            <w:noWrap w:val="0"/>
            <w:vAlign w:val="top"/>
          </w:tcPr>
          <w:p>
            <w:pPr>
              <w:pStyle w:val="115"/>
              <w:spacing w:before="107"/>
              <w:ind w:left="1616"/>
              <w:rPr>
                <w:rFonts w:hint="eastAsia" w:ascii="黑体" w:eastAsia="黑体"/>
                <w:color w:val="auto"/>
                <w:highlight w:val="none"/>
              </w:rPr>
            </w:pPr>
            <w:r>
              <w:rPr>
                <w:rFonts w:hint="eastAsia" w:ascii="黑体" w:eastAsia="黑体"/>
                <w:color w:val="auto"/>
                <w:highlight w:val="none"/>
              </w:rPr>
              <w:t>投标人提供的证明材料明细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3358" w:type="dxa"/>
            <w:noWrap w:val="0"/>
            <w:vAlign w:val="top"/>
          </w:tcPr>
          <w:p>
            <w:pPr>
              <w:pStyle w:val="115"/>
              <w:rPr>
                <w:rFonts w:ascii="Times New Roman"/>
                <w:color w:val="auto"/>
                <w:sz w:val="18"/>
                <w:highlight w:val="none"/>
              </w:rPr>
            </w:pPr>
          </w:p>
        </w:tc>
        <w:tc>
          <w:tcPr>
            <w:tcW w:w="5759" w:type="dxa"/>
            <w:noWrap w:val="0"/>
            <w:vAlign w:val="top"/>
          </w:tcPr>
          <w:p>
            <w:pPr>
              <w:pStyle w:val="115"/>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pPr>
              <w:pStyle w:val="115"/>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pPr>
              <w:pStyle w:val="115"/>
              <w:spacing w:before="137"/>
              <w:ind w:left="106"/>
              <w:rPr>
                <w:color w:val="auto"/>
                <w:highlight w:val="none"/>
              </w:rPr>
            </w:pPr>
            <w:r>
              <w:rPr>
                <w:color w:val="auto"/>
                <w:highlight w:val="none"/>
              </w:rPr>
              <w:t>③</w:t>
            </w:r>
            <w:r>
              <w:rPr>
                <w:color w:val="auto"/>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117" w:type="dxa"/>
            <w:gridSpan w:val="2"/>
            <w:noWrap w:val="0"/>
            <w:vAlign w:val="top"/>
          </w:tcPr>
          <w:p>
            <w:pPr>
              <w:pStyle w:val="115"/>
              <w:spacing w:before="109"/>
              <w:ind w:left="107"/>
              <w:rPr>
                <w:color w:val="auto"/>
                <w:highlight w:val="none"/>
              </w:rPr>
            </w:pPr>
            <w:r>
              <w:rPr>
                <w:color w:val="auto"/>
                <w:highlight w:val="none"/>
              </w:rPr>
              <w:t>说明：投标人应根据招标文件第四章定标办法的前附表中定标要素编列内容的规定提供与实力子</w:t>
            </w:r>
          </w:p>
          <w:p>
            <w:pPr>
              <w:pStyle w:val="115"/>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rPr>
          <w:rFonts w:ascii="黑体"/>
          <w:color w:val="auto"/>
          <w:sz w:val="20"/>
          <w:highlight w:val="none"/>
        </w:rPr>
      </w:pPr>
    </w:p>
    <w:p>
      <w:pPr>
        <w:pStyle w:val="17"/>
        <w:spacing w:before="2"/>
        <w:rPr>
          <w:rFonts w:ascii="黑体"/>
          <w:color w:val="auto"/>
          <w:sz w:val="16"/>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page">
                  <wp:posOffset>1007745</wp:posOffset>
                </wp:positionH>
                <wp:positionV relativeFrom="paragraph">
                  <wp:posOffset>107315</wp:posOffset>
                </wp:positionV>
                <wp:extent cx="1828800" cy="0"/>
                <wp:effectExtent l="0" t="0" r="0" b="0"/>
                <wp:wrapTopAndBottom/>
                <wp:docPr id="2" name="直线 4"/>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79.35pt;margin-top:8.45pt;height:0pt;width:144pt;mso-position-horizontal-relative:page;mso-wrap-distance-bottom:0pt;mso-wrap-distance-top:0pt;z-index:-251656192;mso-width-relative:page;mso-height-relative:page;" filled="f" stroked="t" coordsize="21600,21600" o:gfxdata="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XDva9cAAAAJAQAA&#10;DwAAAAAAAAABACAAAAA4AAAAZHJzL2Rvd25yZXYueG1sUEsBAhQAFAAAAAgAh07iQJsehEzLAQAA&#10;jQMAAA4AAAAAAAAAAQAgAAAAPAEAAGRycy9lMm9Eb2MueG1sUEsFBgAAAAAGAAYAWQEAAHkFAAAA&#10;AA==&#10;">
                <v:fill on="f" focussize="0,0"/>
                <v:stroke weight="0pt" color="#000000" joinstyle="round"/>
                <v:imagedata o:title=""/>
                <o:lock v:ext="edit" aspectratio="f"/>
                <w10:wrap type="topAndBottom"/>
              </v:line>
            </w:pict>
          </mc:Fallback>
        </mc:AlternateContent>
      </w:r>
    </w:p>
    <w:p>
      <w:pPr>
        <w:jc w:val="left"/>
        <w:rPr>
          <w:color w:val="auto"/>
          <w:sz w:val="15"/>
          <w:highlight w:val="none"/>
        </w:rPr>
      </w:pPr>
      <w:r>
        <w:rPr>
          <w:color w:val="auto"/>
          <w:sz w:val="15"/>
          <w:highlight w:val="none"/>
        </w:rPr>
        <w:t>①投标人针对每一项子要素需分别单独编制情况表。</w:t>
      </w:r>
    </w:p>
    <w:p>
      <w:pPr>
        <w:spacing w:before="12"/>
        <w:jc w:val="left"/>
        <w:rPr>
          <w:color w:val="auto"/>
          <w:sz w:val="15"/>
          <w:highlight w:val="none"/>
        </w:rPr>
      </w:pPr>
      <w:r>
        <w:rPr>
          <w:color w:val="auto"/>
          <w:sz w:val="15"/>
          <w:highlight w:val="none"/>
        </w:rPr>
        <w:t>②此处由投标人根据招标文件第四章定标办法规定的定标要素中的实力要素填入相应的子要素。</w:t>
      </w:r>
    </w:p>
    <w:p>
      <w:pPr>
        <w:pStyle w:val="4"/>
        <w:jc w:val="center"/>
        <w:rPr>
          <w:color w:val="auto"/>
          <w:highlight w:val="none"/>
        </w:rPr>
      </w:pPr>
      <w:r>
        <w:rPr>
          <w:rFonts w:hint="eastAsia"/>
          <w:color w:val="auto"/>
          <w:highlight w:val="none"/>
        </w:rPr>
        <w:t>十、其他材料</w:t>
      </w:r>
      <w:bookmarkEnd w:id="1617"/>
      <w:bookmarkEnd w:id="1618"/>
    </w:p>
    <w:p>
      <w:pPr>
        <w:pStyle w:val="4"/>
        <w:jc w:val="center"/>
        <w:rPr>
          <w:rFonts w:hint="eastAsia" w:ascii="宋体" w:hAnsi="宋体" w:eastAsia="宋体"/>
          <w:b w:val="0"/>
          <w:color w:val="auto"/>
          <w:highlight w:val="none"/>
        </w:rPr>
      </w:pPr>
      <w:bookmarkStart w:id="1619" w:name="_Toc487291647"/>
      <w:bookmarkStart w:id="1620" w:name="_Toc488651032"/>
      <w:bookmarkStart w:id="1621" w:name="_Toc487619613"/>
      <w:r>
        <w:rPr>
          <w:rFonts w:hint="eastAsia" w:ascii="宋体" w:hAnsi="宋体" w:eastAsia="宋体"/>
          <w:b w:val="0"/>
          <w:color w:val="auto"/>
          <w:highlight w:val="none"/>
        </w:rPr>
        <w:t>1、企业信用声明</w:t>
      </w:r>
      <w:bookmarkEnd w:id="1619"/>
      <w:bookmarkEnd w:id="1620"/>
      <w:bookmarkEnd w:id="1621"/>
    </w:p>
    <w:p>
      <w:pPr>
        <w:rPr>
          <w:rFonts w:hint="eastAsia"/>
          <w:color w:val="auto"/>
          <w:highlight w:val="none"/>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275"/>
        <w:gridCol w:w="1701"/>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序号</w:t>
            </w:r>
          </w:p>
        </w:tc>
        <w:tc>
          <w:tcPr>
            <w:tcW w:w="1560"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信用项目</w:t>
            </w:r>
          </w:p>
        </w:tc>
        <w:tc>
          <w:tcPr>
            <w:tcW w:w="1134"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信用等级</w:t>
            </w:r>
          </w:p>
        </w:tc>
        <w:tc>
          <w:tcPr>
            <w:tcW w:w="12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AA、A是否失效</w:t>
            </w:r>
          </w:p>
        </w:tc>
        <w:tc>
          <w:tcPr>
            <w:tcW w:w="1701"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本次投标是否使用信用分</w:t>
            </w:r>
          </w:p>
        </w:tc>
        <w:tc>
          <w:tcPr>
            <w:tcW w:w="2897" w:type="dxa"/>
            <w:noWrap w:val="0"/>
            <w:vAlign w:val="center"/>
          </w:tcPr>
          <w:p>
            <w:pPr>
              <w:jc w:val="center"/>
              <w:rPr>
                <w:rFonts w:hint="eastAsia" w:ascii="宋体" w:hAnsi="宋体" w:cs="Calibri"/>
                <w:bCs/>
                <w:color w:val="auto"/>
                <w:szCs w:val="21"/>
                <w:highlight w:val="none"/>
              </w:rPr>
            </w:pPr>
            <w:r>
              <w:rPr>
                <w:rFonts w:hint="eastAsia" w:ascii="宋体" w:hAnsi="宋体" w:cs="Calibri"/>
                <w:color w:val="auto"/>
                <w:szCs w:val="21"/>
                <w:highlight w:val="none"/>
              </w:rPr>
              <w:t>评标使用的等级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1</w:t>
            </w:r>
          </w:p>
        </w:tc>
        <w:tc>
          <w:tcPr>
            <w:tcW w:w="1560"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企业</w:t>
            </w:r>
          </w:p>
        </w:tc>
        <w:tc>
          <w:tcPr>
            <w:tcW w:w="1134" w:type="dxa"/>
            <w:noWrap w:val="0"/>
            <w:vAlign w:val="center"/>
          </w:tcPr>
          <w:p>
            <w:pPr>
              <w:rPr>
                <w:rFonts w:hint="eastAsia" w:ascii="宋体" w:hAnsi="宋体" w:cs="Calibri"/>
                <w:bCs/>
                <w:color w:val="auto"/>
                <w:szCs w:val="21"/>
                <w:highlight w:val="none"/>
              </w:rPr>
            </w:pPr>
          </w:p>
        </w:tc>
        <w:tc>
          <w:tcPr>
            <w:tcW w:w="1275" w:type="dxa"/>
            <w:noWrap w:val="0"/>
            <w:vAlign w:val="center"/>
          </w:tcPr>
          <w:p>
            <w:pPr>
              <w:rPr>
                <w:rFonts w:hint="eastAsia" w:ascii="宋体" w:hAnsi="宋体" w:cs="Calibri"/>
                <w:bCs/>
                <w:color w:val="auto"/>
                <w:szCs w:val="21"/>
                <w:highlight w:val="none"/>
              </w:rPr>
            </w:pPr>
          </w:p>
        </w:tc>
        <w:tc>
          <w:tcPr>
            <w:tcW w:w="1701" w:type="dxa"/>
            <w:noWrap w:val="0"/>
            <w:vAlign w:val="center"/>
          </w:tcPr>
          <w:p>
            <w:pPr>
              <w:rPr>
                <w:rFonts w:hint="eastAsia" w:ascii="宋体" w:hAnsi="宋体" w:cs="Calibri"/>
                <w:bCs/>
                <w:color w:val="auto"/>
                <w:szCs w:val="21"/>
                <w:highlight w:val="none"/>
              </w:rPr>
            </w:pPr>
          </w:p>
        </w:tc>
        <w:tc>
          <w:tcPr>
            <w:tcW w:w="2897" w:type="dxa"/>
            <w:noWrap w:val="0"/>
            <w:vAlign w:val="center"/>
          </w:tcPr>
          <w:p>
            <w:pPr>
              <w:rPr>
                <w:rFonts w:hint="eastAsia"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2</w:t>
            </w:r>
          </w:p>
        </w:tc>
        <w:tc>
          <w:tcPr>
            <w:tcW w:w="1560" w:type="dxa"/>
            <w:noWrap w:val="0"/>
            <w:vAlign w:val="center"/>
          </w:tcPr>
          <w:p>
            <w:pPr>
              <w:rPr>
                <w:rFonts w:hint="eastAsia" w:ascii="宋体" w:hAnsi="宋体" w:cs="Calibri"/>
                <w:bCs/>
                <w:color w:val="auto"/>
                <w:szCs w:val="21"/>
                <w:highlight w:val="none"/>
              </w:rPr>
            </w:pPr>
            <w:r>
              <w:rPr>
                <w:rFonts w:hint="eastAsia" w:ascii="宋体" w:hAnsi="宋体" w:cs="Calibri"/>
                <w:bCs/>
                <w:color w:val="auto"/>
                <w:szCs w:val="21"/>
                <w:highlight w:val="none"/>
              </w:rPr>
              <w:t>总监理工程师</w:t>
            </w:r>
          </w:p>
        </w:tc>
        <w:tc>
          <w:tcPr>
            <w:tcW w:w="1134" w:type="dxa"/>
            <w:noWrap w:val="0"/>
            <w:vAlign w:val="center"/>
          </w:tcPr>
          <w:p>
            <w:pPr>
              <w:rPr>
                <w:rFonts w:hint="eastAsia" w:ascii="宋体" w:hAnsi="宋体" w:cs="Calibri"/>
                <w:bCs/>
                <w:color w:val="auto"/>
                <w:szCs w:val="21"/>
                <w:highlight w:val="none"/>
              </w:rPr>
            </w:pPr>
          </w:p>
        </w:tc>
        <w:tc>
          <w:tcPr>
            <w:tcW w:w="1275" w:type="dxa"/>
            <w:noWrap w:val="0"/>
            <w:vAlign w:val="center"/>
          </w:tcPr>
          <w:p>
            <w:pPr>
              <w:rPr>
                <w:rFonts w:hint="eastAsia" w:ascii="宋体" w:hAnsi="宋体" w:cs="Calibri"/>
                <w:bCs/>
                <w:color w:val="auto"/>
                <w:szCs w:val="21"/>
                <w:highlight w:val="none"/>
              </w:rPr>
            </w:pPr>
          </w:p>
        </w:tc>
        <w:tc>
          <w:tcPr>
            <w:tcW w:w="1701" w:type="dxa"/>
            <w:noWrap w:val="0"/>
            <w:vAlign w:val="center"/>
          </w:tcPr>
          <w:p>
            <w:pPr>
              <w:rPr>
                <w:rFonts w:hint="eastAsia" w:ascii="宋体" w:hAnsi="宋体" w:cs="Calibri"/>
                <w:bCs/>
                <w:color w:val="auto"/>
                <w:szCs w:val="21"/>
                <w:highlight w:val="none"/>
              </w:rPr>
            </w:pPr>
          </w:p>
        </w:tc>
        <w:tc>
          <w:tcPr>
            <w:tcW w:w="2897" w:type="dxa"/>
            <w:noWrap w:val="0"/>
            <w:vAlign w:val="center"/>
          </w:tcPr>
          <w:p>
            <w:pPr>
              <w:rPr>
                <w:rFonts w:hint="eastAsia"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3</w:t>
            </w:r>
          </w:p>
        </w:tc>
        <w:tc>
          <w:tcPr>
            <w:tcW w:w="1560"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试验室主任</w:t>
            </w:r>
          </w:p>
        </w:tc>
        <w:tc>
          <w:tcPr>
            <w:tcW w:w="1134" w:type="dxa"/>
            <w:noWrap w:val="0"/>
            <w:vAlign w:val="center"/>
          </w:tcPr>
          <w:p>
            <w:pPr>
              <w:rPr>
                <w:rFonts w:hint="eastAsia" w:ascii="宋体" w:hAnsi="宋体" w:cs="Calibri"/>
                <w:bCs/>
                <w:color w:val="auto"/>
                <w:szCs w:val="21"/>
                <w:highlight w:val="none"/>
              </w:rPr>
            </w:pPr>
          </w:p>
        </w:tc>
        <w:tc>
          <w:tcPr>
            <w:tcW w:w="1275" w:type="dxa"/>
            <w:noWrap w:val="0"/>
            <w:vAlign w:val="center"/>
          </w:tcPr>
          <w:p>
            <w:pPr>
              <w:rPr>
                <w:rFonts w:hint="eastAsia" w:ascii="宋体" w:hAnsi="宋体" w:cs="Calibri"/>
                <w:bCs/>
                <w:color w:val="auto"/>
                <w:szCs w:val="21"/>
                <w:highlight w:val="none"/>
              </w:rPr>
            </w:pPr>
          </w:p>
        </w:tc>
        <w:tc>
          <w:tcPr>
            <w:tcW w:w="1701" w:type="dxa"/>
            <w:noWrap w:val="0"/>
            <w:vAlign w:val="center"/>
          </w:tcPr>
          <w:p>
            <w:pPr>
              <w:rPr>
                <w:rFonts w:hint="eastAsia" w:ascii="宋体" w:hAnsi="宋体" w:cs="Calibri"/>
                <w:bCs/>
                <w:color w:val="auto"/>
                <w:szCs w:val="21"/>
                <w:highlight w:val="none"/>
              </w:rPr>
            </w:pPr>
          </w:p>
        </w:tc>
        <w:tc>
          <w:tcPr>
            <w:tcW w:w="2897" w:type="dxa"/>
            <w:noWrap w:val="0"/>
            <w:vAlign w:val="center"/>
          </w:tcPr>
          <w:p>
            <w:pPr>
              <w:rPr>
                <w:rFonts w:hint="eastAsia" w:ascii="宋体" w:hAnsi="宋体" w:cs="Calibri"/>
                <w:bCs/>
                <w:color w:val="auto"/>
                <w:szCs w:val="21"/>
                <w:highlight w:val="none"/>
              </w:rPr>
            </w:pPr>
          </w:p>
        </w:tc>
      </w:tr>
    </w:tbl>
    <w:p>
      <w:pPr>
        <w:rPr>
          <w:rFonts w:hint="eastAsia"/>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注：</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水运项目：</w:t>
      </w:r>
      <w:r>
        <w:rPr>
          <w:rFonts w:hint="eastAsia" w:ascii="宋体" w:hAnsi="宋体"/>
          <w:color w:val="auto"/>
          <w:szCs w:val="21"/>
          <w:highlight w:val="none"/>
        </w:rPr>
        <w:t>1.投标人应如实填写上表，若与实际情况不符，其投标文件将被否决。企业及人员信用等级可查阅福建省交通公路水运建设与运输市场信用信息管理系统（信用交通·福建）”（http://220.160.53.3:30050/gzwz）。若上传投标文件之日至投标截止时，信用交通·福建网站公布最新的信用结果适用情况，造成投标人填写不实的，不否决其投标，按实际信用结果适用情况进行调整。</w:t>
      </w:r>
    </w:p>
    <w:p>
      <w:pPr>
        <w:rPr>
          <w:rFonts w:hint="eastAsia" w:ascii="宋体" w:hAnsi="宋体"/>
          <w:color w:val="auto"/>
          <w:szCs w:val="21"/>
          <w:highlight w:val="none"/>
        </w:rPr>
      </w:pPr>
      <w:r>
        <w:rPr>
          <w:rFonts w:hint="eastAsia" w:ascii="宋体" w:hAnsi="宋体"/>
          <w:color w:val="auto"/>
          <w:szCs w:val="21"/>
          <w:highlight w:val="none"/>
        </w:rPr>
        <w:t>2.考核为AA级、A级的总监理工程师信用结果使用规定，仅适用于当年已完工合同段（完工证明以业主提供的完工证明材料或施工合同范围内全部单位工程质量鉴定意见或预验收证明材料为准）评为AA级、A级的总监理工程师，提供不实完工证明材料，其投标文件将被否决；未完工合同段评为AA级、A级的总监理工程师，参与新项目投标时，其信用结果使用一律按B级执行。</w:t>
      </w:r>
    </w:p>
    <w:p>
      <w:pPr>
        <w:rPr>
          <w:rFonts w:hint="eastAsia" w:ascii="宋体" w:hAnsi="宋体"/>
          <w:color w:val="auto"/>
          <w:szCs w:val="21"/>
          <w:highlight w:val="none"/>
        </w:rPr>
      </w:pPr>
    </w:p>
    <w:p>
      <w:pPr>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涉海项目：</w:t>
      </w:r>
      <w:r>
        <w:rPr>
          <w:rFonts w:hint="eastAsia" w:ascii="宋体" w:hAnsi="宋体"/>
          <w:snapToGrid w:val="0"/>
          <w:color w:val="auto"/>
          <w:kern w:val="0"/>
          <w:szCs w:val="21"/>
          <w:highlight w:val="none"/>
        </w:rPr>
        <w:t>本项目不属于厦门港口管理局监管的依法必须招标</w:t>
      </w:r>
      <w:r>
        <w:rPr>
          <w:rFonts w:hint="eastAsia" w:ascii="宋体" w:hAnsi="宋体"/>
          <w:snapToGrid w:val="0"/>
          <w:color w:val="auto"/>
          <w:kern w:val="0"/>
          <w:szCs w:val="21"/>
          <w:highlight w:val="none"/>
          <w:lang w:eastAsia="zh-CN"/>
        </w:rPr>
        <w:t>的涉海</w:t>
      </w:r>
      <w:r>
        <w:rPr>
          <w:rFonts w:hint="eastAsia" w:ascii="宋体" w:hAnsi="宋体"/>
          <w:snapToGrid w:val="0"/>
          <w:color w:val="auto"/>
          <w:kern w:val="0"/>
          <w:szCs w:val="21"/>
          <w:highlight w:val="none"/>
        </w:rPr>
        <w:t>项目，</w:t>
      </w:r>
      <w:r>
        <w:rPr>
          <w:rFonts w:hint="eastAsia"/>
          <w:color w:val="auto"/>
          <w:highlight w:val="none"/>
        </w:rPr>
        <w:t>信用分</w:t>
      </w:r>
      <w:r>
        <w:rPr>
          <w:rFonts w:hint="eastAsia"/>
          <w:color w:val="auto"/>
          <w:highlight w:val="none"/>
          <w:lang w:val="en-US" w:eastAsia="zh-CN"/>
        </w:rPr>
        <w:t>规定</w:t>
      </w:r>
      <w:r>
        <w:rPr>
          <w:rFonts w:hint="eastAsia" w:ascii="宋体" w:hAnsi="宋体"/>
          <w:snapToGrid w:val="0"/>
          <w:color w:val="auto"/>
          <w:kern w:val="0"/>
          <w:szCs w:val="21"/>
          <w:highlight w:val="none"/>
        </w:rPr>
        <w:t>应严格按照《厦门市建设局厦门市交通运输局厦门市水利局厦门港口管理局关于进一步规范公路水运水利等专业工程招标业绩设置的若干意见》（厦建规【2020】4 号-筑）</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涉海项目</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要求执行。</w:t>
      </w:r>
    </w:p>
    <w:p>
      <w:pPr>
        <w:rPr>
          <w:rFonts w:ascii="宋体" w:hAnsi="宋体"/>
          <w:color w:val="auto"/>
          <w:szCs w:val="21"/>
          <w:highlight w:val="none"/>
        </w:rPr>
      </w:pPr>
    </w:p>
    <w:p>
      <w:pPr>
        <w:rPr>
          <w:color w:val="auto"/>
          <w:highlight w:val="none"/>
        </w:rPr>
      </w:pPr>
    </w:p>
    <w:p>
      <w:pPr>
        <w:rPr>
          <w:color w:val="auto"/>
          <w:highlight w:val="none"/>
        </w:rPr>
      </w:pPr>
    </w:p>
    <w:p>
      <w:pPr>
        <w:rPr>
          <w:color w:val="auto"/>
          <w:highlight w:val="none"/>
        </w:rPr>
      </w:pPr>
    </w:p>
    <w:p>
      <w:pPr>
        <w:jc w:val="center"/>
        <w:rPr>
          <w:rFonts w:hint="eastAsia" w:ascii="宋体" w:hAnsi="宋体" w:eastAsia="宋体"/>
          <w:b w:val="0"/>
          <w:color w:val="auto"/>
          <w:highlight w:val="none"/>
        </w:rPr>
      </w:pPr>
      <w:bookmarkStart w:id="1622" w:name="_Toc487619614"/>
      <w:bookmarkStart w:id="1623" w:name="_Toc487291648"/>
      <w:bookmarkStart w:id="1624" w:name="_Toc488651033"/>
      <w:r>
        <w:rPr>
          <w:rFonts w:hint="eastAsia" w:ascii="宋体" w:hAnsi="宋体" w:eastAsia="宋体"/>
          <w:b w:val="0"/>
          <w:color w:val="auto"/>
          <w:highlight w:val="none"/>
        </w:rPr>
        <w:br w:type="page"/>
      </w:r>
    </w:p>
    <w:p>
      <w:pPr>
        <w:autoSpaceDE w:val="0"/>
        <w:autoSpaceDN w:val="0"/>
        <w:adjustRightInd w:val="0"/>
        <w:spacing w:before="157" w:beforeLines="50" w:after="157" w:afterLines="50" w:line="360" w:lineRule="auto"/>
        <w:jc w:val="center"/>
        <w:rPr>
          <w:rFonts w:hint="eastAsia" w:ascii="宋体" w:hAnsi="宋体" w:eastAsia="宋体" w:cs="Times New Roman"/>
          <w:color w:val="auto"/>
          <w:spacing w:val="113"/>
          <w:sz w:val="48"/>
          <w:szCs w:val="48"/>
          <w:highlight w:val="none"/>
        </w:rPr>
      </w:pPr>
      <w:r>
        <w:rPr>
          <w:rFonts w:hint="eastAsia" w:ascii="宋体" w:hAnsi="宋体" w:cs="Times New Roman"/>
          <w:color w:val="auto"/>
          <w:spacing w:val="113"/>
          <w:sz w:val="48"/>
          <w:szCs w:val="48"/>
          <w:highlight w:val="none"/>
          <w:lang w:val="en-US" w:eastAsia="zh-CN"/>
        </w:rPr>
        <w:t>2.</w:t>
      </w:r>
      <w:r>
        <w:rPr>
          <w:rFonts w:hint="eastAsia" w:ascii="宋体" w:hAnsi="宋体" w:eastAsia="宋体" w:cs="Times New Roman"/>
          <w:color w:val="auto"/>
          <w:spacing w:val="0"/>
          <w:sz w:val="48"/>
          <w:szCs w:val="48"/>
          <w:highlight w:val="none"/>
        </w:rPr>
        <w:t>承诺函</w:t>
      </w:r>
      <w:r>
        <w:rPr>
          <w:rFonts w:hint="eastAsia" w:ascii="宋体" w:hAnsi="宋体" w:cs="Times New Roman"/>
          <w:color w:val="auto"/>
          <w:spacing w:val="0"/>
          <w:sz w:val="48"/>
          <w:szCs w:val="48"/>
          <w:highlight w:val="none"/>
          <w:lang w:eastAsia="zh-CN"/>
        </w:rPr>
        <w:t>（</w:t>
      </w:r>
      <w:r>
        <w:rPr>
          <w:rFonts w:hint="eastAsia" w:ascii="宋体" w:hAnsi="宋体" w:cs="Times New Roman"/>
          <w:color w:val="auto"/>
          <w:spacing w:val="0"/>
          <w:sz w:val="48"/>
          <w:szCs w:val="48"/>
          <w:highlight w:val="none"/>
          <w:lang w:val="en-US" w:eastAsia="zh-CN"/>
        </w:rPr>
        <w:t>涉海项目须提供</w:t>
      </w:r>
      <w:r>
        <w:rPr>
          <w:rFonts w:hint="eastAsia" w:ascii="宋体" w:hAnsi="宋体" w:cs="Times New Roman"/>
          <w:color w:val="auto"/>
          <w:spacing w:val="0"/>
          <w:sz w:val="48"/>
          <w:szCs w:val="48"/>
          <w:highlight w:val="none"/>
          <w:lang w:eastAsia="zh-CN"/>
        </w:rPr>
        <w:t>）</w:t>
      </w:r>
    </w:p>
    <w:p>
      <w:pPr>
        <w:autoSpaceDE w:val="0"/>
        <w:autoSpaceDN w:val="0"/>
        <w:adjustRightInd w:val="0"/>
        <w:snapToGrid w:val="0"/>
        <w:spacing w:line="480" w:lineRule="auto"/>
        <w:jc w:val="left"/>
        <w:rPr>
          <w:rFonts w:ascii="宋体" w:hAnsi="宋体" w:eastAsia="宋体" w:cs="Times New Roman"/>
          <w:color w:val="auto"/>
          <w:sz w:val="24"/>
          <w:szCs w:val="24"/>
          <w:highlight w:val="none"/>
        </w:rPr>
      </w:pPr>
      <w:r>
        <w:rPr>
          <w:rFonts w:hint="eastAsia" w:ascii="宋体" w:hAnsi="宋体" w:cs="Times New Roman"/>
          <w:color w:val="auto"/>
          <w:sz w:val="24"/>
          <w:szCs w:val="24"/>
          <w:highlight w:val="none"/>
          <w:u w:val="single"/>
          <w:lang w:val="en-US" w:eastAsia="zh-CN"/>
        </w:rPr>
        <w:t xml:space="preserve">                         </w:t>
      </w:r>
      <w:r>
        <w:rPr>
          <w:rFonts w:hint="eastAsia" w:ascii="宋体" w:hAnsi="宋体" w:cs="Times New Roman"/>
          <w:color w:val="auto"/>
          <w:sz w:val="24"/>
          <w:szCs w:val="24"/>
          <w:highlight w:val="none"/>
          <w:lang w:val="en-US" w:eastAsia="zh-CN"/>
        </w:rPr>
        <w:t>（招标人）</w:t>
      </w:r>
      <w:r>
        <w:rPr>
          <w:rFonts w:hint="eastAsia" w:ascii="宋体" w:hAnsi="宋体" w:eastAsia="宋体" w:cs="Times New Roman"/>
          <w:color w:val="auto"/>
          <w:sz w:val="24"/>
          <w:szCs w:val="24"/>
          <w:highlight w:val="none"/>
        </w:rPr>
        <w:t>：</w:t>
      </w:r>
    </w:p>
    <w:p>
      <w:pPr>
        <w:autoSpaceDE w:val="0"/>
        <w:autoSpaceDN w:val="0"/>
        <w:adjustRightInd w:val="0"/>
        <w:snapToGrid w:val="0"/>
        <w:spacing w:line="48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本人 </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 xml:space="preserve">（姓名）系 </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（投标人名称）的法定代表人，现承诺：</w:t>
      </w:r>
    </w:p>
    <w:p>
      <w:pPr>
        <w:autoSpaceDE w:val="0"/>
        <w:autoSpaceDN w:val="0"/>
        <w:adjustRightInd w:val="0"/>
        <w:snapToGrid w:val="0"/>
        <w:spacing w:line="480" w:lineRule="auto"/>
        <w:jc w:val="left"/>
        <w:rPr>
          <w:rFonts w:ascii="宋体" w:hAnsi="宋体" w:eastAsia="宋体" w:cs="Times New Roman"/>
          <w:color w:val="auto"/>
          <w:szCs w:val="21"/>
          <w:highlight w:val="none"/>
        </w:rPr>
      </w:pPr>
      <w:r>
        <w:rPr>
          <w:rFonts w:hint="eastAsia" w:ascii="宋体" w:hAnsi="宋体" w:eastAsia="宋体" w:cs="Times New Roman"/>
          <w:color w:val="auto"/>
          <w:sz w:val="24"/>
          <w:szCs w:val="24"/>
          <w:highlight w:val="none"/>
        </w:rPr>
        <w:t xml:space="preserve">    </w:t>
      </w:r>
      <w:r>
        <w:rPr>
          <w:rFonts w:ascii="宋体" w:hAnsi="宋体" w:eastAsia="宋体" w:cs="宋体"/>
          <w:color w:val="auto"/>
          <w:sz w:val="24"/>
          <w:szCs w:val="24"/>
          <w:highlight w:val="none"/>
        </w:rPr>
        <w:t>我单位严格执行《厦门市建设局厦门市交通运输局厦门市水利局厦门港口管理局关于进一步规范公路水运水利等专业工程招标业绩设置的若干意见》（厦建规【2020】4号-筑）中第五条及（厦建筑【2021】39 号）文件规定，</w:t>
      </w:r>
      <w:r>
        <w:rPr>
          <w:rFonts w:hint="eastAsia" w:ascii="宋体" w:hAnsi="宋体" w:eastAsia="宋体" w:cs="宋体"/>
          <w:color w:val="auto"/>
          <w:sz w:val="24"/>
          <w:szCs w:val="24"/>
          <w:highlight w:val="none"/>
          <w:lang w:eastAsia="zh-CN"/>
        </w:rPr>
        <w:t>且投标文件中包括但不限于入围抽取、评分标准及定标要素的</w:t>
      </w:r>
      <w:r>
        <w:rPr>
          <w:rFonts w:hint="eastAsia" w:ascii="宋体" w:hAnsi="宋体" w:eastAsia="宋体" w:cs="宋体"/>
          <w:color w:val="auto"/>
          <w:sz w:val="24"/>
          <w:szCs w:val="24"/>
          <w:highlight w:val="none"/>
          <w:lang w:val="en-US" w:eastAsia="zh-CN"/>
        </w:rPr>
        <w:t>信用分享用情况均保持一致，</w:t>
      </w:r>
      <w:r>
        <w:rPr>
          <w:rFonts w:ascii="宋体" w:hAnsi="宋体" w:eastAsia="宋体" w:cs="宋体"/>
          <w:color w:val="auto"/>
          <w:sz w:val="24"/>
          <w:szCs w:val="24"/>
          <w:highlight w:val="none"/>
        </w:rPr>
        <w:t>并对我司在投标文件中提供的各种资料、说明、承诺的真实性、准确性和完整性负责。若我司存在为谋取中标而提供虚假资料和承诺欺骗招标人和评委的行为，我司自愿放弃本项目</w:t>
      </w:r>
      <w:r>
        <w:rPr>
          <w:rFonts w:hint="eastAsia" w:ascii="宋体" w:hAnsi="宋体" w:eastAsia="宋体" w:cs="宋体"/>
          <w:color w:val="auto"/>
          <w:sz w:val="24"/>
          <w:szCs w:val="24"/>
          <w:highlight w:val="none"/>
        </w:rPr>
        <w:t>定标候选人资格</w:t>
      </w:r>
      <w:r>
        <w:rPr>
          <w:rFonts w:ascii="宋体" w:hAnsi="宋体" w:eastAsia="宋体" w:cs="宋体"/>
          <w:color w:val="auto"/>
          <w:sz w:val="24"/>
          <w:szCs w:val="24"/>
          <w:highlight w:val="none"/>
        </w:rPr>
        <w:t>并承担由此产生的一切后果(包括但不限于被招标人没收投标保证金等)。</w:t>
      </w:r>
    </w:p>
    <w:p>
      <w:pPr>
        <w:autoSpaceDE w:val="0"/>
        <w:autoSpaceDN w:val="0"/>
        <w:adjustRightInd w:val="0"/>
        <w:snapToGrid w:val="0"/>
        <w:spacing w:line="480" w:lineRule="auto"/>
        <w:jc w:val="right"/>
        <w:rPr>
          <w:rFonts w:hint="eastAsia" w:ascii="宋体" w:hAnsi="宋体" w:eastAsia="宋体" w:cs="Times New Roman"/>
          <w:color w:val="auto"/>
          <w:szCs w:val="21"/>
          <w:highlight w:val="none"/>
        </w:rPr>
      </w:pPr>
    </w:p>
    <w:p>
      <w:pPr>
        <w:autoSpaceDE w:val="0"/>
        <w:autoSpaceDN w:val="0"/>
        <w:adjustRightInd w:val="0"/>
        <w:snapToGrid w:val="0"/>
        <w:spacing w:line="480" w:lineRule="auto"/>
        <w:jc w:val="righ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投标人名称： （盖单位章）</w:t>
      </w:r>
    </w:p>
    <w:p>
      <w:pPr>
        <w:widowControl w:val="0"/>
        <w:snapToGrid w:val="0"/>
        <w:spacing w:after="120" w:line="480" w:lineRule="auto"/>
        <w:ind w:left="420" w:leftChars="200" w:firstLine="420" w:firstLineChars="200"/>
        <w:jc w:val="both"/>
        <w:rPr>
          <w:rFonts w:ascii="Calibri" w:hAnsi="Calibri" w:eastAsia="宋体" w:cs="Calibri"/>
          <w:color w:val="auto"/>
          <w:kern w:val="2"/>
          <w:sz w:val="21"/>
          <w:szCs w:val="21"/>
          <w:highlight w:val="none"/>
          <w:lang w:val="en-US" w:eastAsia="zh-CN" w:bidi="ar-SA"/>
        </w:rPr>
      </w:pPr>
    </w:p>
    <w:p>
      <w:pPr>
        <w:autoSpaceDE w:val="0"/>
        <w:autoSpaceDN w:val="0"/>
        <w:adjustRightInd w:val="0"/>
        <w:snapToGrid w:val="0"/>
        <w:spacing w:line="480" w:lineRule="auto"/>
        <w:jc w:val="righ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法定代表人或委托代理人： （盖章）</w:t>
      </w:r>
    </w:p>
    <w:p>
      <w:pPr>
        <w:widowControl w:val="0"/>
        <w:snapToGrid w:val="0"/>
        <w:spacing w:after="120" w:line="480" w:lineRule="auto"/>
        <w:ind w:left="420" w:leftChars="200" w:firstLine="420" w:firstLineChars="200"/>
        <w:jc w:val="right"/>
        <w:rPr>
          <w:rFonts w:hint="eastAsia" w:ascii="宋体" w:hAnsi="宋体" w:eastAsia="宋体" w:cs="Times New Roman"/>
          <w:color w:val="auto"/>
          <w:kern w:val="2"/>
          <w:sz w:val="21"/>
          <w:szCs w:val="21"/>
          <w:highlight w:val="none"/>
          <w:lang w:val="en-US" w:eastAsia="zh-CN" w:bidi="ar-SA"/>
        </w:rPr>
      </w:pPr>
    </w:p>
    <w:p>
      <w:pPr>
        <w:widowControl w:val="0"/>
        <w:snapToGrid w:val="0"/>
        <w:spacing w:after="120" w:line="480" w:lineRule="auto"/>
        <w:ind w:left="420" w:leftChars="200" w:firstLine="420" w:firstLineChars="200"/>
        <w:jc w:val="righ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日期：  年  月  日</w:t>
      </w:r>
    </w:p>
    <w:p>
      <w:pPr>
        <w:pStyle w:val="17"/>
        <w:rPr>
          <w:rFonts w:hint="default"/>
          <w:color w:val="auto"/>
          <w:highlight w:val="none"/>
          <w:lang w:val="en-US" w:eastAsia="zh-CN"/>
        </w:rPr>
      </w:pPr>
      <w:r>
        <w:rPr>
          <w:rFonts w:hint="eastAsia" w:ascii="宋体" w:hAnsi="宋体" w:eastAsia="宋体" w:cs="Times New Roman"/>
          <w:color w:val="auto"/>
          <w:kern w:val="2"/>
          <w:sz w:val="21"/>
          <w:szCs w:val="21"/>
          <w:highlight w:val="none"/>
          <w:lang w:val="en-US" w:eastAsia="zh-CN" w:bidi="ar-SA"/>
        </w:rPr>
        <w:t>注：若项目</w:t>
      </w:r>
      <w:r>
        <w:rPr>
          <w:rFonts w:hint="eastAsia" w:ascii="宋体" w:hAnsi="宋体" w:eastAsia="宋体" w:cs="Calibri"/>
          <w:snapToGrid w:val="0"/>
          <w:color w:val="auto"/>
          <w:kern w:val="0"/>
          <w:sz w:val="21"/>
          <w:szCs w:val="21"/>
          <w:highlight w:val="none"/>
          <w:lang w:val="en-US" w:eastAsia="zh-CN" w:bidi="ar-SA"/>
        </w:rPr>
        <w:t>不属于厦门港口管理局监管的依法必须招标的涉海项目</w:t>
      </w:r>
      <w:r>
        <w:rPr>
          <w:rFonts w:hint="eastAsia" w:ascii="宋体" w:hAnsi="宋体" w:eastAsia="宋体" w:cs="Times New Roman"/>
          <w:color w:val="auto"/>
          <w:kern w:val="2"/>
          <w:sz w:val="21"/>
          <w:szCs w:val="21"/>
          <w:highlight w:val="none"/>
          <w:lang w:val="en-US" w:eastAsia="zh-CN" w:bidi="ar-SA"/>
        </w:rPr>
        <w:t>，则须填写上述《承诺函》，未按要求提交承诺函的视为投标文件存在重大偏差，其投标作废标处理。</w:t>
      </w:r>
    </w:p>
    <w:p>
      <w:pPr>
        <w:rPr>
          <w:color w:val="auto"/>
          <w:highlight w:val="none"/>
        </w:rPr>
      </w:pPr>
    </w:p>
    <w:p>
      <w:pPr>
        <w:rPr>
          <w:color w:val="auto"/>
          <w:highlight w:val="none"/>
        </w:rPr>
      </w:pPr>
    </w:p>
    <w:p>
      <w:pPr>
        <w:rPr>
          <w:color w:val="auto"/>
          <w:highlight w:val="none"/>
        </w:rPr>
      </w:pPr>
    </w:p>
    <w:p>
      <w:pPr>
        <w:snapToGrid w:val="0"/>
        <w:spacing w:line="360" w:lineRule="auto"/>
        <w:ind w:firstLine="420" w:firstLineChars="200"/>
        <w:jc w:val="center"/>
        <w:rPr>
          <w:rFonts w:ascii="宋体" w:hAnsi="宋体"/>
          <w:color w:val="auto"/>
          <w:sz w:val="24"/>
          <w:highlight w:val="none"/>
        </w:rPr>
      </w:pPr>
      <w:r>
        <w:rPr>
          <w:rFonts w:hint="eastAsia" w:ascii="宋体" w:hAnsi="宋体" w:eastAsia="宋体"/>
          <w:b w:val="0"/>
          <w:color w:val="auto"/>
          <w:highlight w:val="none"/>
          <w:lang w:val="en-US" w:eastAsia="zh-CN"/>
        </w:rPr>
        <w:t>3</w:t>
      </w:r>
      <w:r>
        <w:rPr>
          <w:rFonts w:hint="eastAsia" w:ascii="宋体" w:hAnsi="宋体" w:eastAsia="宋体"/>
          <w:b w:val="0"/>
          <w:color w:val="auto"/>
          <w:highlight w:val="none"/>
        </w:rPr>
        <w:t>、投标人认为必要的其他材料</w:t>
      </w:r>
      <w:bookmarkEnd w:id="1622"/>
      <w:bookmarkEnd w:id="1623"/>
      <w:bookmarkEnd w:id="1624"/>
    </w:p>
    <w:sectPr>
      <w:footerReference r:id="rId17" w:type="default"/>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Cambria">
    <w:altName w:val="Cambria Math"/>
    <w:panose1 w:val="02040503050406030204"/>
    <w:charset w:val="00"/>
    <w:family w:val="roman"/>
    <w:pitch w:val="default"/>
    <w:sig w:usb0="00000000" w:usb1="00000000"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楷体简体">
    <w:altName w:val="黑体"/>
    <w:panose1 w:val="00000000000000000000"/>
    <w:charset w:val="86"/>
    <w:family w:val="auto"/>
    <w:pitch w:val="default"/>
    <w:sig w:usb0="00000000" w:usb1="00000000" w:usb2="0000001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S">
    <w:panose1 w:val="00020600040101010101"/>
    <w:charset w:val="86"/>
    <w:family w:val="auto"/>
    <w:pitch w:val="default"/>
    <w:sig w:usb0="A00002BF" w:usb1="18EF7CFA" w:usb2="00000016" w:usb3="00000000" w:csb0="00040000"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tru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&#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9GxtmbwBAABcAwAADgAAAAAAAAABACAAAAA4&#10;AQAAZHJzL2Uyb0RvYy54bWxQSwUGAAAAAAYABgBZAQAAZg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12"/>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a:noFill/>
                      </a:ln>
                    </wps:spPr>
                    <wps:txbx>
                      <w:txbxContent>
                        <w:p>
                          <w:pPr>
                            <w:pStyle w:val="27"/>
                            <w:jc w:val="center"/>
                          </w:pPr>
                          <w:r>
                            <w:fldChar w:fldCharType="begin"/>
                          </w:r>
                          <w:r>
                            <w:instrText xml:space="preserve">PAGE   \* MERGEFORMAT</w:instrText>
                          </w:r>
                          <w:r>
                            <w:fldChar w:fldCharType="separate"/>
                          </w:r>
                          <w:r>
                            <w:rPr>
                              <w:lang w:val="zh-CN"/>
                            </w:rPr>
                            <w:t>38</w:t>
                          </w:r>
                          <w:r>
                            <w:fldChar w:fldCharType="end"/>
                          </w:r>
                        </w:p>
                      </w:txbxContent>
                    </wps:txbx>
                    <wps:bodyPr wrap="none" lIns="0" tIns="0" rIns="0" bIns="0" upright="false">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lfknQAAAAAwEAAA8AAAAAAAAAAQAgAAAAOAAAAGRycy9kb3du&#10;cmV2LnhtbFBLAQIUABQAAAAIAIdO4kBCBXG4uAEAAFEDAAAOAAAAAAAAAAEAIAAAADUBAABkcnMv&#10;ZTJvRG9jLnhtbFBLBQYAAAAABgAGAFkBAABfBQAAAAA=&#10;">
              <v:fill on="f" focussize="0,0"/>
              <v:stroke on="f"/>
              <v:imagedata o:title=""/>
              <o:lock v:ext="edit" aspectratio="f"/>
              <v:textbox inset="0mm,0mm,0mm,0mm" style="mso-fit-shape-to-text:t;">
                <w:txbxContent>
                  <w:p>
                    <w:pPr>
                      <w:pStyle w:val="27"/>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p>
    <w:pPr>
      <w:pStyle w:val="27"/>
      <w:spacing w:line="240" w:lineRule="exact"/>
      <w:ind w:right="360" w:firstLine="360"/>
      <w:jc w:val="center"/>
      <w:rPr>
        <w:rFonts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5"/>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a:noFill/>
                      </a:ln>
                    </wps:spPr>
                    <wps:txbx>
                      <w:txbxContent>
                        <w:p>
                          <w:pPr>
                            <w:pStyle w:val="27"/>
                            <w:jc w:val="center"/>
                          </w:pPr>
                          <w:r>
                            <w:fldChar w:fldCharType="begin"/>
                          </w:r>
                          <w:r>
                            <w:instrText xml:space="preserve">PAGE   \* MERGEFORMAT</w:instrText>
                          </w:r>
                          <w:r>
                            <w:fldChar w:fldCharType="separate"/>
                          </w:r>
                          <w:r>
                            <w:rPr>
                              <w:lang w:val="zh-CN"/>
                            </w:rPr>
                            <w:t>36</w:t>
                          </w:r>
                          <w:r>
                            <w:fldChar w:fldCharType="end"/>
                          </w:r>
                        </w:p>
                      </w:txbxContent>
                    </wps:txbx>
                    <wps:bodyPr wrap="none" lIns="0" tIns="0" rIns="0" bIns="0" upright="false">
                      <a:spAutoFit/>
                    </wps:bodyPr>
                  </wps:wsp>
                </a:graphicData>
              </a:graphic>
            </wp:anchor>
          </w:drawing>
        </mc:Choice>
        <mc:Fallback>
          <w:pict>
            <v:shape id="文本框 15"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Q+V+SdAAAAADAQAADwAAAAAAAAABACAAAAA4AAAAZHJzL2Rv&#10;d25yZXYueG1sUEsBAhQAFAAAAAgAh07iQPaLyBS6AQAAUgMAAA4AAAAAAAAAAQAgAAAANQEAAGRy&#10;cy9lMm9Eb2MueG1sUEsFBgAAAAAGAAYAWQEAAGEFAAAAAA==&#10;">
              <v:fill on="f" focussize="0,0"/>
              <v:stroke on="f"/>
              <v:imagedata o:title=""/>
              <o:lock v:ext="edit" aspectratio="f"/>
              <v:textbox inset="0mm,0mm,0mm,0mm" style="mso-fit-shape-to-text:t;">
                <w:txbxContent>
                  <w:p>
                    <w:pPr>
                      <w:pStyle w:val="27"/>
                      <w:jc w:val="center"/>
                    </w:pPr>
                    <w:r>
                      <w:fldChar w:fldCharType="begin"/>
                    </w:r>
                    <w:r>
                      <w:instrText xml:space="preserve">PAGE   \* MERGEFORMAT</w:instrText>
                    </w:r>
                    <w:r>
                      <w:fldChar w:fldCharType="separate"/>
                    </w:r>
                    <w:r>
                      <w:rPr>
                        <w:lang w:val="zh-CN"/>
                      </w:rPr>
                      <w:t>36</w:t>
                    </w:r>
                    <w:r>
                      <w:fldChar w:fldCharType="end"/>
                    </w:r>
                  </w:p>
                </w:txbxContent>
              </v:textbox>
            </v:shape>
          </w:pict>
        </mc:Fallback>
      </mc:AlternateContent>
    </w:r>
  </w:p>
  <w:p>
    <w:pPr>
      <w:pStyle w:val="27"/>
      <w:spacing w:line="240" w:lineRule="exact"/>
      <w:ind w:right="360" w:firstLine="360"/>
      <w:jc w:val="center"/>
      <w:rPr>
        <w:rFonts w:eastAsia="黑体"/>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13"/>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a:noFill/>
                      </a:ln>
                    </wps:spPr>
                    <wps:txbx>
                      <w:txbxContent>
                        <w:p>
                          <w:pPr>
                            <w:pStyle w:val="27"/>
                            <w:jc w:val="center"/>
                          </w:pPr>
                          <w:r>
                            <w:fldChar w:fldCharType="begin"/>
                          </w:r>
                          <w:r>
                            <w:instrText xml:space="preserve">PAGE   \* MERGEFORMAT</w:instrText>
                          </w:r>
                          <w:r>
                            <w:fldChar w:fldCharType="separate"/>
                          </w:r>
                          <w:r>
                            <w:rPr>
                              <w:lang w:val="zh-CN"/>
                            </w:rPr>
                            <w:t>39</w:t>
                          </w:r>
                          <w:r>
                            <w:fldChar w:fldCharType="end"/>
                          </w:r>
                        </w:p>
                      </w:txbxContent>
                    </wps:txbx>
                    <wps:bodyPr wrap="none" lIns="0" tIns="0" rIns="0" bIns="0" upright="false">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D5X5J0AAAAAMBAAAPAAAAAAAAAAEAIAAAADgAAABkcnMvZG93&#10;bnJldi54bWxQSwECFAAUAAAACACHTuJADSny3rkBAABRAwAADgAAAAAAAAABACAAAAA1AQAAZHJz&#10;L2Uyb0RvYy54bWxQSwUGAAAAAAYABgBZAQAAYAUAAAAA&#10;">
              <v:fill on="f" focussize="0,0"/>
              <v:stroke on="f"/>
              <v:imagedata o:title=""/>
              <o:lock v:ext="edit" aspectratio="f"/>
              <v:textbox inset="0mm,0mm,0mm,0mm" style="mso-fit-shape-to-text:t;">
                <w:txbxContent>
                  <w:p>
                    <w:pPr>
                      <w:pStyle w:val="27"/>
                      <w:jc w:val="center"/>
                    </w:pPr>
                    <w:r>
                      <w:fldChar w:fldCharType="begin"/>
                    </w:r>
                    <w:r>
                      <w:instrText xml:space="preserve">PAGE   \* MERGEFORMAT</w:instrText>
                    </w:r>
                    <w:r>
                      <w:fldChar w:fldCharType="separate"/>
                    </w:r>
                    <w:r>
                      <w:rPr>
                        <w:lang w:val="zh-CN"/>
                      </w:rPr>
                      <w:t>39</w:t>
                    </w:r>
                    <w:r>
                      <w:fldChar w:fldCharType="end"/>
                    </w:r>
                  </w:p>
                </w:txbxContent>
              </v:textbox>
            </v:shape>
          </w:pict>
        </mc:Fallback>
      </mc:AlternateContent>
    </w:r>
  </w:p>
  <w:p>
    <w:pPr>
      <w:pStyle w:val="27"/>
      <w:spacing w:line="240" w:lineRule="exact"/>
      <w:ind w:right="360" w:firstLine="360"/>
      <w:jc w:val="center"/>
      <w:rPr>
        <w:rFonts w:hint="eastAsia" w:eastAsia="黑体"/>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100</w:t>
                          </w:r>
                          <w:r>
                            <w:rPr>
                              <w:rFonts w:hint="eastAsia"/>
                              <w:sz w:val="18"/>
                            </w:rPr>
                            <w:fldChar w:fldCharType="end"/>
                          </w: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YLfozLwBAABbAwAADgAAAAAAAAABACAAAAA4&#10;AQAAZHJzL2Uyb0RvYy54bWxQSwUGAAAAAAYABgBZAQAAZg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100</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54000" cy="284480"/>
              <wp:effectExtent l="0" t="0" r="0" b="0"/>
              <wp:wrapNone/>
              <wp:docPr id="6" name="文本框 5"/>
              <wp:cNvGraphicFramePr/>
              <a:graphic xmlns:a="http://schemas.openxmlformats.org/drawingml/2006/main">
                <a:graphicData uri="http://schemas.microsoft.com/office/word/2010/wordprocessingShape">
                  <wps:wsp>
                    <wps:cNvSpPr txBox="true"/>
                    <wps:spPr>
                      <a:xfrm>
                        <a:off x="0" y="0"/>
                        <a:ext cx="254000" cy="28448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102</w:t>
                          </w:r>
                          <w:r>
                            <w:rPr>
                              <w:rFonts w:hint="eastAsia"/>
                              <w:sz w:val="18"/>
                            </w:rPr>
                            <w:fldChar w:fldCharType="end"/>
                          </w:r>
                        </w:p>
                      </w:txbxContent>
                    </wps:txbx>
                    <wps:bodyPr wrap="none" lIns="0" tIns="0" rIns="0" bIns="0" upright="true">
                      <a:spAutoFit/>
                    </wps:bodyPr>
                  </wps:wsp>
                </a:graphicData>
              </a:graphic>
            </wp:anchor>
          </w:drawing>
        </mc:Choice>
        <mc:Fallback>
          <w:pict>
            <v:shape id="文本框 5" o:spid="_x0000_s1026" o:spt="202" type="#_x0000_t202" style="position:absolute;left:0pt;margin-top:0pt;height:22.4pt;width:20pt;mso-position-horizontal:center;mso-position-horizontal-relative:margin;mso-wrap-style:none;z-index:251661312;mso-width-relative:page;mso-height-relative:page;" filled="f" stroked="f" coordsize="21600,21600" o:gfxdata="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NPMIs0wAAAAMBAAAPAAAAAAAAAAEAIAAAADgA&#10;AABkcnMvZG93bnJldi54bWxQSwECFAAUAAAACACHTuJAv+wG8L8BAABZAwAADgAAAAAAAAABACAA&#10;AAA4AQAAZHJzL2Uyb0RvYy54bWxQSwUGAAAAAAYABgBZAQAAa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102</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1"/>
        <w:rPr>
          <w:color w:val="auto"/>
        </w:rPr>
      </w:pPr>
      <w:r>
        <w:rPr>
          <w:rStyle w:val="52"/>
          <w:color w:val="auto"/>
        </w:rPr>
        <w:footnoteRef/>
      </w:r>
      <w:r>
        <w:rPr>
          <w:color w:val="auto"/>
        </w:rPr>
        <w:t xml:space="preserve"> </w:t>
      </w:r>
      <w:r>
        <w:rPr>
          <w:rFonts w:hint="eastAsia"/>
          <w:color w:val="auto"/>
        </w:rPr>
        <w:t>选择票决定标法中的直接票决定标法或逐轮票决定标法、票决抽签定标法或票决低价定标法之一进行填写，且应当与招标文件其他章节有关内容一致</w:t>
      </w:r>
    </w:p>
  </w:footnote>
  <w:footnote w:id="1">
    <w:p>
      <w:pPr>
        <w:spacing w:before="101"/>
        <w:ind w:left="472"/>
        <w:jc w:val="left"/>
        <w:rPr>
          <w:color w:val="auto"/>
          <w:sz w:val="15"/>
        </w:rPr>
      </w:pPr>
      <w:r>
        <w:rPr>
          <w:rStyle w:val="52"/>
        </w:rPr>
        <w:footnoteRef/>
      </w:r>
      <w:r>
        <w:rPr>
          <w:color w:val="auto"/>
        </w:rPr>
        <w:t xml:space="preserve"> </w:t>
      </w:r>
      <w:r>
        <w:rPr>
          <w:color w:val="auto"/>
          <w:sz w:val="15"/>
        </w:rPr>
        <w:t>①信用要素中的子要素可以参考以下内容自行增减：</w:t>
      </w:r>
    </w:p>
    <w:p>
      <w:pPr>
        <w:spacing w:before="8"/>
        <w:ind w:left="622"/>
        <w:jc w:val="left"/>
        <w:rPr>
          <w:color w:val="auto"/>
          <w:sz w:val="15"/>
        </w:rPr>
      </w:pPr>
      <w:r>
        <w:rPr>
          <w:color w:val="auto"/>
          <w:sz w:val="15"/>
        </w:rPr>
        <w:t>（1）</w:t>
      </w:r>
      <w:r>
        <w:rPr>
          <w:rFonts w:hint="eastAsia"/>
          <w:color w:val="auto"/>
          <w:sz w:val="15"/>
        </w:rPr>
        <w:t>最近期的福建省交通建设市场信用考核评价等级（入围投标人申请使用A、AA信用奖励并中标的，计入信用奖励一次）</w:t>
      </w:r>
      <w:r>
        <w:rPr>
          <w:color w:val="auto"/>
          <w:sz w:val="15"/>
        </w:rPr>
        <w:t>；</w:t>
      </w:r>
    </w:p>
    <w:p>
      <w:pPr>
        <w:spacing w:before="8"/>
        <w:ind w:left="622"/>
        <w:jc w:val="left"/>
        <w:rPr>
          <w:color w:val="auto"/>
          <w:sz w:val="15"/>
        </w:rPr>
      </w:pPr>
      <w:r>
        <w:rPr>
          <w:color w:val="auto"/>
          <w:sz w:val="15"/>
        </w:rPr>
        <w:t>（2）</w:t>
      </w:r>
      <w:r>
        <w:rPr>
          <w:rFonts w:hint="eastAsia"/>
          <w:color w:val="auto"/>
          <w:sz w:val="15"/>
        </w:rPr>
        <w:t>最近期福建省工程监理企业信用综合评价分值</w:t>
      </w:r>
    </w:p>
    <w:p>
      <w:pPr>
        <w:spacing w:before="8"/>
        <w:ind w:left="622"/>
        <w:jc w:val="left"/>
        <w:rPr>
          <w:color w:val="auto"/>
          <w:sz w:val="15"/>
        </w:rPr>
      </w:pPr>
      <w:r>
        <w:rPr>
          <w:rFonts w:hint="eastAsia"/>
          <w:color w:val="auto"/>
          <w:sz w:val="15"/>
        </w:rPr>
        <w:t>（3）</w:t>
      </w:r>
      <w:r>
        <w:rPr>
          <w:color w:val="auto"/>
          <w:sz w:val="15"/>
        </w:rPr>
        <w:t>承接过招标人（建设单位）及其关联企业投资建设或代建的过往</w:t>
      </w:r>
      <w:r>
        <w:rPr>
          <w:rFonts w:hint="eastAsia"/>
          <w:color w:val="auto"/>
          <w:sz w:val="15"/>
        </w:rPr>
        <w:t>监理</w:t>
      </w:r>
      <w:r>
        <w:rPr>
          <w:color w:val="auto"/>
          <w:sz w:val="15"/>
        </w:rPr>
        <w:t>工程实施情况。</w:t>
      </w:r>
    </w:p>
    <w:p>
      <w:pPr>
        <w:spacing w:before="7"/>
        <w:ind w:left="472"/>
        <w:jc w:val="left"/>
        <w:rPr>
          <w:color w:val="auto"/>
          <w:sz w:val="15"/>
        </w:rPr>
      </w:pPr>
      <w:r>
        <w:rPr>
          <w:color w:val="auto"/>
          <w:sz w:val="15"/>
        </w:rPr>
        <w:t>②实力要素中的子要素可以参考以下内容自行增减：</w:t>
      </w:r>
    </w:p>
    <w:p>
      <w:pPr>
        <w:spacing w:before="8"/>
        <w:ind w:left="622"/>
        <w:jc w:val="left"/>
        <w:rPr>
          <w:color w:val="auto"/>
          <w:sz w:val="15"/>
        </w:rPr>
      </w:pPr>
      <w:r>
        <w:rPr>
          <w:color w:val="auto"/>
          <w:sz w:val="15"/>
        </w:rPr>
        <w:t>（1）投标人资质；</w:t>
      </w:r>
    </w:p>
    <w:p>
      <w:pPr>
        <w:spacing w:before="8"/>
        <w:ind w:left="622"/>
        <w:jc w:val="left"/>
        <w:rPr>
          <w:color w:val="auto"/>
          <w:sz w:val="15"/>
        </w:rPr>
      </w:pPr>
      <w:r>
        <w:rPr>
          <w:color w:val="auto"/>
          <w:sz w:val="15"/>
        </w:rPr>
        <w:t>（2）</w:t>
      </w:r>
      <w:r>
        <w:rPr>
          <w:rFonts w:hint="eastAsia"/>
          <w:color w:val="auto"/>
          <w:sz w:val="15"/>
        </w:rPr>
        <w:t>监理费收入</w:t>
      </w:r>
      <w:r>
        <w:rPr>
          <w:color w:val="auto"/>
          <w:sz w:val="15"/>
        </w:rPr>
        <w:t>；</w:t>
      </w:r>
    </w:p>
    <w:p>
      <w:pPr>
        <w:spacing w:before="7"/>
        <w:ind w:left="622"/>
        <w:jc w:val="left"/>
        <w:rPr>
          <w:color w:val="auto"/>
          <w:sz w:val="15"/>
        </w:rPr>
      </w:pPr>
      <w:r>
        <w:rPr>
          <w:color w:val="auto"/>
          <w:sz w:val="15"/>
        </w:rPr>
        <w:t>（3）类似工程</w:t>
      </w:r>
      <w:r>
        <w:rPr>
          <w:rFonts w:hint="eastAsia"/>
          <w:color w:val="auto"/>
          <w:sz w:val="15"/>
        </w:rPr>
        <w:t>监理</w:t>
      </w:r>
      <w:r>
        <w:rPr>
          <w:color w:val="auto"/>
          <w:sz w:val="15"/>
        </w:rPr>
        <w:t>业绩；</w:t>
      </w:r>
    </w:p>
    <w:p>
      <w:pPr>
        <w:spacing w:before="9"/>
        <w:ind w:left="622"/>
        <w:jc w:val="left"/>
        <w:rPr>
          <w:color w:val="auto"/>
          <w:sz w:val="15"/>
        </w:rPr>
      </w:pPr>
      <w:r>
        <w:rPr>
          <w:color w:val="auto"/>
          <w:sz w:val="15"/>
        </w:rPr>
        <w:t>（4）工程奖项；</w:t>
      </w:r>
    </w:p>
    <w:p>
      <w:pPr>
        <w:spacing w:before="9"/>
        <w:ind w:left="622"/>
        <w:jc w:val="left"/>
        <w:rPr>
          <w:color w:val="auto"/>
          <w:sz w:val="15"/>
        </w:rPr>
      </w:pPr>
      <w:r>
        <w:rPr>
          <w:rFonts w:hint="eastAsia"/>
          <w:color w:val="auto"/>
          <w:sz w:val="15"/>
        </w:rPr>
        <w:t>（5）监理费报价；</w:t>
      </w:r>
    </w:p>
    <w:p>
      <w:pPr>
        <w:spacing w:before="8" w:line="249" w:lineRule="auto"/>
        <w:ind w:left="669" w:right="547"/>
        <w:jc w:val="left"/>
        <w:rPr>
          <w:color w:val="auto"/>
          <w:sz w:val="15"/>
        </w:rPr>
      </w:pPr>
      <w:r>
        <w:rPr>
          <w:color w:val="auto"/>
          <w:sz w:val="15"/>
        </w:rPr>
        <w:t>（</w:t>
      </w:r>
      <w:r>
        <w:rPr>
          <w:rFonts w:hint="eastAsia"/>
          <w:color w:val="auto"/>
          <w:sz w:val="15"/>
        </w:rPr>
        <w:t>6</w:t>
      </w:r>
      <w:r>
        <w:rPr>
          <w:color w:val="auto"/>
          <w:sz w:val="15"/>
        </w:rPr>
        <w:t>）拟派团队综合实力。招标人认为有必要的，可以考核拟派团队的履约能力、团队主要负责人以往工程业绩情况或通过陈述、答辩等方式对团队主要负责人的工作能力、管理水平和职业素养进行考核。</w:t>
      </w:r>
    </w:p>
    <w:p>
      <w:pPr>
        <w:pStyle w:val="3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rPr>
        <w:sz w:val="17"/>
        <w:szCs w:val="17"/>
      </w:rPr>
    </w:pPr>
    <w:r>
      <w:rPr>
        <w:rStyle w:val="82"/>
        <w:rFonts w:hint="eastAsia" w:eastAsia="黑体"/>
        <w:kern w:val="10"/>
        <w:sz w:val="22"/>
        <w:szCs w:val="22"/>
      </w:rPr>
      <w:t>公路工程标准勘察设计招标文件（2018年版）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rPr>
        <w:rFonts w:ascii="黑体" w:hAnsi="黑体" w:eastAsia="黑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9185E"/>
    <w:multiLevelType w:val="singleLevel"/>
    <w:tmpl w:val="ACC9185E"/>
    <w:lvl w:ilvl="0" w:tentative="0">
      <w:start w:val="3"/>
      <w:numFmt w:val="chineseCounting"/>
      <w:suff w:val="nothing"/>
      <w:lvlText w:val="%1、"/>
      <w:lvlJc w:val="left"/>
      <w:rPr>
        <w:rFonts w:hint="eastAsia"/>
      </w:rPr>
    </w:lvl>
  </w:abstractNum>
  <w:abstractNum w:abstractNumId="1">
    <w:nsid w:val="ACFCAC20"/>
    <w:multiLevelType w:val="singleLevel"/>
    <w:tmpl w:val="ACFCAC20"/>
    <w:lvl w:ilvl="0" w:tentative="0">
      <w:start w:val="1"/>
      <w:numFmt w:val="decimal"/>
      <w:suff w:val="nothing"/>
      <w:lvlText w:val="%1、"/>
      <w:lvlJc w:val="left"/>
    </w:lvl>
  </w:abstractNum>
  <w:abstractNum w:abstractNumId="2">
    <w:nsid w:val="AED7C8C1"/>
    <w:multiLevelType w:val="singleLevel"/>
    <w:tmpl w:val="AED7C8C1"/>
    <w:lvl w:ilvl="0" w:tentative="0">
      <w:start w:val="8"/>
      <w:numFmt w:val="decimal"/>
      <w:lvlText w:val="%1."/>
      <w:lvlJc w:val="left"/>
      <w:pPr>
        <w:tabs>
          <w:tab w:val="left" w:pos="312"/>
        </w:tabs>
      </w:pPr>
    </w:lvl>
  </w:abstractNum>
  <w:abstractNum w:abstractNumId="3">
    <w:nsid w:val="BB64CFA9"/>
    <w:multiLevelType w:val="multilevel"/>
    <w:tmpl w:val="BB64CFA9"/>
    <w:lvl w:ilvl="0" w:tentative="0">
      <w:start w:val="1"/>
      <w:numFmt w:val="decimal"/>
      <w:lvlText w:val="（%1）"/>
      <w:lvlJc w:val="left"/>
      <w:pPr>
        <w:ind w:left="525" w:hanging="526"/>
      </w:pPr>
      <w:rPr>
        <w:rFonts w:hint="default" w:ascii="宋体" w:hAnsi="宋体" w:eastAsia="宋体" w:cs="宋体"/>
        <w:spacing w:val="-1"/>
        <w:w w:val="100"/>
        <w:sz w:val="19"/>
        <w:szCs w:val="19"/>
        <w:lang w:val="zh-CN" w:eastAsia="zh-CN" w:bidi="zh-CN"/>
      </w:rPr>
    </w:lvl>
    <w:lvl w:ilvl="1" w:tentative="0">
      <w:start w:val="1"/>
      <w:numFmt w:val="decimal"/>
      <w:lvlText w:val="（%2）"/>
      <w:lvlJc w:val="left"/>
      <w:pPr>
        <w:ind w:left="1051" w:hanging="526"/>
      </w:pPr>
      <w:rPr>
        <w:rFonts w:hint="default" w:ascii="宋体" w:hAnsi="宋体" w:eastAsia="宋体" w:cs="宋体"/>
        <w:spacing w:val="-1"/>
        <w:w w:val="100"/>
        <w:sz w:val="19"/>
        <w:szCs w:val="19"/>
        <w:lang w:val="zh-CN" w:eastAsia="zh-CN" w:bidi="zh-CN"/>
      </w:rPr>
    </w:lvl>
    <w:lvl w:ilvl="2" w:tentative="0">
      <w:start w:val="0"/>
      <w:numFmt w:val="bullet"/>
      <w:lvlText w:val="•"/>
      <w:lvlJc w:val="left"/>
      <w:pPr>
        <w:ind w:left="1665" w:hanging="526"/>
      </w:pPr>
      <w:rPr>
        <w:rFonts w:hint="default"/>
        <w:lang w:val="zh-CN" w:eastAsia="zh-CN" w:bidi="zh-CN"/>
      </w:rPr>
    </w:lvl>
    <w:lvl w:ilvl="3" w:tentative="0">
      <w:start w:val="0"/>
      <w:numFmt w:val="bullet"/>
      <w:lvlText w:val="•"/>
      <w:lvlJc w:val="left"/>
      <w:pPr>
        <w:ind w:left="2270" w:hanging="526"/>
      </w:pPr>
      <w:rPr>
        <w:rFonts w:hint="default"/>
        <w:lang w:val="zh-CN" w:eastAsia="zh-CN" w:bidi="zh-CN"/>
      </w:rPr>
    </w:lvl>
    <w:lvl w:ilvl="4" w:tentative="0">
      <w:start w:val="0"/>
      <w:numFmt w:val="bullet"/>
      <w:lvlText w:val="•"/>
      <w:lvlJc w:val="left"/>
      <w:pPr>
        <w:ind w:left="2875" w:hanging="526"/>
      </w:pPr>
      <w:rPr>
        <w:rFonts w:hint="default"/>
        <w:lang w:val="zh-CN" w:eastAsia="zh-CN" w:bidi="zh-CN"/>
      </w:rPr>
    </w:lvl>
    <w:lvl w:ilvl="5" w:tentative="0">
      <w:start w:val="0"/>
      <w:numFmt w:val="bullet"/>
      <w:lvlText w:val="•"/>
      <w:lvlJc w:val="left"/>
      <w:pPr>
        <w:ind w:left="3480" w:hanging="526"/>
      </w:pPr>
      <w:rPr>
        <w:rFonts w:hint="default"/>
        <w:lang w:val="zh-CN" w:eastAsia="zh-CN" w:bidi="zh-CN"/>
      </w:rPr>
    </w:lvl>
    <w:lvl w:ilvl="6" w:tentative="0">
      <w:start w:val="0"/>
      <w:numFmt w:val="bullet"/>
      <w:lvlText w:val="•"/>
      <w:lvlJc w:val="left"/>
      <w:pPr>
        <w:ind w:left="4085" w:hanging="526"/>
      </w:pPr>
      <w:rPr>
        <w:rFonts w:hint="default"/>
        <w:lang w:val="zh-CN" w:eastAsia="zh-CN" w:bidi="zh-CN"/>
      </w:rPr>
    </w:lvl>
    <w:lvl w:ilvl="7" w:tentative="0">
      <w:start w:val="0"/>
      <w:numFmt w:val="bullet"/>
      <w:lvlText w:val="•"/>
      <w:lvlJc w:val="left"/>
      <w:pPr>
        <w:ind w:left="4691" w:hanging="526"/>
      </w:pPr>
      <w:rPr>
        <w:rFonts w:hint="default"/>
        <w:lang w:val="zh-CN" w:eastAsia="zh-CN" w:bidi="zh-CN"/>
      </w:rPr>
    </w:lvl>
    <w:lvl w:ilvl="8" w:tentative="0">
      <w:start w:val="0"/>
      <w:numFmt w:val="bullet"/>
      <w:lvlText w:val="•"/>
      <w:lvlJc w:val="left"/>
      <w:pPr>
        <w:ind w:left="5296" w:hanging="526"/>
      </w:pPr>
      <w:rPr>
        <w:rFonts w:hint="default"/>
        <w:lang w:val="zh-CN" w:eastAsia="zh-CN" w:bidi="zh-CN"/>
      </w:rPr>
    </w:lvl>
  </w:abstractNum>
  <w:abstractNum w:abstractNumId="4">
    <w:nsid w:val="D8DD0A76"/>
    <w:multiLevelType w:val="singleLevel"/>
    <w:tmpl w:val="D8DD0A76"/>
    <w:lvl w:ilvl="0" w:tentative="0">
      <w:start w:val="4"/>
      <w:numFmt w:val="chineseCounting"/>
      <w:suff w:val="space"/>
      <w:lvlText w:val="第%1章"/>
      <w:lvlJc w:val="left"/>
      <w:rPr>
        <w:rFonts w:hint="eastAsia"/>
      </w:rPr>
    </w:lvl>
  </w:abstractNum>
  <w:abstractNum w:abstractNumId="5">
    <w:nsid w:val="FD2EF957"/>
    <w:multiLevelType w:val="singleLevel"/>
    <w:tmpl w:val="FD2EF957"/>
    <w:lvl w:ilvl="0" w:tentative="0">
      <w:start w:val="1"/>
      <w:numFmt w:val="decimal"/>
      <w:suff w:val="nothing"/>
      <w:lvlText w:val="（%1）"/>
      <w:lvlJc w:val="left"/>
    </w:lvl>
  </w:abstractNum>
  <w:abstractNum w:abstractNumId="6">
    <w:nsid w:val="FDF4F668"/>
    <w:multiLevelType w:val="singleLevel"/>
    <w:tmpl w:val="FDF4F668"/>
    <w:lvl w:ilvl="0" w:tentative="0">
      <w:start w:val="1"/>
      <w:numFmt w:val="decimal"/>
      <w:suff w:val="nothing"/>
      <w:lvlText w:val="（%1）"/>
      <w:lvlJc w:val="left"/>
    </w:lvl>
  </w:abstractNum>
  <w:abstractNum w:abstractNumId="7">
    <w:nsid w:val="27246320"/>
    <w:multiLevelType w:val="singleLevel"/>
    <w:tmpl w:val="27246320"/>
    <w:lvl w:ilvl="0" w:tentative="0">
      <w:start w:val="1"/>
      <w:numFmt w:val="decimal"/>
      <w:suff w:val="nothing"/>
      <w:lvlText w:val="%1、"/>
      <w:lvlJc w:val="left"/>
    </w:lvl>
  </w:abstractNum>
  <w:abstractNum w:abstractNumId="8">
    <w:nsid w:val="3C82C462"/>
    <w:multiLevelType w:val="singleLevel"/>
    <w:tmpl w:val="3C82C462"/>
    <w:lvl w:ilvl="0" w:tentative="0">
      <w:start w:val="1"/>
      <w:numFmt w:val="decimal"/>
      <w:suff w:val="nothing"/>
      <w:lvlText w:val="（%1）"/>
      <w:lvlJc w:val="left"/>
    </w:lvl>
  </w:abstractNum>
  <w:abstractNum w:abstractNumId="9">
    <w:nsid w:val="3FEA28E7"/>
    <w:multiLevelType w:val="multilevel"/>
    <w:tmpl w:val="3FEA28E7"/>
    <w:lvl w:ilvl="0" w:tentative="0">
      <w:start w:val="1"/>
      <w:numFmt w:val="decimal"/>
      <w:suff w:val="space"/>
      <w:lvlText w:val="（%1）"/>
      <w:lvlJc w:val="left"/>
      <w:pPr>
        <w:ind w:left="703" w:hanging="420"/>
      </w:pPr>
      <w:rPr>
        <w:rFonts w:hint="default"/>
        <w:lang w:val="en-US"/>
      </w:rPr>
    </w:lvl>
    <w:lvl w:ilvl="1" w:tentative="0">
      <w:start w:val="1"/>
      <w:numFmt w:val="decimal"/>
      <w:suff w:val="space"/>
      <w:lvlText w:val="（%2）"/>
      <w:lvlJc w:val="left"/>
      <w:pPr>
        <w:ind w:left="703" w:hanging="419"/>
      </w:pPr>
      <w:rPr>
        <w:rFonts w:hint="default" w:ascii="宋体" w:hAnsi="宋体"/>
        <w:color w:val="000000"/>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0F4AFF"/>
    <w:multiLevelType w:val="singleLevel"/>
    <w:tmpl w:val="580F4AFF"/>
    <w:lvl w:ilvl="0" w:tentative="0">
      <w:start w:val="1"/>
      <w:numFmt w:val="decimal"/>
      <w:suff w:val="nothing"/>
      <w:lvlText w:val="（%1）"/>
      <w:lvlJc w:val="left"/>
    </w:lvl>
  </w:abstractNum>
  <w:abstractNum w:abstractNumId="11">
    <w:nsid w:val="79AA4FA4"/>
    <w:multiLevelType w:val="multilevel"/>
    <w:tmpl w:val="79AA4FA4"/>
    <w:lvl w:ilvl="0" w:tentative="0">
      <w:start w:val="1"/>
      <w:numFmt w:val="decimal"/>
      <w:lvlText w:val="（%1）"/>
      <w:lvlJc w:val="left"/>
      <w:pPr>
        <w:ind w:left="52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118" w:hanging="526"/>
      </w:pPr>
      <w:rPr>
        <w:rFonts w:hint="default"/>
        <w:lang w:val="zh-CN" w:eastAsia="zh-CN" w:bidi="zh-CN"/>
      </w:rPr>
    </w:lvl>
    <w:lvl w:ilvl="2" w:tentative="0">
      <w:start w:val="0"/>
      <w:numFmt w:val="bullet"/>
      <w:lvlText w:val="•"/>
      <w:lvlJc w:val="left"/>
      <w:pPr>
        <w:ind w:left="1717" w:hanging="526"/>
      </w:pPr>
      <w:rPr>
        <w:rFonts w:hint="default"/>
        <w:lang w:val="zh-CN" w:eastAsia="zh-CN" w:bidi="zh-CN"/>
      </w:rPr>
    </w:lvl>
    <w:lvl w:ilvl="3" w:tentative="0">
      <w:start w:val="0"/>
      <w:numFmt w:val="bullet"/>
      <w:lvlText w:val="•"/>
      <w:lvlJc w:val="left"/>
      <w:pPr>
        <w:ind w:left="2315" w:hanging="526"/>
      </w:pPr>
      <w:rPr>
        <w:rFonts w:hint="default"/>
        <w:lang w:val="zh-CN" w:eastAsia="zh-CN" w:bidi="zh-CN"/>
      </w:rPr>
    </w:lvl>
    <w:lvl w:ilvl="4" w:tentative="0">
      <w:start w:val="0"/>
      <w:numFmt w:val="bullet"/>
      <w:lvlText w:val="•"/>
      <w:lvlJc w:val="left"/>
      <w:pPr>
        <w:ind w:left="2914" w:hanging="526"/>
      </w:pPr>
      <w:rPr>
        <w:rFonts w:hint="default"/>
        <w:lang w:val="zh-CN" w:eastAsia="zh-CN" w:bidi="zh-CN"/>
      </w:rPr>
    </w:lvl>
    <w:lvl w:ilvl="5" w:tentative="0">
      <w:start w:val="0"/>
      <w:numFmt w:val="bullet"/>
      <w:lvlText w:val="•"/>
      <w:lvlJc w:val="left"/>
      <w:pPr>
        <w:ind w:left="3513" w:hanging="526"/>
      </w:pPr>
      <w:rPr>
        <w:rFonts w:hint="default"/>
        <w:lang w:val="zh-CN" w:eastAsia="zh-CN" w:bidi="zh-CN"/>
      </w:rPr>
    </w:lvl>
    <w:lvl w:ilvl="6" w:tentative="0">
      <w:start w:val="0"/>
      <w:numFmt w:val="bullet"/>
      <w:lvlText w:val="•"/>
      <w:lvlJc w:val="left"/>
      <w:pPr>
        <w:ind w:left="4111" w:hanging="526"/>
      </w:pPr>
      <w:rPr>
        <w:rFonts w:hint="default"/>
        <w:lang w:val="zh-CN" w:eastAsia="zh-CN" w:bidi="zh-CN"/>
      </w:rPr>
    </w:lvl>
    <w:lvl w:ilvl="7" w:tentative="0">
      <w:start w:val="0"/>
      <w:numFmt w:val="bullet"/>
      <w:lvlText w:val="•"/>
      <w:lvlJc w:val="left"/>
      <w:pPr>
        <w:ind w:left="4710" w:hanging="526"/>
      </w:pPr>
      <w:rPr>
        <w:rFonts w:hint="default"/>
        <w:lang w:val="zh-CN" w:eastAsia="zh-CN" w:bidi="zh-CN"/>
      </w:rPr>
    </w:lvl>
    <w:lvl w:ilvl="8" w:tentative="0">
      <w:start w:val="0"/>
      <w:numFmt w:val="bullet"/>
      <w:lvlText w:val="•"/>
      <w:lvlJc w:val="left"/>
      <w:pPr>
        <w:ind w:left="5309" w:hanging="526"/>
      </w:pPr>
      <w:rPr>
        <w:rFonts w:hint="default"/>
        <w:lang w:val="zh-CN" w:eastAsia="zh-CN" w:bidi="zh-CN"/>
      </w:rPr>
    </w:lvl>
  </w:abstractNum>
  <w:num w:numId="1">
    <w:abstractNumId w:val="1"/>
  </w:num>
  <w:num w:numId="2">
    <w:abstractNumId w:val="10"/>
  </w:num>
  <w:num w:numId="3">
    <w:abstractNumId w:val="5"/>
  </w:num>
  <w:num w:numId="4">
    <w:abstractNumId w:val="7"/>
  </w:num>
  <w:num w:numId="5">
    <w:abstractNumId w:val="8"/>
  </w:num>
  <w:num w:numId="6">
    <w:abstractNumId w:val="6"/>
  </w:num>
  <w:num w:numId="7">
    <w:abstractNumId w:val="9"/>
  </w:num>
  <w:num w:numId="8">
    <w:abstractNumId w:val="0"/>
  </w:num>
  <w:num w:numId="9">
    <w:abstractNumId w:val="4"/>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2"/>
  <w:characterSpacingControl w:val="compressPunctuation"/>
  <w:doNotValidateAgainstSchema/>
  <w:doNotDemarcateInvalidXml/>
  <w:hdrShapeDefaults>
    <o:shapelayout v:ext="edit">
      <o:idmap v:ext="edit" data="2"/>
    </o:shapelayout>
  </w:hdrShapeDefaults>
  <w:footnotePr>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zc3MTNhOWU1ZGUyMzNhYTZjNjZiZTE0OTE1MjkifQ=="/>
  </w:docVars>
  <w:rsids>
    <w:rsidRoot w:val="00F8164B"/>
    <w:rsid w:val="00001C07"/>
    <w:rsid w:val="00002FFE"/>
    <w:rsid w:val="00003163"/>
    <w:rsid w:val="00003CB0"/>
    <w:rsid w:val="00011D2C"/>
    <w:rsid w:val="00013E9E"/>
    <w:rsid w:val="00016EFA"/>
    <w:rsid w:val="0002649C"/>
    <w:rsid w:val="00032070"/>
    <w:rsid w:val="00037000"/>
    <w:rsid w:val="00037603"/>
    <w:rsid w:val="00047430"/>
    <w:rsid w:val="000478CB"/>
    <w:rsid w:val="000506DF"/>
    <w:rsid w:val="0005669B"/>
    <w:rsid w:val="00057A1D"/>
    <w:rsid w:val="00057F2D"/>
    <w:rsid w:val="000677E0"/>
    <w:rsid w:val="00074962"/>
    <w:rsid w:val="0007517F"/>
    <w:rsid w:val="00080C43"/>
    <w:rsid w:val="00080DD5"/>
    <w:rsid w:val="000823CF"/>
    <w:rsid w:val="00090451"/>
    <w:rsid w:val="000956D9"/>
    <w:rsid w:val="000A52F5"/>
    <w:rsid w:val="000A5CD2"/>
    <w:rsid w:val="000B156F"/>
    <w:rsid w:val="000B5C2E"/>
    <w:rsid w:val="000B62D1"/>
    <w:rsid w:val="000C16C2"/>
    <w:rsid w:val="000C5200"/>
    <w:rsid w:val="000C6ACB"/>
    <w:rsid w:val="000D4AB0"/>
    <w:rsid w:val="000D5EB3"/>
    <w:rsid w:val="000D6566"/>
    <w:rsid w:val="000E685B"/>
    <w:rsid w:val="000F04B8"/>
    <w:rsid w:val="000F0FFA"/>
    <w:rsid w:val="000F12C7"/>
    <w:rsid w:val="000F2D3E"/>
    <w:rsid w:val="0010166E"/>
    <w:rsid w:val="00102A1C"/>
    <w:rsid w:val="00106988"/>
    <w:rsid w:val="00112A88"/>
    <w:rsid w:val="00112BA1"/>
    <w:rsid w:val="00120A88"/>
    <w:rsid w:val="001225F8"/>
    <w:rsid w:val="001361FA"/>
    <w:rsid w:val="001440E9"/>
    <w:rsid w:val="00144C68"/>
    <w:rsid w:val="00145456"/>
    <w:rsid w:val="00146D70"/>
    <w:rsid w:val="0014799F"/>
    <w:rsid w:val="00150311"/>
    <w:rsid w:val="00150790"/>
    <w:rsid w:val="00152564"/>
    <w:rsid w:val="00172B80"/>
    <w:rsid w:val="00175D81"/>
    <w:rsid w:val="0017609A"/>
    <w:rsid w:val="00180A2A"/>
    <w:rsid w:val="00182C51"/>
    <w:rsid w:val="00185150"/>
    <w:rsid w:val="00190551"/>
    <w:rsid w:val="001911D1"/>
    <w:rsid w:val="00194883"/>
    <w:rsid w:val="001958D0"/>
    <w:rsid w:val="00195D93"/>
    <w:rsid w:val="00196797"/>
    <w:rsid w:val="00196C7A"/>
    <w:rsid w:val="001A3C37"/>
    <w:rsid w:val="001A4018"/>
    <w:rsid w:val="001A56DB"/>
    <w:rsid w:val="001B4D95"/>
    <w:rsid w:val="001B50A4"/>
    <w:rsid w:val="001C045D"/>
    <w:rsid w:val="001C2374"/>
    <w:rsid w:val="001C3D5D"/>
    <w:rsid w:val="001C44A1"/>
    <w:rsid w:val="001C77EC"/>
    <w:rsid w:val="001C7893"/>
    <w:rsid w:val="001D01CB"/>
    <w:rsid w:val="001D2BEA"/>
    <w:rsid w:val="001D3E6A"/>
    <w:rsid w:val="001E413A"/>
    <w:rsid w:val="001E41B6"/>
    <w:rsid w:val="001E6940"/>
    <w:rsid w:val="001F0EE9"/>
    <w:rsid w:val="001F1654"/>
    <w:rsid w:val="001F2ADC"/>
    <w:rsid w:val="001F45DF"/>
    <w:rsid w:val="002029F8"/>
    <w:rsid w:val="00202FDD"/>
    <w:rsid w:val="00210D1F"/>
    <w:rsid w:val="002136CB"/>
    <w:rsid w:val="00222EFA"/>
    <w:rsid w:val="0022719C"/>
    <w:rsid w:val="00227E38"/>
    <w:rsid w:val="002302BF"/>
    <w:rsid w:val="002338D8"/>
    <w:rsid w:val="00237381"/>
    <w:rsid w:val="00243BE0"/>
    <w:rsid w:val="00244817"/>
    <w:rsid w:val="00245E79"/>
    <w:rsid w:val="00247481"/>
    <w:rsid w:val="00250DC9"/>
    <w:rsid w:val="00251D25"/>
    <w:rsid w:val="00251D34"/>
    <w:rsid w:val="002520D3"/>
    <w:rsid w:val="00252B02"/>
    <w:rsid w:val="0025371C"/>
    <w:rsid w:val="00260BB4"/>
    <w:rsid w:val="00263FA7"/>
    <w:rsid w:val="00274BAF"/>
    <w:rsid w:val="00276783"/>
    <w:rsid w:val="00283673"/>
    <w:rsid w:val="00284D34"/>
    <w:rsid w:val="002A01D2"/>
    <w:rsid w:val="002A05BE"/>
    <w:rsid w:val="002A3117"/>
    <w:rsid w:val="002A5BFB"/>
    <w:rsid w:val="002A638E"/>
    <w:rsid w:val="002A65A3"/>
    <w:rsid w:val="002B029C"/>
    <w:rsid w:val="002B05FE"/>
    <w:rsid w:val="002B3DA0"/>
    <w:rsid w:val="002C0C85"/>
    <w:rsid w:val="002C1437"/>
    <w:rsid w:val="002C2DC2"/>
    <w:rsid w:val="002D12D3"/>
    <w:rsid w:val="002D5753"/>
    <w:rsid w:val="002D612F"/>
    <w:rsid w:val="002F0404"/>
    <w:rsid w:val="002F5D32"/>
    <w:rsid w:val="002F7F3C"/>
    <w:rsid w:val="00303813"/>
    <w:rsid w:val="00311DB6"/>
    <w:rsid w:val="0031236A"/>
    <w:rsid w:val="00324CDA"/>
    <w:rsid w:val="00326825"/>
    <w:rsid w:val="00330300"/>
    <w:rsid w:val="00340585"/>
    <w:rsid w:val="003424E5"/>
    <w:rsid w:val="00345436"/>
    <w:rsid w:val="00347816"/>
    <w:rsid w:val="00350232"/>
    <w:rsid w:val="00353835"/>
    <w:rsid w:val="00353B22"/>
    <w:rsid w:val="003623D9"/>
    <w:rsid w:val="003626D9"/>
    <w:rsid w:val="003632EC"/>
    <w:rsid w:val="003644B4"/>
    <w:rsid w:val="00374ACD"/>
    <w:rsid w:val="00376CE0"/>
    <w:rsid w:val="00387E95"/>
    <w:rsid w:val="00387FED"/>
    <w:rsid w:val="00395DA3"/>
    <w:rsid w:val="003A4D4A"/>
    <w:rsid w:val="003B2E33"/>
    <w:rsid w:val="003B2FB9"/>
    <w:rsid w:val="003B3565"/>
    <w:rsid w:val="003B4420"/>
    <w:rsid w:val="003B5E29"/>
    <w:rsid w:val="003B6327"/>
    <w:rsid w:val="003C4466"/>
    <w:rsid w:val="003C535D"/>
    <w:rsid w:val="003D0C50"/>
    <w:rsid w:val="003D1072"/>
    <w:rsid w:val="003D358E"/>
    <w:rsid w:val="003D4AED"/>
    <w:rsid w:val="003E0321"/>
    <w:rsid w:val="003E28FB"/>
    <w:rsid w:val="003E3115"/>
    <w:rsid w:val="003E5E91"/>
    <w:rsid w:val="003E6FCA"/>
    <w:rsid w:val="003F3768"/>
    <w:rsid w:val="00402E64"/>
    <w:rsid w:val="004054CF"/>
    <w:rsid w:val="004059E1"/>
    <w:rsid w:val="00407E8B"/>
    <w:rsid w:val="0041376C"/>
    <w:rsid w:val="004169FB"/>
    <w:rsid w:val="00423A70"/>
    <w:rsid w:val="00434EE7"/>
    <w:rsid w:val="00435C17"/>
    <w:rsid w:val="00446459"/>
    <w:rsid w:val="0045541C"/>
    <w:rsid w:val="00455BDB"/>
    <w:rsid w:val="00460676"/>
    <w:rsid w:val="00461877"/>
    <w:rsid w:val="004700A6"/>
    <w:rsid w:val="00472A8B"/>
    <w:rsid w:val="00484791"/>
    <w:rsid w:val="00485ECE"/>
    <w:rsid w:val="00485FBF"/>
    <w:rsid w:val="00487B46"/>
    <w:rsid w:val="004917D6"/>
    <w:rsid w:val="00495800"/>
    <w:rsid w:val="004A4F93"/>
    <w:rsid w:val="004B6952"/>
    <w:rsid w:val="004C3B63"/>
    <w:rsid w:val="004C5ED9"/>
    <w:rsid w:val="004C64A6"/>
    <w:rsid w:val="004C7AE4"/>
    <w:rsid w:val="004C7BC7"/>
    <w:rsid w:val="004D4BF2"/>
    <w:rsid w:val="004D591B"/>
    <w:rsid w:val="004D7D50"/>
    <w:rsid w:val="004E00F1"/>
    <w:rsid w:val="004E1F98"/>
    <w:rsid w:val="004F0132"/>
    <w:rsid w:val="004F3644"/>
    <w:rsid w:val="004F552D"/>
    <w:rsid w:val="004F678B"/>
    <w:rsid w:val="004F6E91"/>
    <w:rsid w:val="00507E26"/>
    <w:rsid w:val="00510AB6"/>
    <w:rsid w:val="00511D7B"/>
    <w:rsid w:val="005140F2"/>
    <w:rsid w:val="0051497A"/>
    <w:rsid w:val="00514EEB"/>
    <w:rsid w:val="00517862"/>
    <w:rsid w:val="00520D64"/>
    <w:rsid w:val="005224EF"/>
    <w:rsid w:val="00522DF2"/>
    <w:rsid w:val="005232A7"/>
    <w:rsid w:val="00523EBC"/>
    <w:rsid w:val="0052677D"/>
    <w:rsid w:val="00532B7E"/>
    <w:rsid w:val="00533D55"/>
    <w:rsid w:val="00533F61"/>
    <w:rsid w:val="00534AE1"/>
    <w:rsid w:val="00541B10"/>
    <w:rsid w:val="00554744"/>
    <w:rsid w:val="00554F09"/>
    <w:rsid w:val="005562D3"/>
    <w:rsid w:val="005628FE"/>
    <w:rsid w:val="005638CD"/>
    <w:rsid w:val="00563F6F"/>
    <w:rsid w:val="00566F3F"/>
    <w:rsid w:val="00571D05"/>
    <w:rsid w:val="0057346F"/>
    <w:rsid w:val="00577EF7"/>
    <w:rsid w:val="00587304"/>
    <w:rsid w:val="00596270"/>
    <w:rsid w:val="00596D79"/>
    <w:rsid w:val="005A10F7"/>
    <w:rsid w:val="005A16E5"/>
    <w:rsid w:val="005A39D9"/>
    <w:rsid w:val="005B1F6F"/>
    <w:rsid w:val="005B1FD7"/>
    <w:rsid w:val="005B6399"/>
    <w:rsid w:val="005B6843"/>
    <w:rsid w:val="005B692A"/>
    <w:rsid w:val="005B7E6E"/>
    <w:rsid w:val="005C2F65"/>
    <w:rsid w:val="005C52E3"/>
    <w:rsid w:val="005D5948"/>
    <w:rsid w:val="005E6D39"/>
    <w:rsid w:val="005F13BC"/>
    <w:rsid w:val="005F2DF1"/>
    <w:rsid w:val="005F4EFF"/>
    <w:rsid w:val="006049D7"/>
    <w:rsid w:val="006065DA"/>
    <w:rsid w:val="00610702"/>
    <w:rsid w:val="00615124"/>
    <w:rsid w:val="00616C27"/>
    <w:rsid w:val="00621DC8"/>
    <w:rsid w:val="00626440"/>
    <w:rsid w:val="0063015E"/>
    <w:rsid w:val="00630D68"/>
    <w:rsid w:val="0063300E"/>
    <w:rsid w:val="006356E2"/>
    <w:rsid w:val="00640C56"/>
    <w:rsid w:val="006410B9"/>
    <w:rsid w:val="006414DD"/>
    <w:rsid w:val="00644C46"/>
    <w:rsid w:val="00645166"/>
    <w:rsid w:val="00646970"/>
    <w:rsid w:val="00647D99"/>
    <w:rsid w:val="006534D9"/>
    <w:rsid w:val="006543EC"/>
    <w:rsid w:val="00656684"/>
    <w:rsid w:val="00661138"/>
    <w:rsid w:val="00662F10"/>
    <w:rsid w:val="00663532"/>
    <w:rsid w:val="00674A55"/>
    <w:rsid w:val="0067548D"/>
    <w:rsid w:val="006820A4"/>
    <w:rsid w:val="00683998"/>
    <w:rsid w:val="006856D8"/>
    <w:rsid w:val="00692E24"/>
    <w:rsid w:val="00693CBD"/>
    <w:rsid w:val="00693FF1"/>
    <w:rsid w:val="006A0F78"/>
    <w:rsid w:val="006A12F8"/>
    <w:rsid w:val="006A1937"/>
    <w:rsid w:val="006A3998"/>
    <w:rsid w:val="006C125B"/>
    <w:rsid w:val="006C2A41"/>
    <w:rsid w:val="006C3785"/>
    <w:rsid w:val="006D2FF2"/>
    <w:rsid w:val="006E1D64"/>
    <w:rsid w:val="006E628E"/>
    <w:rsid w:val="006E77DE"/>
    <w:rsid w:val="006F1B09"/>
    <w:rsid w:val="006F5467"/>
    <w:rsid w:val="00712C37"/>
    <w:rsid w:val="0071621B"/>
    <w:rsid w:val="0071711A"/>
    <w:rsid w:val="007226EF"/>
    <w:rsid w:val="0072470E"/>
    <w:rsid w:val="00736046"/>
    <w:rsid w:val="00742FA7"/>
    <w:rsid w:val="007454CE"/>
    <w:rsid w:val="00746F18"/>
    <w:rsid w:val="00751113"/>
    <w:rsid w:val="007529BC"/>
    <w:rsid w:val="00752BE2"/>
    <w:rsid w:val="00753004"/>
    <w:rsid w:val="00755A8F"/>
    <w:rsid w:val="00761121"/>
    <w:rsid w:val="00761D21"/>
    <w:rsid w:val="00762CE7"/>
    <w:rsid w:val="007642A3"/>
    <w:rsid w:val="00765EDA"/>
    <w:rsid w:val="00773148"/>
    <w:rsid w:val="00782116"/>
    <w:rsid w:val="00782A86"/>
    <w:rsid w:val="00785EAC"/>
    <w:rsid w:val="00786F6D"/>
    <w:rsid w:val="00787FEF"/>
    <w:rsid w:val="0079073B"/>
    <w:rsid w:val="0079289A"/>
    <w:rsid w:val="007A200B"/>
    <w:rsid w:val="007A3FE8"/>
    <w:rsid w:val="007B077E"/>
    <w:rsid w:val="007B128B"/>
    <w:rsid w:val="007B43E9"/>
    <w:rsid w:val="007B4974"/>
    <w:rsid w:val="007C3269"/>
    <w:rsid w:val="007D06AC"/>
    <w:rsid w:val="007D0806"/>
    <w:rsid w:val="007D24FC"/>
    <w:rsid w:val="007D3C0C"/>
    <w:rsid w:val="007D62E2"/>
    <w:rsid w:val="007D78A5"/>
    <w:rsid w:val="007E40C8"/>
    <w:rsid w:val="007E469B"/>
    <w:rsid w:val="007E554A"/>
    <w:rsid w:val="007E7DEA"/>
    <w:rsid w:val="007F01B1"/>
    <w:rsid w:val="007F17B6"/>
    <w:rsid w:val="007F280D"/>
    <w:rsid w:val="007F2C91"/>
    <w:rsid w:val="007F6FF6"/>
    <w:rsid w:val="007F785A"/>
    <w:rsid w:val="007F7EE9"/>
    <w:rsid w:val="008017EC"/>
    <w:rsid w:val="00812797"/>
    <w:rsid w:val="008207EC"/>
    <w:rsid w:val="00822C80"/>
    <w:rsid w:val="0082498B"/>
    <w:rsid w:val="00824A3F"/>
    <w:rsid w:val="00827AC0"/>
    <w:rsid w:val="00836F7C"/>
    <w:rsid w:val="0083748A"/>
    <w:rsid w:val="0084269B"/>
    <w:rsid w:val="00843EC0"/>
    <w:rsid w:val="0084651E"/>
    <w:rsid w:val="008465E7"/>
    <w:rsid w:val="00857F48"/>
    <w:rsid w:val="00862E32"/>
    <w:rsid w:val="008639D8"/>
    <w:rsid w:val="00864BE4"/>
    <w:rsid w:val="0086580A"/>
    <w:rsid w:val="008720CA"/>
    <w:rsid w:val="00872255"/>
    <w:rsid w:val="0087253C"/>
    <w:rsid w:val="008727A4"/>
    <w:rsid w:val="008730DD"/>
    <w:rsid w:val="00874225"/>
    <w:rsid w:val="00877B0B"/>
    <w:rsid w:val="00883ADE"/>
    <w:rsid w:val="008860F1"/>
    <w:rsid w:val="008866B3"/>
    <w:rsid w:val="00887459"/>
    <w:rsid w:val="00894C4A"/>
    <w:rsid w:val="00896A83"/>
    <w:rsid w:val="008A53B8"/>
    <w:rsid w:val="008B0376"/>
    <w:rsid w:val="008B6043"/>
    <w:rsid w:val="008B71D4"/>
    <w:rsid w:val="008B79E8"/>
    <w:rsid w:val="008C29CA"/>
    <w:rsid w:val="008C2FFB"/>
    <w:rsid w:val="008C64A7"/>
    <w:rsid w:val="008C7EA5"/>
    <w:rsid w:val="008C7F54"/>
    <w:rsid w:val="008D23B0"/>
    <w:rsid w:val="008D4F0A"/>
    <w:rsid w:val="008D6242"/>
    <w:rsid w:val="008D6E95"/>
    <w:rsid w:val="008E443A"/>
    <w:rsid w:val="008E5AF3"/>
    <w:rsid w:val="008E6F4E"/>
    <w:rsid w:val="008E76DB"/>
    <w:rsid w:val="008F13FB"/>
    <w:rsid w:val="008F2184"/>
    <w:rsid w:val="008F71BC"/>
    <w:rsid w:val="008F75B6"/>
    <w:rsid w:val="009055EE"/>
    <w:rsid w:val="00905C38"/>
    <w:rsid w:val="00912FFD"/>
    <w:rsid w:val="009146F6"/>
    <w:rsid w:val="00915BFF"/>
    <w:rsid w:val="00917F92"/>
    <w:rsid w:val="0092147A"/>
    <w:rsid w:val="009252D2"/>
    <w:rsid w:val="00925823"/>
    <w:rsid w:val="0092597E"/>
    <w:rsid w:val="00931037"/>
    <w:rsid w:val="00931AC6"/>
    <w:rsid w:val="00932FB4"/>
    <w:rsid w:val="009352F4"/>
    <w:rsid w:val="009377C9"/>
    <w:rsid w:val="00942257"/>
    <w:rsid w:val="0094364E"/>
    <w:rsid w:val="00944560"/>
    <w:rsid w:val="00944E08"/>
    <w:rsid w:val="009459C5"/>
    <w:rsid w:val="009508CF"/>
    <w:rsid w:val="0095165A"/>
    <w:rsid w:val="009538B8"/>
    <w:rsid w:val="00954C40"/>
    <w:rsid w:val="0095721C"/>
    <w:rsid w:val="0096033A"/>
    <w:rsid w:val="00962439"/>
    <w:rsid w:val="00966B15"/>
    <w:rsid w:val="00970839"/>
    <w:rsid w:val="009731AB"/>
    <w:rsid w:val="00974E69"/>
    <w:rsid w:val="009775B9"/>
    <w:rsid w:val="00981034"/>
    <w:rsid w:val="00984238"/>
    <w:rsid w:val="009851D0"/>
    <w:rsid w:val="0098687E"/>
    <w:rsid w:val="009A2C47"/>
    <w:rsid w:val="009B1CF2"/>
    <w:rsid w:val="009B72E0"/>
    <w:rsid w:val="009B7B02"/>
    <w:rsid w:val="009C2314"/>
    <w:rsid w:val="009C73DC"/>
    <w:rsid w:val="009D23C3"/>
    <w:rsid w:val="009D2C97"/>
    <w:rsid w:val="009D4B9F"/>
    <w:rsid w:val="009D5BAE"/>
    <w:rsid w:val="009D7C1A"/>
    <w:rsid w:val="009E2D3D"/>
    <w:rsid w:val="009E6CF9"/>
    <w:rsid w:val="009E7A06"/>
    <w:rsid w:val="009F1B0F"/>
    <w:rsid w:val="009F41D8"/>
    <w:rsid w:val="00A00172"/>
    <w:rsid w:val="00A16014"/>
    <w:rsid w:val="00A208A1"/>
    <w:rsid w:val="00A24876"/>
    <w:rsid w:val="00A25A80"/>
    <w:rsid w:val="00A300C9"/>
    <w:rsid w:val="00A31FB8"/>
    <w:rsid w:val="00A3556C"/>
    <w:rsid w:val="00A42C7B"/>
    <w:rsid w:val="00A471E4"/>
    <w:rsid w:val="00A54B80"/>
    <w:rsid w:val="00A577EC"/>
    <w:rsid w:val="00A640E1"/>
    <w:rsid w:val="00A653F3"/>
    <w:rsid w:val="00A67ACF"/>
    <w:rsid w:val="00A722CA"/>
    <w:rsid w:val="00A72D70"/>
    <w:rsid w:val="00A736D1"/>
    <w:rsid w:val="00A739F8"/>
    <w:rsid w:val="00A755A2"/>
    <w:rsid w:val="00A7646A"/>
    <w:rsid w:val="00A77486"/>
    <w:rsid w:val="00A846BD"/>
    <w:rsid w:val="00A84A87"/>
    <w:rsid w:val="00A873B6"/>
    <w:rsid w:val="00A90E3D"/>
    <w:rsid w:val="00AA2D0C"/>
    <w:rsid w:val="00AA2E9C"/>
    <w:rsid w:val="00AA5C0B"/>
    <w:rsid w:val="00AA6DBE"/>
    <w:rsid w:val="00AB0034"/>
    <w:rsid w:val="00AB3684"/>
    <w:rsid w:val="00AB5FC7"/>
    <w:rsid w:val="00AB611D"/>
    <w:rsid w:val="00AD215B"/>
    <w:rsid w:val="00AD2584"/>
    <w:rsid w:val="00AD4DEB"/>
    <w:rsid w:val="00AD5CAF"/>
    <w:rsid w:val="00AD5CED"/>
    <w:rsid w:val="00AD680C"/>
    <w:rsid w:val="00AD6861"/>
    <w:rsid w:val="00AD788A"/>
    <w:rsid w:val="00AE27DD"/>
    <w:rsid w:val="00AE30B2"/>
    <w:rsid w:val="00AE4882"/>
    <w:rsid w:val="00AE5C4D"/>
    <w:rsid w:val="00AF05AA"/>
    <w:rsid w:val="00AF2E1F"/>
    <w:rsid w:val="00AF36A2"/>
    <w:rsid w:val="00AF40EF"/>
    <w:rsid w:val="00AF645D"/>
    <w:rsid w:val="00B170E4"/>
    <w:rsid w:val="00B176E9"/>
    <w:rsid w:val="00B2052B"/>
    <w:rsid w:val="00B219EF"/>
    <w:rsid w:val="00B2354B"/>
    <w:rsid w:val="00B25776"/>
    <w:rsid w:val="00B278C8"/>
    <w:rsid w:val="00B31DDE"/>
    <w:rsid w:val="00B37AE7"/>
    <w:rsid w:val="00B41DC6"/>
    <w:rsid w:val="00B432F8"/>
    <w:rsid w:val="00B43A43"/>
    <w:rsid w:val="00B45587"/>
    <w:rsid w:val="00B45BB1"/>
    <w:rsid w:val="00B50F6A"/>
    <w:rsid w:val="00B52FE6"/>
    <w:rsid w:val="00B53E38"/>
    <w:rsid w:val="00B56734"/>
    <w:rsid w:val="00B56C98"/>
    <w:rsid w:val="00B63AAD"/>
    <w:rsid w:val="00B70416"/>
    <w:rsid w:val="00B70C00"/>
    <w:rsid w:val="00B73475"/>
    <w:rsid w:val="00B75D9C"/>
    <w:rsid w:val="00B77A86"/>
    <w:rsid w:val="00B80DC3"/>
    <w:rsid w:val="00B838FB"/>
    <w:rsid w:val="00B92746"/>
    <w:rsid w:val="00B92CCA"/>
    <w:rsid w:val="00B93458"/>
    <w:rsid w:val="00BA1607"/>
    <w:rsid w:val="00BA2ED4"/>
    <w:rsid w:val="00BA7201"/>
    <w:rsid w:val="00BB4F2D"/>
    <w:rsid w:val="00BB7C6A"/>
    <w:rsid w:val="00BC1074"/>
    <w:rsid w:val="00BC5265"/>
    <w:rsid w:val="00BC59F7"/>
    <w:rsid w:val="00BC6B1C"/>
    <w:rsid w:val="00BD022A"/>
    <w:rsid w:val="00BD1790"/>
    <w:rsid w:val="00BD381D"/>
    <w:rsid w:val="00BD3F95"/>
    <w:rsid w:val="00BD78FA"/>
    <w:rsid w:val="00BE221A"/>
    <w:rsid w:val="00BE280E"/>
    <w:rsid w:val="00BE2FE1"/>
    <w:rsid w:val="00BE3D82"/>
    <w:rsid w:val="00BE7A5F"/>
    <w:rsid w:val="00BF225E"/>
    <w:rsid w:val="00BF324C"/>
    <w:rsid w:val="00BF4555"/>
    <w:rsid w:val="00BF7985"/>
    <w:rsid w:val="00C03F2C"/>
    <w:rsid w:val="00C047F8"/>
    <w:rsid w:val="00C06171"/>
    <w:rsid w:val="00C20383"/>
    <w:rsid w:val="00C211E6"/>
    <w:rsid w:val="00C35F74"/>
    <w:rsid w:val="00C373A4"/>
    <w:rsid w:val="00C43343"/>
    <w:rsid w:val="00C441EB"/>
    <w:rsid w:val="00C463EB"/>
    <w:rsid w:val="00C5082D"/>
    <w:rsid w:val="00C50B6F"/>
    <w:rsid w:val="00C51CEC"/>
    <w:rsid w:val="00C547CB"/>
    <w:rsid w:val="00C55FC3"/>
    <w:rsid w:val="00C571CF"/>
    <w:rsid w:val="00C64FD7"/>
    <w:rsid w:val="00C7094B"/>
    <w:rsid w:val="00C71E50"/>
    <w:rsid w:val="00C74C02"/>
    <w:rsid w:val="00C8073D"/>
    <w:rsid w:val="00C8705C"/>
    <w:rsid w:val="00C9248D"/>
    <w:rsid w:val="00C94E72"/>
    <w:rsid w:val="00CA2D7A"/>
    <w:rsid w:val="00CA41F5"/>
    <w:rsid w:val="00CA421B"/>
    <w:rsid w:val="00CB019B"/>
    <w:rsid w:val="00CB1021"/>
    <w:rsid w:val="00CB3D9B"/>
    <w:rsid w:val="00CC2506"/>
    <w:rsid w:val="00CC50DA"/>
    <w:rsid w:val="00CC57BE"/>
    <w:rsid w:val="00CC72B4"/>
    <w:rsid w:val="00CD3AFD"/>
    <w:rsid w:val="00CD4929"/>
    <w:rsid w:val="00CE1A9E"/>
    <w:rsid w:val="00CE4D07"/>
    <w:rsid w:val="00CE50C8"/>
    <w:rsid w:val="00CE5878"/>
    <w:rsid w:val="00CF26B3"/>
    <w:rsid w:val="00CF4B94"/>
    <w:rsid w:val="00CF6B10"/>
    <w:rsid w:val="00D02071"/>
    <w:rsid w:val="00D0443D"/>
    <w:rsid w:val="00D063DC"/>
    <w:rsid w:val="00D06ED1"/>
    <w:rsid w:val="00D13CFF"/>
    <w:rsid w:val="00D16955"/>
    <w:rsid w:val="00D2159F"/>
    <w:rsid w:val="00D2168D"/>
    <w:rsid w:val="00D25ED2"/>
    <w:rsid w:val="00D26AE5"/>
    <w:rsid w:val="00D34362"/>
    <w:rsid w:val="00D378B0"/>
    <w:rsid w:val="00D46D26"/>
    <w:rsid w:val="00D46FE1"/>
    <w:rsid w:val="00D47717"/>
    <w:rsid w:val="00D5020A"/>
    <w:rsid w:val="00D57B97"/>
    <w:rsid w:val="00D57E34"/>
    <w:rsid w:val="00D62ECD"/>
    <w:rsid w:val="00D71188"/>
    <w:rsid w:val="00D7676F"/>
    <w:rsid w:val="00D80D4C"/>
    <w:rsid w:val="00D811E7"/>
    <w:rsid w:val="00D909D8"/>
    <w:rsid w:val="00D92582"/>
    <w:rsid w:val="00D9524B"/>
    <w:rsid w:val="00DA1F10"/>
    <w:rsid w:val="00DA26AF"/>
    <w:rsid w:val="00DB09C6"/>
    <w:rsid w:val="00DB3D08"/>
    <w:rsid w:val="00DB50BD"/>
    <w:rsid w:val="00DB6581"/>
    <w:rsid w:val="00DC1AA0"/>
    <w:rsid w:val="00DC29B4"/>
    <w:rsid w:val="00DC682E"/>
    <w:rsid w:val="00DD1673"/>
    <w:rsid w:val="00DD4229"/>
    <w:rsid w:val="00DE7A6B"/>
    <w:rsid w:val="00DE7BE2"/>
    <w:rsid w:val="00DF5080"/>
    <w:rsid w:val="00E01A5B"/>
    <w:rsid w:val="00E05987"/>
    <w:rsid w:val="00E07BEC"/>
    <w:rsid w:val="00E15D59"/>
    <w:rsid w:val="00E16906"/>
    <w:rsid w:val="00E23C4C"/>
    <w:rsid w:val="00E24762"/>
    <w:rsid w:val="00E3116A"/>
    <w:rsid w:val="00E31AF4"/>
    <w:rsid w:val="00E31B2B"/>
    <w:rsid w:val="00E33B70"/>
    <w:rsid w:val="00E348F2"/>
    <w:rsid w:val="00E36EDA"/>
    <w:rsid w:val="00E40E89"/>
    <w:rsid w:val="00E47500"/>
    <w:rsid w:val="00E47F71"/>
    <w:rsid w:val="00E508D8"/>
    <w:rsid w:val="00E53498"/>
    <w:rsid w:val="00E53CA7"/>
    <w:rsid w:val="00E540AB"/>
    <w:rsid w:val="00E567D4"/>
    <w:rsid w:val="00E569DB"/>
    <w:rsid w:val="00E63877"/>
    <w:rsid w:val="00E64F60"/>
    <w:rsid w:val="00E74BB4"/>
    <w:rsid w:val="00E8035B"/>
    <w:rsid w:val="00E87106"/>
    <w:rsid w:val="00E87761"/>
    <w:rsid w:val="00E90C3F"/>
    <w:rsid w:val="00E9564F"/>
    <w:rsid w:val="00EA08D4"/>
    <w:rsid w:val="00EA0918"/>
    <w:rsid w:val="00EA2B2F"/>
    <w:rsid w:val="00EB7232"/>
    <w:rsid w:val="00EC216B"/>
    <w:rsid w:val="00EC384E"/>
    <w:rsid w:val="00EC40BD"/>
    <w:rsid w:val="00EC76E4"/>
    <w:rsid w:val="00ED11F6"/>
    <w:rsid w:val="00ED363B"/>
    <w:rsid w:val="00ED41B6"/>
    <w:rsid w:val="00ED6345"/>
    <w:rsid w:val="00EE2080"/>
    <w:rsid w:val="00EE3ADC"/>
    <w:rsid w:val="00EE5AA3"/>
    <w:rsid w:val="00EE6C70"/>
    <w:rsid w:val="00EF05F4"/>
    <w:rsid w:val="00EF1A5A"/>
    <w:rsid w:val="00EF1EA3"/>
    <w:rsid w:val="00EF232B"/>
    <w:rsid w:val="00EF4351"/>
    <w:rsid w:val="00F00253"/>
    <w:rsid w:val="00F005F8"/>
    <w:rsid w:val="00F07E20"/>
    <w:rsid w:val="00F10392"/>
    <w:rsid w:val="00F11AF5"/>
    <w:rsid w:val="00F13C9E"/>
    <w:rsid w:val="00F1434C"/>
    <w:rsid w:val="00F30B15"/>
    <w:rsid w:val="00F31BF7"/>
    <w:rsid w:val="00F32A95"/>
    <w:rsid w:val="00F3436E"/>
    <w:rsid w:val="00F42104"/>
    <w:rsid w:val="00F43AFB"/>
    <w:rsid w:val="00F51EB4"/>
    <w:rsid w:val="00F53CF7"/>
    <w:rsid w:val="00F57602"/>
    <w:rsid w:val="00F62F12"/>
    <w:rsid w:val="00F64CFD"/>
    <w:rsid w:val="00F70FE2"/>
    <w:rsid w:val="00F8164B"/>
    <w:rsid w:val="00F87CED"/>
    <w:rsid w:val="00F90A6B"/>
    <w:rsid w:val="00F91D79"/>
    <w:rsid w:val="00F950FA"/>
    <w:rsid w:val="00FA2C90"/>
    <w:rsid w:val="00FB24AB"/>
    <w:rsid w:val="00FB2714"/>
    <w:rsid w:val="00FB5591"/>
    <w:rsid w:val="00FC205C"/>
    <w:rsid w:val="00FC34AA"/>
    <w:rsid w:val="00FC7E9C"/>
    <w:rsid w:val="00FD640F"/>
    <w:rsid w:val="00FE0F53"/>
    <w:rsid w:val="00FE21A9"/>
    <w:rsid w:val="00FE2F80"/>
    <w:rsid w:val="00FF2591"/>
    <w:rsid w:val="00FF2CCB"/>
    <w:rsid w:val="00FF2D74"/>
    <w:rsid w:val="00FF6ED8"/>
    <w:rsid w:val="011E3D92"/>
    <w:rsid w:val="013E3BB6"/>
    <w:rsid w:val="013E475B"/>
    <w:rsid w:val="01A869EC"/>
    <w:rsid w:val="01C169E1"/>
    <w:rsid w:val="01C9315E"/>
    <w:rsid w:val="01CD4A22"/>
    <w:rsid w:val="01F7777F"/>
    <w:rsid w:val="02112DC4"/>
    <w:rsid w:val="0213254B"/>
    <w:rsid w:val="021437A9"/>
    <w:rsid w:val="025C24CC"/>
    <w:rsid w:val="025D303A"/>
    <w:rsid w:val="02B823CD"/>
    <w:rsid w:val="02C52399"/>
    <w:rsid w:val="02C82C0A"/>
    <w:rsid w:val="02F366CF"/>
    <w:rsid w:val="02F837A0"/>
    <w:rsid w:val="032B749F"/>
    <w:rsid w:val="039E63A5"/>
    <w:rsid w:val="03C32A75"/>
    <w:rsid w:val="03FD46E0"/>
    <w:rsid w:val="041B1B1C"/>
    <w:rsid w:val="042B2F4D"/>
    <w:rsid w:val="046D55C1"/>
    <w:rsid w:val="04C403B6"/>
    <w:rsid w:val="051310CD"/>
    <w:rsid w:val="0536295C"/>
    <w:rsid w:val="056000ED"/>
    <w:rsid w:val="05713BD0"/>
    <w:rsid w:val="05A71CE3"/>
    <w:rsid w:val="05AC5D14"/>
    <w:rsid w:val="05B50A42"/>
    <w:rsid w:val="05D021CE"/>
    <w:rsid w:val="05DF5747"/>
    <w:rsid w:val="05F60C44"/>
    <w:rsid w:val="06342598"/>
    <w:rsid w:val="0684751B"/>
    <w:rsid w:val="068B587E"/>
    <w:rsid w:val="06A747BE"/>
    <w:rsid w:val="06CE00EC"/>
    <w:rsid w:val="070650AF"/>
    <w:rsid w:val="07082B95"/>
    <w:rsid w:val="07186BE6"/>
    <w:rsid w:val="071B2817"/>
    <w:rsid w:val="071B5995"/>
    <w:rsid w:val="07440873"/>
    <w:rsid w:val="07665711"/>
    <w:rsid w:val="076914A9"/>
    <w:rsid w:val="07895189"/>
    <w:rsid w:val="078F7F5A"/>
    <w:rsid w:val="07B53791"/>
    <w:rsid w:val="07B57D82"/>
    <w:rsid w:val="07B67A4F"/>
    <w:rsid w:val="07CC1B5B"/>
    <w:rsid w:val="07E24407"/>
    <w:rsid w:val="07F66B40"/>
    <w:rsid w:val="07F678A9"/>
    <w:rsid w:val="083540FE"/>
    <w:rsid w:val="08455D85"/>
    <w:rsid w:val="08B223F1"/>
    <w:rsid w:val="08D3033E"/>
    <w:rsid w:val="08D90BAB"/>
    <w:rsid w:val="08EC6D0A"/>
    <w:rsid w:val="090D1DF1"/>
    <w:rsid w:val="09103231"/>
    <w:rsid w:val="092B2623"/>
    <w:rsid w:val="093E0412"/>
    <w:rsid w:val="094452FA"/>
    <w:rsid w:val="096628D5"/>
    <w:rsid w:val="09775BB6"/>
    <w:rsid w:val="097D65E9"/>
    <w:rsid w:val="09B10820"/>
    <w:rsid w:val="09BB695B"/>
    <w:rsid w:val="09C863D7"/>
    <w:rsid w:val="09D300B7"/>
    <w:rsid w:val="09F85EF5"/>
    <w:rsid w:val="09FF2389"/>
    <w:rsid w:val="0A045443"/>
    <w:rsid w:val="0A0F547A"/>
    <w:rsid w:val="0A29203F"/>
    <w:rsid w:val="0A4F7AE9"/>
    <w:rsid w:val="0A715C6E"/>
    <w:rsid w:val="0A75225D"/>
    <w:rsid w:val="0A7E302F"/>
    <w:rsid w:val="0AA91C09"/>
    <w:rsid w:val="0ABF43E3"/>
    <w:rsid w:val="0AF2416F"/>
    <w:rsid w:val="0B4A1445"/>
    <w:rsid w:val="0B66329F"/>
    <w:rsid w:val="0B703C27"/>
    <w:rsid w:val="0B8227FC"/>
    <w:rsid w:val="0B8E4F69"/>
    <w:rsid w:val="0BAA50C4"/>
    <w:rsid w:val="0BAD5928"/>
    <w:rsid w:val="0BBD2C9C"/>
    <w:rsid w:val="0BCF1100"/>
    <w:rsid w:val="0BD76B2E"/>
    <w:rsid w:val="0C3F5FB7"/>
    <w:rsid w:val="0C5620A5"/>
    <w:rsid w:val="0C57738D"/>
    <w:rsid w:val="0C5C7DF3"/>
    <w:rsid w:val="0CAF3AE2"/>
    <w:rsid w:val="0D076C0B"/>
    <w:rsid w:val="0D233C5F"/>
    <w:rsid w:val="0D58130B"/>
    <w:rsid w:val="0D5C59EB"/>
    <w:rsid w:val="0D8335BD"/>
    <w:rsid w:val="0DBD6880"/>
    <w:rsid w:val="0DE240DB"/>
    <w:rsid w:val="0DE625F2"/>
    <w:rsid w:val="0DE966DE"/>
    <w:rsid w:val="0E1C1269"/>
    <w:rsid w:val="0E20578F"/>
    <w:rsid w:val="0E4513E8"/>
    <w:rsid w:val="0E4720F0"/>
    <w:rsid w:val="0E751B49"/>
    <w:rsid w:val="0EE12080"/>
    <w:rsid w:val="0EEB2695"/>
    <w:rsid w:val="0EEC54CF"/>
    <w:rsid w:val="0EF66DF7"/>
    <w:rsid w:val="0F327676"/>
    <w:rsid w:val="0F4A0495"/>
    <w:rsid w:val="0F5A086D"/>
    <w:rsid w:val="0F5A1BFA"/>
    <w:rsid w:val="0F7C2485"/>
    <w:rsid w:val="0FCE365C"/>
    <w:rsid w:val="0FCF5919"/>
    <w:rsid w:val="0FE1571A"/>
    <w:rsid w:val="101265D3"/>
    <w:rsid w:val="101F642E"/>
    <w:rsid w:val="109204BE"/>
    <w:rsid w:val="10954A2B"/>
    <w:rsid w:val="109A09B8"/>
    <w:rsid w:val="10A178FB"/>
    <w:rsid w:val="10DB745E"/>
    <w:rsid w:val="10E85924"/>
    <w:rsid w:val="10F6555F"/>
    <w:rsid w:val="1113520B"/>
    <w:rsid w:val="11156DC4"/>
    <w:rsid w:val="11311EA4"/>
    <w:rsid w:val="113B6DD9"/>
    <w:rsid w:val="115E66C9"/>
    <w:rsid w:val="118E4640"/>
    <w:rsid w:val="11C440C6"/>
    <w:rsid w:val="11CD7B36"/>
    <w:rsid w:val="11D21746"/>
    <w:rsid w:val="11D566B1"/>
    <w:rsid w:val="11E56E5B"/>
    <w:rsid w:val="12027C95"/>
    <w:rsid w:val="12224473"/>
    <w:rsid w:val="122A3892"/>
    <w:rsid w:val="12404692"/>
    <w:rsid w:val="12463B21"/>
    <w:rsid w:val="124C519A"/>
    <w:rsid w:val="12911452"/>
    <w:rsid w:val="129B0C08"/>
    <w:rsid w:val="12B57500"/>
    <w:rsid w:val="12E30BB0"/>
    <w:rsid w:val="131211B1"/>
    <w:rsid w:val="136B23D1"/>
    <w:rsid w:val="136E3386"/>
    <w:rsid w:val="13D70A02"/>
    <w:rsid w:val="14602CB7"/>
    <w:rsid w:val="14800411"/>
    <w:rsid w:val="14965CF1"/>
    <w:rsid w:val="14C819BA"/>
    <w:rsid w:val="152A3BCA"/>
    <w:rsid w:val="15384261"/>
    <w:rsid w:val="15655185"/>
    <w:rsid w:val="15676703"/>
    <w:rsid w:val="15737374"/>
    <w:rsid w:val="157C3359"/>
    <w:rsid w:val="15D92BBE"/>
    <w:rsid w:val="15EF545F"/>
    <w:rsid w:val="160F4543"/>
    <w:rsid w:val="163C23A2"/>
    <w:rsid w:val="164B0C75"/>
    <w:rsid w:val="16690530"/>
    <w:rsid w:val="16C514EC"/>
    <w:rsid w:val="16C96FEB"/>
    <w:rsid w:val="16F1467D"/>
    <w:rsid w:val="174D0895"/>
    <w:rsid w:val="1758565E"/>
    <w:rsid w:val="176A3A8C"/>
    <w:rsid w:val="177B4C53"/>
    <w:rsid w:val="17834B63"/>
    <w:rsid w:val="17CB6D31"/>
    <w:rsid w:val="17CC0AF8"/>
    <w:rsid w:val="17D35207"/>
    <w:rsid w:val="17DB4137"/>
    <w:rsid w:val="17FF1A91"/>
    <w:rsid w:val="184A7DB3"/>
    <w:rsid w:val="189204DC"/>
    <w:rsid w:val="18AE3393"/>
    <w:rsid w:val="18CF1A14"/>
    <w:rsid w:val="18E40EA3"/>
    <w:rsid w:val="18F50DCA"/>
    <w:rsid w:val="18F53C9F"/>
    <w:rsid w:val="19023CE8"/>
    <w:rsid w:val="19165511"/>
    <w:rsid w:val="19227F3D"/>
    <w:rsid w:val="192573CE"/>
    <w:rsid w:val="192D076D"/>
    <w:rsid w:val="19745D6D"/>
    <w:rsid w:val="197747D8"/>
    <w:rsid w:val="19C6326D"/>
    <w:rsid w:val="1A0E6B77"/>
    <w:rsid w:val="1A227947"/>
    <w:rsid w:val="1A242992"/>
    <w:rsid w:val="1A2C7EDF"/>
    <w:rsid w:val="1A686F43"/>
    <w:rsid w:val="1A7A7ACD"/>
    <w:rsid w:val="1A7D597C"/>
    <w:rsid w:val="1A916027"/>
    <w:rsid w:val="1A917A0E"/>
    <w:rsid w:val="1AA014D6"/>
    <w:rsid w:val="1AA102BE"/>
    <w:rsid w:val="1AA255DC"/>
    <w:rsid w:val="1AA27CD2"/>
    <w:rsid w:val="1AB603AB"/>
    <w:rsid w:val="1B0E4D6C"/>
    <w:rsid w:val="1B150C98"/>
    <w:rsid w:val="1B512DF4"/>
    <w:rsid w:val="1B7947F9"/>
    <w:rsid w:val="1B8C20C3"/>
    <w:rsid w:val="1B915091"/>
    <w:rsid w:val="1B93611D"/>
    <w:rsid w:val="1BB461CF"/>
    <w:rsid w:val="1BEF3BE7"/>
    <w:rsid w:val="1C015692"/>
    <w:rsid w:val="1C2722F9"/>
    <w:rsid w:val="1C382C28"/>
    <w:rsid w:val="1C480AE0"/>
    <w:rsid w:val="1C7003FC"/>
    <w:rsid w:val="1C7829B7"/>
    <w:rsid w:val="1C940FBB"/>
    <w:rsid w:val="1C953FDB"/>
    <w:rsid w:val="1CBD0830"/>
    <w:rsid w:val="1CD505C4"/>
    <w:rsid w:val="1D022A77"/>
    <w:rsid w:val="1D4B70F4"/>
    <w:rsid w:val="1D4E0175"/>
    <w:rsid w:val="1D4E4A24"/>
    <w:rsid w:val="1D6B0A67"/>
    <w:rsid w:val="1DAE72ED"/>
    <w:rsid w:val="1DBE1D5C"/>
    <w:rsid w:val="1DE122CB"/>
    <w:rsid w:val="1DE86C91"/>
    <w:rsid w:val="1DF704A8"/>
    <w:rsid w:val="1E685842"/>
    <w:rsid w:val="1E7E1EBC"/>
    <w:rsid w:val="1E8D7B50"/>
    <w:rsid w:val="1EAE38CF"/>
    <w:rsid w:val="1EB30457"/>
    <w:rsid w:val="1F053D83"/>
    <w:rsid w:val="1F533DCE"/>
    <w:rsid w:val="1FBE0529"/>
    <w:rsid w:val="1FDF20FD"/>
    <w:rsid w:val="202A6E40"/>
    <w:rsid w:val="204346BB"/>
    <w:rsid w:val="206520DF"/>
    <w:rsid w:val="20AB6433"/>
    <w:rsid w:val="20C42B86"/>
    <w:rsid w:val="20D1784D"/>
    <w:rsid w:val="20E52E02"/>
    <w:rsid w:val="20E908CE"/>
    <w:rsid w:val="21075990"/>
    <w:rsid w:val="211679D0"/>
    <w:rsid w:val="211E639A"/>
    <w:rsid w:val="212A5EA5"/>
    <w:rsid w:val="217B0EEE"/>
    <w:rsid w:val="219D230C"/>
    <w:rsid w:val="21A13C1F"/>
    <w:rsid w:val="21B70428"/>
    <w:rsid w:val="21C05598"/>
    <w:rsid w:val="21CE59BE"/>
    <w:rsid w:val="21D411F1"/>
    <w:rsid w:val="22186EED"/>
    <w:rsid w:val="222818E6"/>
    <w:rsid w:val="2257119B"/>
    <w:rsid w:val="225D0F84"/>
    <w:rsid w:val="22603DB8"/>
    <w:rsid w:val="22C24F4D"/>
    <w:rsid w:val="22E20285"/>
    <w:rsid w:val="2304505A"/>
    <w:rsid w:val="23122A93"/>
    <w:rsid w:val="2378562E"/>
    <w:rsid w:val="23AE1830"/>
    <w:rsid w:val="23C77FD8"/>
    <w:rsid w:val="23DA2CD7"/>
    <w:rsid w:val="23F04DD7"/>
    <w:rsid w:val="23F91C02"/>
    <w:rsid w:val="2434504E"/>
    <w:rsid w:val="246A399F"/>
    <w:rsid w:val="247339EF"/>
    <w:rsid w:val="248140B7"/>
    <w:rsid w:val="24A93529"/>
    <w:rsid w:val="24B60B27"/>
    <w:rsid w:val="24BB567D"/>
    <w:rsid w:val="24CC1BD3"/>
    <w:rsid w:val="24E110D2"/>
    <w:rsid w:val="25177C31"/>
    <w:rsid w:val="25186BC1"/>
    <w:rsid w:val="25500989"/>
    <w:rsid w:val="255153A9"/>
    <w:rsid w:val="25573E92"/>
    <w:rsid w:val="2572269B"/>
    <w:rsid w:val="25834833"/>
    <w:rsid w:val="258945A4"/>
    <w:rsid w:val="259B538D"/>
    <w:rsid w:val="25A104FF"/>
    <w:rsid w:val="25C43393"/>
    <w:rsid w:val="25CE699F"/>
    <w:rsid w:val="25DD137E"/>
    <w:rsid w:val="25ED0C02"/>
    <w:rsid w:val="261C67AC"/>
    <w:rsid w:val="265E6FC7"/>
    <w:rsid w:val="268C43BC"/>
    <w:rsid w:val="26AD4D6E"/>
    <w:rsid w:val="26C47201"/>
    <w:rsid w:val="26D357C1"/>
    <w:rsid w:val="26EB4246"/>
    <w:rsid w:val="26FD1F97"/>
    <w:rsid w:val="270A51E8"/>
    <w:rsid w:val="271B352C"/>
    <w:rsid w:val="272D74D1"/>
    <w:rsid w:val="27300417"/>
    <w:rsid w:val="275B60EB"/>
    <w:rsid w:val="277D231A"/>
    <w:rsid w:val="27974EBD"/>
    <w:rsid w:val="27B21AED"/>
    <w:rsid w:val="27CD3A42"/>
    <w:rsid w:val="27F92C3C"/>
    <w:rsid w:val="281066AD"/>
    <w:rsid w:val="282D30C0"/>
    <w:rsid w:val="283B7F78"/>
    <w:rsid w:val="28514C54"/>
    <w:rsid w:val="286B7BA1"/>
    <w:rsid w:val="28820AF3"/>
    <w:rsid w:val="28A86C18"/>
    <w:rsid w:val="28AC57E0"/>
    <w:rsid w:val="28B37030"/>
    <w:rsid w:val="28C73EA2"/>
    <w:rsid w:val="28FA7AA9"/>
    <w:rsid w:val="292018D3"/>
    <w:rsid w:val="292412BA"/>
    <w:rsid w:val="292A12CF"/>
    <w:rsid w:val="29325357"/>
    <w:rsid w:val="295F5369"/>
    <w:rsid w:val="296F3E0D"/>
    <w:rsid w:val="297D3C05"/>
    <w:rsid w:val="298B69E1"/>
    <w:rsid w:val="299A7538"/>
    <w:rsid w:val="299E5FCA"/>
    <w:rsid w:val="29DD01E2"/>
    <w:rsid w:val="2A07423B"/>
    <w:rsid w:val="2A1F18CE"/>
    <w:rsid w:val="2A3D6280"/>
    <w:rsid w:val="2A4111FF"/>
    <w:rsid w:val="2A79675E"/>
    <w:rsid w:val="2B163446"/>
    <w:rsid w:val="2B1D243D"/>
    <w:rsid w:val="2B3417FD"/>
    <w:rsid w:val="2B3F4EED"/>
    <w:rsid w:val="2B660011"/>
    <w:rsid w:val="2BCE03DD"/>
    <w:rsid w:val="2BEE18A7"/>
    <w:rsid w:val="2C56609D"/>
    <w:rsid w:val="2C5E40E7"/>
    <w:rsid w:val="2C7D39B1"/>
    <w:rsid w:val="2C846B07"/>
    <w:rsid w:val="2C946CAC"/>
    <w:rsid w:val="2C9F71A5"/>
    <w:rsid w:val="2CA45172"/>
    <w:rsid w:val="2CB4131F"/>
    <w:rsid w:val="2CD5228D"/>
    <w:rsid w:val="2CE71897"/>
    <w:rsid w:val="2CF831CB"/>
    <w:rsid w:val="2CF93F14"/>
    <w:rsid w:val="2CFE3E99"/>
    <w:rsid w:val="2D196FB7"/>
    <w:rsid w:val="2D4521CD"/>
    <w:rsid w:val="2D5D0ECF"/>
    <w:rsid w:val="2D6A40E6"/>
    <w:rsid w:val="2D9C110E"/>
    <w:rsid w:val="2DC22638"/>
    <w:rsid w:val="2DE13A03"/>
    <w:rsid w:val="2E027A13"/>
    <w:rsid w:val="2E272322"/>
    <w:rsid w:val="2E520269"/>
    <w:rsid w:val="2E664BB5"/>
    <w:rsid w:val="2EB60053"/>
    <w:rsid w:val="2EE5005D"/>
    <w:rsid w:val="2EF41849"/>
    <w:rsid w:val="2F152D54"/>
    <w:rsid w:val="2F8B6260"/>
    <w:rsid w:val="2FA342DF"/>
    <w:rsid w:val="2FDE13B7"/>
    <w:rsid w:val="300A476D"/>
    <w:rsid w:val="300D26DC"/>
    <w:rsid w:val="302B3212"/>
    <w:rsid w:val="303C4833"/>
    <w:rsid w:val="30601B4C"/>
    <w:rsid w:val="306E5E5A"/>
    <w:rsid w:val="30837BB3"/>
    <w:rsid w:val="308C618A"/>
    <w:rsid w:val="309A3A28"/>
    <w:rsid w:val="30B1666F"/>
    <w:rsid w:val="30C61AD8"/>
    <w:rsid w:val="31160F68"/>
    <w:rsid w:val="31252946"/>
    <w:rsid w:val="31413629"/>
    <w:rsid w:val="31574B3A"/>
    <w:rsid w:val="316022ED"/>
    <w:rsid w:val="316D0D64"/>
    <w:rsid w:val="316F400C"/>
    <w:rsid w:val="3179231D"/>
    <w:rsid w:val="31920B2E"/>
    <w:rsid w:val="31922F7D"/>
    <w:rsid w:val="31A77958"/>
    <w:rsid w:val="31B15C0C"/>
    <w:rsid w:val="31C15D1F"/>
    <w:rsid w:val="31C77D73"/>
    <w:rsid w:val="31D86A3C"/>
    <w:rsid w:val="31E26C7A"/>
    <w:rsid w:val="323203E7"/>
    <w:rsid w:val="323C1F33"/>
    <w:rsid w:val="325C4D17"/>
    <w:rsid w:val="328C20DC"/>
    <w:rsid w:val="328E085B"/>
    <w:rsid w:val="32A67107"/>
    <w:rsid w:val="32C7033D"/>
    <w:rsid w:val="32CE089F"/>
    <w:rsid w:val="32D560F7"/>
    <w:rsid w:val="331816BD"/>
    <w:rsid w:val="33585F23"/>
    <w:rsid w:val="338B4E03"/>
    <w:rsid w:val="33AE7B22"/>
    <w:rsid w:val="33B540B6"/>
    <w:rsid w:val="340B6DCD"/>
    <w:rsid w:val="34194DE4"/>
    <w:rsid w:val="342144C7"/>
    <w:rsid w:val="34287A81"/>
    <w:rsid w:val="342C6098"/>
    <w:rsid w:val="345121D2"/>
    <w:rsid w:val="34702735"/>
    <w:rsid w:val="34767958"/>
    <w:rsid w:val="347B1300"/>
    <w:rsid w:val="34B95A57"/>
    <w:rsid w:val="34FB3808"/>
    <w:rsid w:val="35161EF3"/>
    <w:rsid w:val="351751E6"/>
    <w:rsid w:val="35232F81"/>
    <w:rsid w:val="354A6CFF"/>
    <w:rsid w:val="356720BE"/>
    <w:rsid w:val="35B94341"/>
    <w:rsid w:val="35CD6477"/>
    <w:rsid w:val="362732AA"/>
    <w:rsid w:val="366F26BD"/>
    <w:rsid w:val="368756AA"/>
    <w:rsid w:val="36A92CE0"/>
    <w:rsid w:val="36C85CF0"/>
    <w:rsid w:val="36DE5751"/>
    <w:rsid w:val="36DF37B2"/>
    <w:rsid w:val="36F004AC"/>
    <w:rsid w:val="36FE5A97"/>
    <w:rsid w:val="371E36CC"/>
    <w:rsid w:val="379E4A22"/>
    <w:rsid w:val="37A02216"/>
    <w:rsid w:val="37BC5B52"/>
    <w:rsid w:val="37BD2C7D"/>
    <w:rsid w:val="37C042AF"/>
    <w:rsid w:val="37CA25A3"/>
    <w:rsid w:val="37DC6FE5"/>
    <w:rsid w:val="37E77656"/>
    <w:rsid w:val="37FB36C0"/>
    <w:rsid w:val="381F6B5D"/>
    <w:rsid w:val="38302898"/>
    <w:rsid w:val="38416438"/>
    <w:rsid w:val="38431E48"/>
    <w:rsid w:val="38591578"/>
    <w:rsid w:val="3863409F"/>
    <w:rsid w:val="389B4F15"/>
    <w:rsid w:val="389C68A3"/>
    <w:rsid w:val="38EC35B5"/>
    <w:rsid w:val="38EC5F39"/>
    <w:rsid w:val="390F4555"/>
    <w:rsid w:val="39134890"/>
    <w:rsid w:val="393645EB"/>
    <w:rsid w:val="3975010C"/>
    <w:rsid w:val="39A77A4C"/>
    <w:rsid w:val="39BC2B79"/>
    <w:rsid w:val="39EC1A24"/>
    <w:rsid w:val="3A21360B"/>
    <w:rsid w:val="3A2269AA"/>
    <w:rsid w:val="3A251DDF"/>
    <w:rsid w:val="3A260322"/>
    <w:rsid w:val="3A286608"/>
    <w:rsid w:val="3A326F5D"/>
    <w:rsid w:val="3A4362FD"/>
    <w:rsid w:val="3A5C1B82"/>
    <w:rsid w:val="3A6D7161"/>
    <w:rsid w:val="3A9F39A3"/>
    <w:rsid w:val="3AB941ED"/>
    <w:rsid w:val="3AE5559A"/>
    <w:rsid w:val="3AE639F6"/>
    <w:rsid w:val="3AE74E6A"/>
    <w:rsid w:val="3AEB3ADE"/>
    <w:rsid w:val="3B151C52"/>
    <w:rsid w:val="3B596393"/>
    <w:rsid w:val="3B5F4B7F"/>
    <w:rsid w:val="3B607ABA"/>
    <w:rsid w:val="3B651E7E"/>
    <w:rsid w:val="3B833905"/>
    <w:rsid w:val="3BDE113D"/>
    <w:rsid w:val="3BEC5E86"/>
    <w:rsid w:val="3C122BF5"/>
    <w:rsid w:val="3C25614A"/>
    <w:rsid w:val="3C6061D8"/>
    <w:rsid w:val="3C6350D6"/>
    <w:rsid w:val="3CC329C1"/>
    <w:rsid w:val="3CF01B70"/>
    <w:rsid w:val="3D4F78DE"/>
    <w:rsid w:val="3D5F008C"/>
    <w:rsid w:val="3D67454F"/>
    <w:rsid w:val="3D8F4377"/>
    <w:rsid w:val="3DDD1947"/>
    <w:rsid w:val="3DF65C0B"/>
    <w:rsid w:val="3E0922F2"/>
    <w:rsid w:val="3E1343EC"/>
    <w:rsid w:val="3E152AA4"/>
    <w:rsid w:val="3E353083"/>
    <w:rsid w:val="3E7072B3"/>
    <w:rsid w:val="3E8729BE"/>
    <w:rsid w:val="3EA5045E"/>
    <w:rsid w:val="3ECA4A86"/>
    <w:rsid w:val="3ECB599E"/>
    <w:rsid w:val="3ED32C55"/>
    <w:rsid w:val="3F0F3E9B"/>
    <w:rsid w:val="3F2F0879"/>
    <w:rsid w:val="3F3B2274"/>
    <w:rsid w:val="3F4C3E42"/>
    <w:rsid w:val="3F4D7AF8"/>
    <w:rsid w:val="3FAB7EE4"/>
    <w:rsid w:val="3FBD4B64"/>
    <w:rsid w:val="40036D9F"/>
    <w:rsid w:val="403E232B"/>
    <w:rsid w:val="40573435"/>
    <w:rsid w:val="405F69E0"/>
    <w:rsid w:val="40823F76"/>
    <w:rsid w:val="408E5A46"/>
    <w:rsid w:val="408F0D79"/>
    <w:rsid w:val="409E4AB9"/>
    <w:rsid w:val="40BF0225"/>
    <w:rsid w:val="40DA56CD"/>
    <w:rsid w:val="40E57D12"/>
    <w:rsid w:val="40EE5EC7"/>
    <w:rsid w:val="40FD37E1"/>
    <w:rsid w:val="41395519"/>
    <w:rsid w:val="415114DA"/>
    <w:rsid w:val="417C3D43"/>
    <w:rsid w:val="419129F9"/>
    <w:rsid w:val="419973DD"/>
    <w:rsid w:val="419E3A6D"/>
    <w:rsid w:val="41D05035"/>
    <w:rsid w:val="41EF4767"/>
    <w:rsid w:val="41F3173D"/>
    <w:rsid w:val="420B3127"/>
    <w:rsid w:val="42113CE7"/>
    <w:rsid w:val="42326603"/>
    <w:rsid w:val="42660B19"/>
    <w:rsid w:val="426C75C1"/>
    <w:rsid w:val="427A34D5"/>
    <w:rsid w:val="42877B72"/>
    <w:rsid w:val="42EE37EC"/>
    <w:rsid w:val="42F11EA3"/>
    <w:rsid w:val="43223332"/>
    <w:rsid w:val="436571A4"/>
    <w:rsid w:val="438545E5"/>
    <w:rsid w:val="43A32E97"/>
    <w:rsid w:val="43AF5C17"/>
    <w:rsid w:val="43B056F6"/>
    <w:rsid w:val="43B21BFE"/>
    <w:rsid w:val="43CD0EDA"/>
    <w:rsid w:val="43E36230"/>
    <w:rsid w:val="44003021"/>
    <w:rsid w:val="4412554B"/>
    <w:rsid w:val="444C0106"/>
    <w:rsid w:val="44571B5E"/>
    <w:rsid w:val="44590835"/>
    <w:rsid w:val="446141EF"/>
    <w:rsid w:val="447A700F"/>
    <w:rsid w:val="44902FFF"/>
    <w:rsid w:val="44A930AB"/>
    <w:rsid w:val="44B0374E"/>
    <w:rsid w:val="44D92438"/>
    <w:rsid w:val="44F15ED6"/>
    <w:rsid w:val="44FC5765"/>
    <w:rsid w:val="452A4A3B"/>
    <w:rsid w:val="456E4DC0"/>
    <w:rsid w:val="459B57A2"/>
    <w:rsid w:val="45C1283B"/>
    <w:rsid w:val="46206D72"/>
    <w:rsid w:val="465E07F9"/>
    <w:rsid w:val="469B0B60"/>
    <w:rsid w:val="46B408F3"/>
    <w:rsid w:val="46C201C2"/>
    <w:rsid w:val="46D133D6"/>
    <w:rsid w:val="47177206"/>
    <w:rsid w:val="47903EAB"/>
    <w:rsid w:val="47A831F6"/>
    <w:rsid w:val="47CA5426"/>
    <w:rsid w:val="47CA594E"/>
    <w:rsid w:val="482E4659"/>
    <w:rsid w:val="48376A54"/>
    <w:rsid w:val="483C2D3F"/>
    <w:rsid w:val="484646D6"/>
    <w:rsid w:val="48480BDC"/>
    <w:rsid w:val="489A0824"/>
    <w:rsid w:val="48B17A4C"/>
    <w:rsid w:val="48C136CA"/>
    <w:rsid w:val="491B2E5A"/>
    <w:rsid w:val="494B58ED"/>
    <w:rsid w:val="497921B8"/>
    <w:rsid w:val="49AC4CB2"/>
    <w:rsid w:val="49D76025"/>
    <w:rsid w:val="49DC4A78"/>
    <w:rsid w:val="49E02F0A"/>
    <w:rsid w:val="4A0646B0"/>
    <w:rsid w:val="4A0E7E8E"/>
    <w:rsid w:val="4A0F63A7"/>
    <w:rsid w:val="4A185B58"/>
    <w:rsid w:val="4A2127F5"/>
    <w:rsid w:val="4A3477F7"/>
    <w:rsid w:val="4A5B35E7"/>
    <w:rsid w:val="4A5F7622"/>
    <w:rsid w:val="4A74393A"/>
    <w:rsid w:val="4A8E7D38"/>
    <w:rsid w:val="4A9F49DE"/>
    <w:rsid w:val="4AA84EA3"/>
    <w:rsid w:val="4AB862B2"/>
    <w:rsid w:val="4AD73145"/>
    <w:rsid w:val="4AE0739B"/>
    <w:rsid w:val="4AEA44E6"/>
    <w:rsid w:val="4B197D08"/>
    <w:rsid w:val="4B24342C"/>
    <w:rsid w:val="4B286F42"/>
    <w:rsid w:val="4B360D09"/>
    <w:rsid w:val="4B3E6FBC"/>
    <w:rsid w:val="4B467705"/>
    <w:rsid w:val="4B83273C"/>
    <w:rsid w:val="4B9817E9"/>
    <w:rsid w:val="4BAD3344"/>
    <w:rsid w:val="4BF6394C"/>
    <w:rsid w:val="4C1D1444"/>
    <w:rsid w:val="4C296FF4"/>
    <w:rsid w:val="4C451DEB"/>
    <w:rsid w:val="4C642C20"/>
    <w:rsid w:val="4C7159CB"/>
    <w:rsid w:val="4CAF66FE"/>
    <w:rsid w:val="4CBC2374"/>
    <w:rsid w:val="4CDE56C2"/>
    <w:rsid w:val="4D2065E7"/>
    <w:rsid w:val="4D797C90"/>
    <w:rsid w:val="4D904D68"/>
    <w:rsid w:val="4D91649D"/>
    <w:rsid w:val="4D943C22"/>
    <w:rsid w:val="4DD67FD8"/>
    <w:rsid w:val="4E026021"/>
    <w:rsid w:val="4E053F89"/>
    <w:rsid w:val="4E0A7246"/>
    <w:rsid w:val="4E2661E9"/>
    <w:rsid w:val="4E5D31B2"/>
    <w:rsid w:val="4EB342A8"/>
    <w:rsid w:val="4EC870C0"/>
    <w:rsid w:val="4EEF3B7D"/>
    <w:rsid w:val="4F554AB2"/>
    <w:rsid w:val="4F5D4523"/>
    <w:rsid w:val="4F6D4D5E"/>
    <w:rsid w:val="4F7725B8"/>
    <w:rsid w:val="4F7753E3"/>
    <w:rsid w:val="4F7F2374"/>
    <w:rsid w:val="4FB16006"/>
    <w:rsid w:val="4FCB0C86"/>
    <w:rsid w:val="4FFA468B"/>
    <w:rsid w:val="502A1A62"/>
    <w:rsid w:val="50405B58"/>
    <w:rsid w:val="507922ED"/>
    <w:rsid w:val="50824287"/>
    <w:rsid w:val="50982D39"/>
    <w:rsid w:val="50AA2408"/>
    <w:rsid w:val="50D10C38"/>
    <w:rsid w:val="50D24FFA"/>
    <w:rsid w:val="50E647A4"/>
    <w:rsid w:val="50E95A71"/>
    <w:rsid w:val="511C4AC1"/>
    <w:rsid w:val="5120365F"/>
    <w:rsid w:val="51244764"/>
    <w:rsid w:val="512F4A0C"/>
    <w:rsid w:val="51685CE7"/>
    <w:rsid w:val="51697371"/>
    <w:rsid w:val="516B3D23"/>
    <w:rsid w:val="51851719"/>
    <w:rsid w:val="51D919E0"/>
    <w:rsid w:val="51F045E6"/>
    <w:rsid w:val="521D3658"/>
    <w:rsid w:val="5268510D"/>
    <w:rsid w:val="52A05ABE"/>
    <w:rsid w:val="52F51D9F"/>
    <w:rsid w:val="53081089"/>
    <w:rsid w:val="53301653"/>
    <w:rsid w:val="53345C07"/>
    <w:rsid w:val="536A1D04"/>
    <w:rsid w:val="53886113"/>
    <w:rsid w:val="539A1FAD"/>
    <w:rsid w:val="53A70D5E"/>
    <w:rsid w:val="53A84735"/>
    <w:rsid w:val="53AC66FA"/>
    <w:rsid w:val="53AE03AC"/>
    <w:rsid w:val="53C24C81"/>
    <w:rsid w:val="53C95591"/>
    <w:rsid w:val="53EC3DEE"/>
    <w:rsid w:val="54087884"/>
    <w:rsid w:val="542E0C1D"/>
    <w:rsid w:val="5446539F"/>
    <w:rsid w:val="54656B2D"/>
    <w:rsid w:val="547744E0"/>
    <w:rsid w:val="54956754"/>
    <w:rsid w:val="54C716E3"/>
    <w:rsid w:val="54DC1731"/>
    <w:rsid w:val="54ED5128"/>
    <w:rsid w:val="54F35CCE"/>
    <w:rsid w:val="550645AD"/>
    <w:rsid w:val="55365356"/>
    <w:rsid w:val="556B5EEB"/>
    <w:rsid w:val="556F154B"/>
    <w:rsid w:val="55763DCC"/>
    <w:rsid w:val="55967F79"/>
    <w:rsid w:val="55AB49D7"/>
    <w:rsid w:val="55B76F1E"/>
    <w:rsid w:val="55BC1AE8"/>
    <w:rsid w:val="55C179BA"/>
    <w:rsid w:val="55C2708F"/>
    <w:rsid w:val="55E175C8"/>
    <w:rsid w:val="55F2784B"/>
    <w:rsid w:val="55FF1C9C"/>
    <w:rsid w:val="5614593C"/>
    <w:rsid w:val="563572EA"/>
    <w:rsid w:val="563E7E80"/>
    <w:rsid w:val="564347ED"/>
    <w:rsid w:val="567B40C3"/>
    <w:rsid w:val="567D31BD"/>
    <w:rsid w:val="56A07740"/>
    <w:rsid w:val="56A63F9D"/>
    <w:rsid w:val="56AF15D9"/>
    <w:rsid w:val="56D57C04"/>
    <w:rsid w:val="56FE6494"/>
    <w:rsid w:val="576525A9"/>
    <w:rsid w:val="578F32B8"/>
    <w:rsid w:val="579045C8"/>
    <w:rsid w:val="57970186"/>
    <w:rsid w:val="57B8431E"/>
    <w:rsid w:val="57CC3F2D"/>
    <w:rsid w:val="57D11AC9"/>
    <w:rsid w:val="57D44EA3"/>
    <w:rsid w:val="58041FF4"/>
    <w:rsid w:val="58363CA3"/>
    <w:rsid w:val="589D5C62"/>
    <w:rsid w:val="58A75891"/>
    <w:rsid w:val="58CE268C"/>
    <w:rsid w:val="58D41EDC"/>
    <w:rsid w:val="58E77F21"/>
    <w:rsid w:val="591020D1"/>
    <w:rsid w:val="591A3D23"/>
    <w:rsid w:val="596143E9"/>
    <w:rsid w:val="596C3A56"/>
    <w:rsid w:val="59765C82"/>
    <w:rsid w:val="597814B6"/>
    <w:rsid w:val="598055C7"/>
    <w:rsid w:val="598C46A7"/>
    <w:rsid w:val="59A52E07"/>
    <w:rsid w:val="59B201B7"/>
    <w:rsid w:val="59E0379B"/>
    <w:rsid w:val="5A124C9E"/>
    <w:rsid w:val="5A14501D"/>
    <w:rsid w:val="5A1C190D"/>
    <w:rsid w:val="5A7D6DDD"/>
    <w:rsid w:val="5AAC02BE"/>
    <w:rsid w:val="5AAF74AA"/>
    <w:rsid w:val="5AB94023"/>
    <w:rsid w:val="5ACA2AFC"/>
    <w:rsid w:val="5AD02D7E"/>
    <w:rsid w:val="5AD9312D"/>
    <w:rsid w:val="5ADE3545"/>
    <w:rsid w:val="5B3F0F0A"/>
    <w:rsid w:val="5B4934DB"/>
    <w:rsid w:val="5B5A7CF7"/>
    <w:rsid w:val="5B7F75B8"/>
    <w:rsid w:val="5B8F22B7"/>
    <w:rsid w:val="5BCF7321"/>
    <w:rsid w:val="5BF73027"/>
    <w:rsid w:val="5BFD07AE"/>
    <w:rsid w:val="5C1F59A8"/>
    <w:rsid w:val="5C257D7B"/>
    <w:rsid w:val="5C2E0954"/>
    <w:rsid w:val="5C4800A3"/>
    <w:rsid w:val="5C911551"/>
    <w:rsid w:val="5D09668E"/>
    <w:rsid w:val="5D0F18B3"/>
    <w:rsid w:val="5D125BAE"/>
    <w:rsid w:val="5D1F3939"/>
    <w:rsid w:val="5D4605C6"/>
    <w:rsid w:val="5D6F5C43"/>
    <w:rsid w:val="5D785772"/>
    <w:rsid w:val="5D9A428D"/>
    <w:rsid w:val="5D9C3AC3"/>
    <w:rsid w:val="5DA85D60"/>
    <w:rsid w:val="5DC10F79"/>
    <w:rsid w:val="5DDC44A7"/>
    <w:rsid w:val="5E332242"/>
    <w:rsid w:val="5E814681"/>
    <w:rsid w:val="5EAA4B74"/>
    <w:rsid w:val="5EEB39C2"/>
    <w:rsid w:val="5F3D179A"/>
    <w:rsid w:val="5F673763"/>
    <w:rsid w:val="5F967CFA"/>
    <w:rsid w:val="5FC724F5"/>
    <w:rsid w:val="600D5386"/>
    <w:rsid w:val="6015201B"/>
    <w:rsid w:val="60301762"/>
    <w:rsid w:val="60486474"/>
    <w:rsid w:val="604A3004"/>
    <w:rsid w:val="60632E40"/>
    <w:rsid w:val="608211A1"/>
    <w:rsid w:val="609B69D7"/>
    <w:rsid w:val="60A22698"/>
    <w:rsid w:val="60BB63CC"/>
    <w:rsid w:val="60D16612"/>
    <w:rsid w:val="60DB3020"/>
    <w:rsid w:val="611A2A5C"/>
    <w:rsid w:val="613867C4"/>
    <w:rsid w:val="61456DA2"/>
    <w:rsid w:val="61585087"/>
    <w:rsid w:val="61ED04D7"/>
    <w:rsid w:val="61FA77ED"/>
    <w:rsid w:val="620E15ED"/>
    <w:rsid w:val="62197E8C"/>
    <w:rsid w:val="62ED7720"/>
    <w:rsid w:val="62FB0433"/>
    <w:rsid w:val="62FB30A8"/>
    <w:rsid w:val="630865ED"/>
    <w:rsid w:val="631229B0"/>
    <w:rsid w:val="63136C03"/>
    <w:rsid w:val="63417682"/>
    <w:rsid w:val="636546F8"/>
    <w:rsid w:val="636906D6"/>
    <w:rsid w:val="63AF67AC"/>
    <w:rsid w:val="63BA1F48"/>
    <w:rsid w:val="63C6558E"/>
    <w:rsid w:val="63E0177F"/>
    <w:rsid w:val="641809B8"/>
    <w:rsid w:val="642F5120"/>
    <w:rsid w:val="643C41E9"/>
    <w:rsid w:val="64431884"/>
    <w:rsid w:val="64523480"/>
    <w:rsid w:val="647519F3"/>
    <w:rsid w:val="6492001E"/>
    <w:rsid w:val="64AA7FD7"/>
    <w:rsid w:val="64B06752"/>
    <w:rsid w:val="64DE525D"/>
    <w:rsid w:val="65073F61"/>
    <w:rsid w:val="651B358E"/>
    <w:rsid w:val="653E2F0C"/>
    <w:rsid w:val="65471295"/>
    <w:rsid w:val="65662E41"/>
    <w:rsid w:val="6584603C"/>
    <w:rsid w:val="658F2A34"/>
    <w:rsid w:val="65F23EFE"/>
    <w:rsid w:val="665164C0"/>
    <w:rsid w:val="666A50C2"/>
    <w:rsid w:val="666E2C4B"/>
    <w:rsid w:val="670403AF"/>
    <w:rsid w:val="671375F8"/>
    <w:rsid w:val="6753577B"/>
    <w:rsid w:val="67B87FA9"/>
    <w:rsid w:val="67C2597B"/>
    <w:rsid w:val="67E83A55"/>
    <w:rsid w:val="680915FE"/>
    <w:rsid w:val="68181876"/>
    <w:rsid w:val="68186B7F"/>
    <w:rsid w:val="68252522"/>
    <w:rsid w:val="68422618"/>
    <w:rsid w:val="68556EBE"/>
    <w:rsid w:val="68703BF0"/>
    <w:rsid w:val="6887696C"/>
    <w:rsid w:val="68A70B37"/>
    <w:rsid w:val="68C24F32"/>
    <w:rsid w:val="68E754A5"/>
    <w:rsid w:val="68FA412A"/>
    <w:rsid w:val="690E259A"/>
    <w:rsid w:val="691A0D21"/>
    <w:rsid w:val="694E1970"/>
    <w:rsid w:val="695A4D60"/>
    <w:rsid w:val="69642FBF"/>
    <w:rsid w:val="698038DE"/>
    <w:rsid w:val="69946963"/>
    <w:rsid w:val="69A6268C"/>
    <w:rsid w:val="69AB370B"/>
    <w:rsid w:val="69E81C59"/>
    <w:rsid w:val="69EA19AB"/>
    <w:rsid w:val="6A3F3916"/>
    <w:rsid w:val="6A471163"/>
    <w:rsid w:val="6A5430C6"/>
    <w:rsid w:val="6A6211F5"/>
    <w:rsid w:val="6AB41A48"/>
    <w:rsid w:val="6AC64568"/>
    <w:rsid w:val="6AF368B6"/>
    <w:rsid w:val="6AF84C60"/>
    <w:rsid w:val="6AF90F1F"/>
    <w:rsid w:val="6B242E29"/>
    <w:rsid w:val="6B425F86"/>
    <w:rsid w:val="6B455F70"/>
    <w:rsid w:val="6BA04987"/>
    <w:rsid w:val="6BA52B4F"/>
    <w:rsid w:val="6BB467C2"/>
    <w:rsid w:val="6BBE6D9B"/>
    <w:rsid w:val="6BC22BDA"/>
    <w:rsid w:val="6BCA11E4"/>
    <w:rsid w:val="6BD5019D"/>
    <w:rsid w:val="6BDD7F71"/>
    <w:rsid w:val="6C2C353A"/>
    <w:rsid w:val="6C476F91"/>
    <w:rsid w:val="6C4B2829"/>
    <w:rsid w:val="6C7310AE"/>
    <w:rsid w:val="6C941CE5"/>
    <w:rsid w:val="6C9A10B9"/>
    <w:rsid w:val="6CCD64E7"/>
    <w:rsid w:val="6CD372BC"/>
    <w:rsid w:val="6CE6580D"/>
    <w:rsid w:val="6D016D7B"/>
    <w:rsid w:val="6D01732B"/>
    <w:rsid w:val="6D152633"/>
    <w:rsid w:val="6D461263"/>
    <w:rsid w:val="6D492E7C"/>
    <w:rsid w:val="6D716552"/>
    <w:rsid w:val="6D767E1E"/>
    <w:rsid w:val="6D84562E"/>
    <w:rsid w:val="6DBD1A1B"/>
    <w:rsid w:val="6DE45C2D"/>
    <w:rsid w:val="6DEA4972"/>
    <w:rsid w:val="6DFA4B8E"/>
    <w:rsid w:val="6DFB3271"/>
    <w:rsid w:val="6E4B24DE"/>
    <w:rsid w:val="6E585C91"/>
    <w:rsid w:val="6E5D38C0"/>
    <w:rsid w:val="6E615AFF"/>
    <w:rsid w:val="6E814FA9"/>
    <w:rsid w:val="6E8B515F"/>
    <w:rsid w:val="6E994FBD"/>
    <w:rsid w:val="6EBA48F1"/>
    <w:rsid w:val="6EBF2818"/>
    <w:rsid w:val="6EE566BF"/>
    <w:rsid w:val="6EF50D10"/>
    <w:rsid w:val="6F1C0E6F"/>
    <w:rsid w:val="6F504040"/>
    <w:rsid w:val="6F51656B"/>
    <w:rsid w:val="6F5561C0"/>
    <w:rsid w:val="6F7006A5"/>
    <w:rsid w:val="6F744A68"/>
    <w:rsid w:val="6F9B2E32"/>
    <w:rsid w:val="6FAF331D"/>
    <w:rsid w:val="6FD418B9"/>
    <w:rsid w:val="6FFA5862"/>
    <w:rsid w:val="70015E12"/>
    <w:rsid w:val="70B7567A"/>
    <w:rsid w:val="70CF51AD"/>
    <w:rsid w:val="70E744C6"/>
    <w:rsid w:val="70FA69CC"/>
    <w:rsid w:val="71103B47"/>
    <w:rsid w:val="713B0681"/>
    <w:rsid w:val="71961C6C"/>
    <w:rsid w:val="71B0505E"/>
    <w:rsid w:val="71B15BE5"/>
    <w:rsid w:val="71D4444E"/>
    <w:rsid w:val="71D601AA"/>
    <w:rsid w:val="71EA2804"/>
    <w:rsid w:val="721C629C"/>
    <w:rsid w:val="7221380C"/>
    <w:rsid w:val="72706DF2"/>
    <w:rsid w:val="729C7006"/>
    <w:rsid w:val="72D20AF8"/>
    <w:rsid w:val="72DB6AA5"/>
    <w:rsid w:val="72F035B5"/>
    <w:rsid w:val="72F5525D"/>
    <w:rsid w:val="731B3928"/>
    <w:rsid w:val="73274BE3"/>
    <w:rsid w:val="73563B29"/>
    <w:rsid w:val="73A53594"/>
    <w:rsid w:val="73F424D4"/>
    <w:rsid w:val="73FA424A"/>
    <w:rsid w:val="740D69B8"/>
    <w:rsid w:val="74286D06"/>
    <w:rsid w:val="746A43D1"/>
    <w:rsid w:val="74797C87"/>
    <w:rsid w:val="74AA2F16"/>
    <w:rsid w:val="74AF7614"/>
    <w:rsid w:val="74B756FF"/>
    <w:rsid w:val="74EE2936"/>
    <w:rsid w:val="75203CDB"/>
    <w:rsid w:val="7527330A"/>
    <w:rsid w:val="75293D3F"/>
    <w:rsid w:val="752960D5"/>
    <w:rsid w:val="7553473A"/>
    <w:rsid w:val="758A36D8"/>
    <w:rsid w:val="759810E9"/>
    <w:rsid w:val="75A04D83"/>
    <w:rsid w:val="75A12183"/>
    <w:rsid w:val="75B705BB"/>
    <w:rsid w:val="75B74DC3"/>
    <w:rsid w:val="75CD28D1"/>
    <w:rsid w:val="75E23AD2"/>
    <w:rsid w:val="75E26739"/>
    <w:rsid w:val="76372A76"/>
    <w:rsid w:val="76714542"/>
    <w:rsid w:val="767547AF"/>
    <w:rsid w:val="76790DE2"/>
    <w:rsid w:val="768641FA"/>
    <w:rsid w:val="76AC14DE"/>
    <w:rsid w:val="76B63AD4"/>
    <w:rsid w:val="76E77652"/>
    <w:rsid w:val="7709057F"/>
    <w:rsid w:val="770A1C2F"/>
    <w:rsid w:val="771E3C31"/>
    <w:rsid w:val="772F1787"/>
    <w:rsid w:val="774A39AF"/>
    <w:rsid w:val="774F00A5"/>
    <w:rsid w:val="775970DE"/>
    <w:rsid w:val="77AF7A64"/>
    <w:rsid w:val="77D943B9"/>
    <w:rsid w:val="77FA0187"/>
    <w:rsid w:val="77FD3D03"/>
    <w:rsid w:val="7845162D"/>
    <w:rsid w:val="78475BEA"/>
    <w:rsid w:val="78542A30"/>
    <w:rsid w:val="78595570"/>
    <w:rsid w:val="786528C4"/>
    <w:rsid w:val="7873421F"/>
    <w:rsid w:val="78756C34"/>
    <w:rsid w:val="788D5D25"/>
    <w:rsid w:val="78954CF6"/>
    <w:rsid w:val="78981C46"/>
    <w:rsid w:val="789A08F3"/>
    <w:rsid w:val="78AF21C8"/>
    <w:rsid w:val="78CC7E93"/>
    <w:rsid w:val="78EF4034"/>
    <w:rsid w:val="7913178A"/>
    <w:rsid w:val="791769DB"/>
    <w:rsid w:val="792B5073"/>
    <w:rsid w:val="79591C4A"/>
    <w:rsid w:val="795E5F62"/>
    <w:rsid w:val="795F2099"/>
    <w:rsid w:val="79691570"/>
    <w:rsid w:val="798D0E64"/>
    <w:rsid w:val="79AC7A48"/>
    <w:rsid w:val="79B52BA0"/>
    <w:rsid w:val="7A01698C"/>
    <w:rsid w:val="7A0612C8"/>
    <w:rsid w:val="7A157449"/>
    <w:rsid w:val="7A353313"/>
    <w:rsid w:val="7A4F4F4F"/>
    <w:rsid w:val="7A693639"/>
    <w:rsid w:val="7AC54C0C"/>
    <w:rsid w:val="7AD5280B"/>
    <w:rsid w:val="7AD66CF0"/>
    <w:rsid w:val="7ADA49F9"/>
    <w:rsid w:val="7AF96C3B"/>
    <w:rsid w:val="7B193432"/>
    <w:rsid w:val="7B3412D6"/>
    <w:rsid w:val="7B846B6F"/>
    <w:rsid w:val="7BC4546B"/>
    <w:rsid w:val="7BD17879"/>
    <w:rsid w:val="7BDB4B05"/>
    <w:rsid w:val="7BEC3DE7"/>
    <w:rsid w:val="7BF4411F"/>
    <w:rsid w:val="7BF52F56"/>
    <w:rsid w:val="7BF7512C"/>
    <w:rsid w:val="7C193B21"/>
    <w:rsid w:val="7C307811"/>
    <w:rsid w:val="7C425E6E"/>
    <w:rsid w:val="7C4825F0"/>
    <w:rsid w:val="7C4D4CBC"/>
    <w:rsid w:val="7C7854D2"/>
    <w:rsid w:val="7CB33BE1"/>
    <w:rsid w:val="7CB40E6C"/>
    <w:rsid w:val="7D184922"/>
    <w:rsid w:val="7D330B49"/>
    <w:rsid w:val="7D6D2563"/>
    <w:rsid w:val="7D7C49DC"/>
    <w:rsid w:val="7D8B2EAC"/>
    <w:rsid w:val="7D9324F9"/>
    <w:rsid w:val="7DB5577A"/>
    <w:rsid w:val="7DE277C6"/>
    <w:rsid w:val="7E1929E4"/>
    <w:rsid w:val="7E3E7E0A"/>
    <w:rsid w:val="7E501F45"/>
    <w:rsid w:val="7E77233B"/>
    <w:rsid w:val="7E936C2D"/>
    <w:rsid w:val="7EA13A41"/>
    <w:rsid w:val="7EC90915"/>
    <w:rsid w:val="7EDA233B"/>
    <w:rsid w:val="7F252971"/>
    <w:rsid w:val="7F6F0C98"/>
    <w:rsid w:val="7F93435D"/>
    <w:rsid w:val="7FDE3CE3"/>
    <w:rsid w:val="7FFE6E8C"/>
    <w:rsid w:val="7FFFE41B"/>
    <w:rsid w:val="AFDF7451"/>
    <w:rsid w:val="FEEFEE07"/>
    <w:rsid w:val="FEFD3B51"/>
    <w:rsid w:val="FFEFF9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4"/>
    <w:qFormat/>
    <w:uiPriority w:val="0"/>
    <w:pPr>
      <w:keepNext/>
      <w:keepLines/>
      <w:spacing w:before="600" w:after="600"/>
      <w:jc w:val="center"/>
      <w:outlineLvl w:val="1"/>
    </w:pPr>
    <w:rPr>
      <w:rFonts w:ascii="Arial" w:hAnsi="Arial" w:eastAsia="黑体"/>
      <w:b/>
      <w:bCs/>
      <w:sz w:val="32"/>
      <w:szCs w:val="32"/>
    </w:rPr>
  </w:style>
  <w:style w:type="paragraph" w:styleId="4">
    <w:name w:val="heading 3"/>
    <w:basedOn w:val="1"/>
    <w:next w:val="1"/>
    <w:link w:val="55"/>
    <w:qFormat/>
    <w:uiPriority w:val="0"/>
    <w:pPr>
      <w:keepNext/>
      <w:keepLines/>
      <w:spacing w:before="240" w:after="240" w:line="420" w:lineRule="exact"/>
      <w:jc w:val="left"/>
      <w:outlineLvl w:val="2"/>
    </w:pPr>
    <w:rPr>
      <w:rFonts w:eastAsia="黑体"/>
      <w:b/>
      <w:bCs/>
      <w:sz w:val="28"/>
      <w:szCs w:val="32"/>
    </w:rPr>
  </w:style>
  <w:style w:type="paragraph" w:styleId="5">
    <w:name w:val="heading 4"/>
    <w:basedOn w:val="1"/>
    <w:next w:val="1"/>
    <w:link w:val="56"/>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7"/>
    <w:qFormat/>
    <w:uiPriority w:val="0"/>
    <w:pPr>
      <w:keepNext/>
      <w:keepLines/>
      <w:spacing w:before="280" w:after="290" w:line="372" w:lineRule="auto"/>
      <w:outlineLvl w:val="4"/>
    </w:pPr>
    <w:rPr>
      <w:b/>
      <w:bCs/>
      <w:sz w:val="28"/>
      <w:szCs w:val="28"/>
    </w:rPr>
  </w:style>
  <w:style w:type="paragraph" w:styleId="7">
    <w:name w:val="heading 6"/>
    <w:basedOn w:val="1"/>
    <w:next w:val="1"/>
    <w:link w:val="58"/>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9"/>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60"/>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6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20"/>
      <w:szCs w:val="20"/>
    </w:rPr>
  </w:style>
  <w:style w:type="paragraph" w:styleId="12">
    <w:name w:val="Normal Indent"/>
    <w:basedOn w:val="1"/>
    <w:link w:val="62"/>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unhideWhenUsed/>
    <w:qFormat/>
    <w:uiPriority w:val="0"/>
    <w:pPr>
      <w:jc w:val="left"/>
    </w:pPr>
  </w:style>
  <w:style w:type="paragraph" w:styleId="16">
    <w:name w:val="Body Text 3"/>
    <w:basedOn w:val="1"/>
    <w:link w:val="65"/>
    <w:qFormat/>
    <w:uiPriority w:val="0"/>
    <w:pPr>
      <w:spacing w:after="120"/>
    </w:pPr>
    <w:rPr>
      <w:sz w:val="16"/>
      <w:szCs w:val="16"/>
    </w:rPr>
  </w:style>
  <w:style w:type="paragraph" w:styleId="17">
    <w:name w:val="Body Text"/>
    <w:basedOn w:val="1"/>
    <w:link w:val="66"/>
    <w:qFormat/>
    <w:uiPriority w:val="0"/>
    <w:pPr>
      <w:spacing w:after="120"/>
    </w:pPr>
  </w:style>
  <w:style w:type="paragraph" w:styleId="18">
    <w:name w:val="Body Text Indent"/>
    <w:basedOn w:val="1"/>
    <w:next w:val="1"/>
    <w:link w:val="67"/>
    <w:qFormat/>
    <w:uiPriority w:val="0"/>
    <w:pPr>
      <w:spacing w:after="120"/>
      <w:ind w:left="420" w:leftChars="200"/>
    </w:pPr>
  </w:style>
  <w:style w:type="paragraph" w:styleId="19">
    <w:name w:val="toc 5"/>
    <w:basedOn w:val="1"/>
    <w:next w:val="1"/>
    <w:qFormat/>
    <w:uiPriority w:val="39"/>
    <w:pPr>
      <w:ind w:left="840"/>
      <w:jc w:val="left"/>
    </w:pPr>
    <w:rPr>
      <w:sz w:val="20"/>
      <w:szCs w:val="20"/>
    </w:rPr>
  </w:style>
  <w:style w:type="paragraph" w:styleId="20">
    <w:name w:val="toc 3"/>
    <w:basedOn w:val="1"/>
    <w:next w:val="1"/>
    <w:qFormat/>
    <w:uiPriority w:val="39"/>
    <w:pPr>
      <w:ind w:left="420"/>
      <w:jc w:val="left"/>
    </w:pPr>
    <w:rPr>
      <w:sz w:val="20"/>
      <w:szCs w:val="20"/>
    </w:rPr>
  </w:style>
  <w:style w:type="paragraph" w:styleId="21">
    <w:name w:val="Plain Text"/>
    <w:basedOn w:val="1"/>
    <w:link w:val="68"/>
    <w:qFormat/>
    <w:uiPriority w:val="0"/>
    <w:rPr>
      <w:rFonts w:ascii="宋体" w:hAnsi="Courier New"/>
      <w:kern w:val="15"/>
      <w:szCs w:val="20"/>
    </w:rPr>
  </w:style>
  <w:style w:type="paragraph" w:styleId="22">
    <w:name w:val="toc 8"/>
    <w:basedOn w:val="1"/>
    <w:next w:val="1"/>
    <w:qFormat/>
    <w:uiPriority w:val="39"/>
    <w:pPr>
      <w:ind w:left="1470"/>
      <w:jc w:val="left"/>
    </w:pPr>
    <w:rPr>
      <w:sz w:val="20"/>
      <w:szCs w:val="20"/>
    </w:rPr>
  </w:style>
  <w:style w:type="paragraph" w:styleId="23">
    <w:name w:val="Date"/>
    <w:basedOn w:val="1"/>
    <w:next w:val="1"/>
    <w:link w:val="69"/>
    <w:qFormat/>
    <w:uiPriority w:val="0"/>
    <w:rPr>
      <w:sz w:val="24"/>
      <w:szCs w:val="20"/>
    </w:rPr>
  </w:style>
  <w:style w:type="paragraph" w:styleId="24">
    <w:name w:val="Body Text Indent 2"/>
    <w:basedOn w:val="1"/>
    <w:link w:val="70"/>
    <w:qFormat/>
    <w:uiPriority w:val="0"/>
    <w:pPr>
      <w:spacing w:after="120" w:line="480" w:lineRule="auto"/>
      <w:ind w:left="420" w:leftChars="200"/>
    </w:pPr>
  </w:style>
  <w:style w:type="paragraph" w:styleId="25">
    <w:name w:val="endnote text"/>
    <w:basedOn w:val="1"/>
    <w:link w:val="71"/>
    <w:qFormat/>
    <w:uiPriority w:val="0"/>
    <w:pPr>
      <w:snapToGrid w:val="0"/>
      <w:jc w:val="left"/>
    </w:pPr>
  </w:style>
  <w:style w:type="paragraph" w:styleId="26">
    <w:name w:val="Balloon Text"/>
    <w:basedOn w:val="1"/>
    <w:link w:val="72"/>
    <w:semiHidden/>
    <w:qFormat/>
    <w:uiPriority w:val="0"/>
    <w:rPr>
      <w:sz w:val="18"/>
      <w:szCs w:val="18"/>
    </w:rPr>
  </w:style>
  <w:style w:type="paragraph" w:styleId="27">
    <w:name w:val="footer"/>
    <w:basedOn w:val="1"/>
    <w:link w:val="73"/>
    <w:qFormat/>
    <w:uiPriority w:val="99"/>
    <w:pPr>
      <w:tabs>
        <w:tab w:val="center" w:pos="4153"/>
        <w:tab w:val="right" w:pos="8306"/>
      </w:tabs>
      <w:snapToGrid w:val="0"/>
      <w:jc w:val="left"/>
    </w:pPr>
    <w:rPr>
      <w:kern w:val="0"/>
      <w:sz w:val="18"/>
      <w:szCs w:val="18"/>
    </w:rPr>
  </w:style>
  <w:style w:type="paragraph" w:styleId="28">
    <w:name w:val="header"/>
    <w:basedOn w:val="1"/>
    <w:link w:val="74"/>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240" w:after="120"/>
      <w:jc w:val="left"/>
    </w:pPr>
    <w:rPr>
      <w:b/>
      <w:bCs/>
      <w:sz w:val="20"/>
      <w:szCs w:val="20"/>
    </w:rPr>
  </w:style>
  <w:style w:type="paragraph" w:styleId="30">
    <w:name w:val="toc 4"/>
    <w:basedOn w:val="1"/>
    <w:next w:val="1"/>
    <w:qFormat/>
    <w:uiPriority w:val="39"/>
    <w:pPr>
      <w:ind w:left="630"/>
      <w:jc w:val="left"/>
    </w:pPr>
    <w:rPr>
      <w:sz w:val="20"/>
      <w:szCs w:val="20"/>
    </w:rPr>
  </w:style>
  <w:style w:type="paragraph" w:styleId="31">
    <w:name w:val="footnote text"/>
    <w:basedOn w:val="1"/>
    <w:link w:val="75"/>
    <w:qFormat/>
    <w:uiPriority w:val="0"/>
    <w:pPr>
      <w:snapToGrid w:val="0"/>
      <w:jc w:val="left"/>
    </w:pPr>
    <w:rPr>
      <w:kern w:val="0"/>
      <w:sz w:val="18"/>
      <w:szCs w:val="18"/>
    </w:rPr>
  </w:style>
  <w:style w:type="paragraph" w:styleId="32">
    <w:name w:val="toc 6"/>
    <w:basedOn w:val="1"/>
    <w:next w:val="1"/>
    <w:qFormat/>
    <w:uiPriority w:val="39"/>
    <w:pPr>
      <w:ind w:left="1050"/>
      <w:jc w:val="left"/>
    </w:pPr>
    <w:rPr>
      <w:sz w:val="20"/>
      <w:szCs w:val="20"/>
    </w:rPr>
  </w:style>
  <w:style w:type="paragraph" w:styleId="33">
    <w:name w:val="Body Text Indent 3"/>
    <w:basedOn w:val="1"/>
    <w:link w:val="76"/>
    <w:qFormat/>
    <w:uiPriority w:val="0"/>
    <w:pPr>
      <w:spacing w:after="120"/>
      <w:ind w:left="420" w:leftChars="200"/>
    </w:pPr>
    <w:rPr>
      <w:sz w:val="16"/>
      <w:szCs w:val="16"/>
    </w:rPr>
  </w:style>
  <w:style w:type="paragraph" w:styleId="34">
    <w:name w:val="toc 2"/>
    <w:basedOn w:val="1"/>
    <w:next w:val="1"/>
    <w:qFormat/>
    <w:uiPriority w:val="39"/>
    <w:pPr>
      <w:spacing w:before="120"/>
      <w:ind w:left="210"/>
      <w:jc w:val="left"/>
    </w:pPr>
    <w:rPr>
      <w:i/>
      <w:iCs/>
      <w:sz w:val="20"/>
      <w:szCs w:val="20"/>
    </w:rPr>
  </w:style>
  <w:style w:type="paragraph" w:styleId="35">
    <w:name w:val="toc 9"/>
    <w:basedOn w:val="1"/>
    <w:next w:val="1"/>
    <w:qFormat/>
    <w:uiPriority w:val="39"/>
    <w:pPr>
      <w:ind w:left="1680"/>
      <w:jc w:val="left"/>
    </w:pPr>
    <w:rPr>
      <w:sz w:val="20"/>
      <w:szCs w:val="20"/>
    </w:rPr>
  </w:style>
  <w:style w:type="paragraph" w:styleId="36">
    <w:name w:val="Body Text 2"/>
    <w:basedOn w:val="1"/>
    <w:link w:val="77"/>
    <w:qFormat/>
    <w:uiPriority w:val="0"/>
    <w:pPr>
      <w:spacing w:line="400" w:lineRule="exact"/>
    </w:pPr>
    <w:rPr>
      <w:sz w:val="30"/>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79"/>
    <w:qFormat/>
    <w:uiPriority w:val="0"/>
    <w:rPr>
      <w:b/>
      <w:bCs/>
    </w:rPr>
  </w:style>
  <w:style w:type="paragraph" w:styleId="41">
    <w:name w:val="Body Text First Indent"/>
    <w:basedOn w:val="17"/>
    <w:link w:val="80"/>
    <w:qFormat/>
    <w:uiPriority w:val="0"/>
    <w:pPr>
      <w:ind w:firstLine="420" w:firstLineChars="100"/>
    </w:pPr>
  </w:style>
  <w:style w:type="paragraph" w:styleId="42">
    <w:name w:val="Body Text First Indent 2"/>
    <w:basedOn w:val="18"/>
    <w:qFormat/>
    <w:uiPriority w:val="0"/>
    <w:pPr>
      <w:spacing w:line="312" w:lineRule="atLeast"/>
      <w:ind w:firstLine="42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标题 1 Char"/>
    <w:link w:val="2"/>
    <w:qFormat/>
    <w:uiPriority w:val="0"/>
    <w:rPr>
      <w:rFonts w:eastAsia="宋体"/>
      <w:b/>
      <w:bCs/>
      <w:kern w:val="44"/>
      <w:sz w:val="44"/>
      <w:szCs w:val="44"/>
      <w:lang w:val="en-US" w:eastAsia="zh-CN" w:bidi="ar-SA"/>
    </w:rPr>
  </w:style>
  <w:style w:type="character" w:customStyle="1" w:styleId="54">
    <w:name w:val="标题 2 Char"/>
    <w:link w:val="3"/>
    <w:qFormat/>
    <w:uiPriority w:val="0"/>
    <w:rPr>
      <w:rFonts w:ascii="Arial" w:hAnsi="Arial" w:eastAsia="黑体"/>
      <w:b/>
      <w:bCs/>
      <w:kern w:val="2"/>
      <w:sz w:val="32"/>
      <w:szCs w:val="32"/>
      <w:lang w:val="en-US" w:eastAsia="zh-CN" w:bidi="ar-SA"/>
    </w:rPr>
  </w:style>
  <w:style w:type="character" w:customStyle="1" w:styleId="55">
    <w:name w:val="标题 3 Char"/>
    <w:link w:val="4"/>
    <w:qFormat/>
    <w:uiPriority w:val="0"/>
    <w:rPr>
      <w:rFonts w:eastAsia="黑体"/>
      <w:b/>
      <w:bCs/>
      <w:kern w:val="2"/>
      <w:sz w:val="28"/>
      <w:szCs w:val="32"/>
      <w:lang w:val="en-US" w:eastAsia="zh-CN" w:bidi="ar-SA"/>
    </w:rPr>
  </w:style>
  <w:style w:type="character" w:customStyle="1" w:styleId="56">
    <w:name w:val="标题 4 Char"/>
    <w:link w:val="5"/>
    <w:qFormat/>
    <w:uiPriority w:val="0"/>
    <w:rPr>
      <w:rFonts w:ascii="Arial" w:hAnsi="Arial" w:eastAsia="黑体"/>
      <w:b/>
      <w:bCs/>
      <w:kern w:val="2"/>
      <w:sz w:val="28"/>
      <w:szCs w:val="28"/>
      <w:lang w:val="en-US" w:eastAsia="zh-CN" w:bidi="ar-SA"/>
    </w:rPr>
  </w:style>
  <w:style w:type="character" w:customStyle="1" w:styleId="57">
    <w:name w:val="标题 5 Char"/>
    <w:link w:val="6"/>
    <w:qFormat/>
    <w:uiPriority w:val="0"/>
    <w:rPr>
      <w:rFonts w:eastAsia="宋体"/>
      <w:b/>
      <w:bCs/>
      <w:kern w:val="2"/>
      <w:sz w:val="28"/>
      <w:szCs w:val="28"/>
      <w:lang w:val="en-US" w:eastAsia="zh-CN" w:bidi="ar-SA"/>
    </w:rPr>
  </w:style>
  <w:style w:type="character" w:customStyle="1" w:styleId="58">
    <w:name w:val="标题 6 Char"/>
    <w:link w:val="7"/>
    <w:qFormat/>
    <w:uiPriority w:val="0"/>
    <w:rPr>
      <w:rFonts w:ascii="Arial" w:hAnsi="Arial" w:eastAsia="黑体"/>
      <w:b/>
      <w:bCs/>
      <w:sz w:val="24"/>
      <w:szCs w:val="24"/>
      <w:lang w:val="en-US" w:eastAsia="zh-CN" w:bidi="ar-SA"/>
    </w:rPr>
  </w:style>
  <w:style w:type="character" w:customStyle="1" w:styleId="59">
    <w:name w:val="标题 7 Char"/>
    <w:link w:val="8"/>
    <w:qFormat/>
    <w:uiPriority w:val="0"/>
    <w:rPr>
      <w:rFonts w:eastAsia="宋体"/>
      <w:b/>
      <w:bCs/>
      <w:sz w:val="24"/>
      <w:szCs w:val="24"/>
      <w:lang w:val="en-US" w:eastAsia="zh-CN" w:bidi="ar-SA"/>
    </w:rPr>
  </w:style>
  <w:style w:type="character" w:customStyle="1" w:styleId="60">
    <w:name w:val="标题 8 Char"/>
    <w:link w:val="9"/>
    <w:qFormat/>
    <w:uiPriority w:val="0"/>
    <w:rPr>
      <w:rFonts w:ascii="Arial" w:hAnsi="Arial" w:eastAsia="黑体"/>
      <w:sz w:val="24"/>
      <w:szCs w:val="24"/>
      <w:lang w:val="en-US" w:eastAsia="zh-CN" w:bidi="ar-SA"/>
    </w:rPr>
  </w:style>
  <w:style w:type="character" w:customStyle="1" w:styleId="61">
    <w:name w:val="标题 9 Char"/>
    <w:link w:val="10"/>
    <w:qFormat/>
    <w:uiPriority w:val="0"/>
    <w:rPr>
      <w:rFonts w:ascii="Arial" w:hAnsi="Arial" w:eastAsia="黑体"/>
      <w:sz w:val="21"/>
      <w:szCs w:val="21"/>
      <w:lang w:val="en-US" w:eastAsia="zh-CN" w:bidi="ar-SA"/>
    </w:rPr>
  </w:style>
  <w:style w:type="character" w:customStyle="1" w:styleId="62">
    <w:name w:val="正文缩进 Char"/>
    <w:link w:val="12"/>
    <w:qFormat/>
    <w:uiPriority w:val="0"/>
    <w:rPr>
      <w:rFonts w:eastAsia="宋体"/>
      <w:kern w:val="2"/>
      <w:sz w:val="21"/>
      <w:szCs w:val="24"/>
      <w:lang w:val="en-US" w:eastAsia="zh-CN" w:bidi="ar-SA"/>
    </w:rPr>
  </w:style>
  <w:style w:type="character" w:customStyle="1" w:styleId="63">
    <w:name w:val="文档结构图 Char"/>
    <w:link w:val="14"/>
    <w:qFormat/>
    <w:uiPriority w:val="0"/>
    <w:rPr>
      <w:rFonts w:eastAsia="宋体"/>
      <w:kern w:val="2"/>
      <w:sz w:val="21"/>
      <w:szCs w:val="24"/>
      <w:lang w:val="en-US" w:eastAsia="zh-CN" w:bidi="ar-SA"/>
    </w:rPr>
  </w:style>
  <w:style w:type="character" w:customStyle="1" w:styleId="64">
    <w:name w:val="批注文字 Char"/>
    <w:link w:val="15"/>
    <w:qFormat/>
    <w:uiPriority w:val="0"/>
    <w:rPr>
      <w:rFonts w:eastAsia="宋体"/>
      <w:kern w:val="2"/>
      <w:sz w:val="21"/>
      <w:szCs w:val="24"/>
      <w:lang w:val="en-US" w:eastAsia="zh-CN" w:bidi="ar-SA"/>
    </w:rPr>
  </w:style>
  <w:style w:type="character" w:customStyle="1" w:styleId="65">
    <w:name w:val="正文文本 3 Char"/>
    <w:link w:val="16"/>
    <w:qFormat/>
    <w:uiPriority w:val="0"/>
    <w:rPr>
      <w:rFonts w:eastAsia="宋体"/>
      <w:kern w:val="2"/>
      <w:sz w:val="16"/>
      <w:szCs w:val="16"/>
      <w:lang w:val="en-US" w:eastAsia="zh-CN" w:bidi="ar-SA"/>
    </w:rPr>
  </w:style>
  <w:style w:type="character" w:customStyle="1" w:styleId="66">
    <w:name w:val="正文文本 Char"/>
    <w:link w:val="17"/>
    <w:qFormat/>
    <w:uiPriority w:val="0"/>
    <w:rPr>
      <w:rFonts w:eastAsia="宋体"/>
      <w:kern w:val="2"/>
      <w:sz w:val="21"/>
      <w:szCs w:val="24"/>
      <w:lang w:val="en-US" w:eastAsia="zh-CN" w:bidi="ar-SA"/>
    </w:rPr>
  </w:style>
  <w:style w:type="character" w:customStyle="1" w:styleId="67">
    <w:name w:val="正文文本缩进 Char"/>
    <w:link w:val="18"/>
    <w:qFormat/>
    <w:uiPriority w:val="0"/>
    <w:rPr>
      <w:rFonts w:eastAsia="宋体"/>
      <w:kern w:val="2"/>
      <w:sz w:val="21"/>
      <w:szCs w:val="24"/>
      <w:lang w:val="en-US" w:eastAsia="zh-CN" w:bidi="ar-SA"/>
    </w:rPr>
  </w:style>
  <w:style w:type="character" w:customStyle="1" w:styleId="68">
    <w:name w:val="纯文本 Char"/>
    <w:link w:val="21"/>
    <w:qFormat/>
    <w:uiPriority w:val="0"/>
    <w:rPr>
      <w:rFonts w:ascii="宋体" w:hAnsi="Courier New" w:eastAsia="宋体"/>
      <w:kern w:val="15"/>
      <w:sz w:val="21"/>
      <w:lang w:val="en-US" w:eastAsia="zh-CN" w:bidi="ar-SA"/>
    </w:rPr>
  </w:style>
  <w:style w:type="character" w:customStyle="1" w:styleId="69">
    <w:name w:val="日期 Char"/>
    <w:link w:val="23"/>
    <w:qFormat/>
    <w:uiPriority w:val="0"/>
    <w:rPr>
      <w:rFonts w:eastAsia="宋体"/>
      <w:kern w:val="2"/>
      <w:sz w:val="24"/>
      <w:lang w:val="en-US" w:eastAsia="zh-CN" w:bidi="ar-SA"/>
    </w:rPr>
  </w:style>
  <w:style w:type="character" w:customStyle="1" w:styleId="70">
    <w:name w:val="正文文本缩进 2 Char"/>
    <w:link w:val="24"/>
    <w:qFormat/>
    <w:uiPriority w:val="0"/>
    <w:rPr>
      <w:rFonts w:eastAsia="宋体"/>
      <w:kern w:val="2"/>
      <w:sz w:val="21"/>
      <w:szCs w:val="24"/>
      <w:lang w:val="en-US" w:eastAsia="zh-CN" w:bidi="ar-SA"/>
    </w:rPr>
  </w:style>
  <w:style w:type="character" w:customStyle="1" w:styleId="71">
    <w:name w:val="尾注文本 Char"/>
    <w:link w:val="25"/>
    <w:qFormat/>
    <w:uiPriority w:val="0"/>
    <w:rPr>
      <w:rFonts w:eastAsia="宋体"/>
      <w:kern w:val="2"/>
      <w:sz w:val="21"/>
      <w:szCs w:val="24"/>
      <w:lang w:val="en-US" w:eastAsia="zh-CN" w:bidi="ar-SA"/>
    </w:rPr>
  </w:style>
  <w:style w:type="character" w:customStyle="1" w:styleId="72">
    <w:name w:val="批注框文本 Char"/>
    <w:link w:val="26"/>
    <w:qFormat/>
    <w:uiPriority w:val="0"/>
    <w:rPr>
      <w:rFonts w:eastAsia="宋体"/>
      <w:kern w:val="2"/>
      <w:sz w:val="18"/>
      <w:szCs w:val="18"/>
      <w:lang w:val="en-US" w:eastAsia="zh-CN" w:bidi="ar-SA"/>
    </w:rPr>
  </w:style>
  <w:style w:type="character" w:customStyle="1" w:styleId="73">
    <w:name w:val="页脚 Char"/>
    <w:link w:val="27"/>
    <w:qFormat/>
    <w:uiPriority w:val="99"/>
    <w:rPr>
      <w:rFonts w:eastAsia="宋体"/>
      <w:sz w:val="18"/>
      <w:szCs w:val="18"/>
      <w:lang w:bidi="ar-SA"/>
    </w:rPr>
  </w:style>
  <w:style w:type="character" w:customStyle="1" w:styleId="74">
    <w:name w:val="页眉 Char"/>
    <w:link w:val="28"/>
    <w:qFormat/>
    <w:uiPriority w:val="99"/>
    <w:rPr>
      <w:rFonts w:eastAsia="宋体"/>
      <w:sz w:val="18"/>
      <w:szCs w:val="18"/>
      <w:lang w:bidi="ar-SA"/>
    </w:rPr>
  </w:style>
  <w:style w:type="character" w:customStyle="1" w:styleId="75">
    <w:name w:val="脚注文本 Char"/>
    <w:link w:val="31"/>
    <w:qFormat/>
    <w:uiPriority w:val="0"/>
    <w:rPr>
      <w:rFonts w:eastAsia="宋体"/>
      <w:sz w:val="18"/>
      <w:szCs w:val="18"/>
      <w:lang w:bidi="ar-SA"/>
    </w:rPr>
  </w:style>
  <w:style w:type="character" w:customStyle="1" w:styleId="76">
    <w:name w:val="正文文本缩进 3 Char"/>
    <w:link w:val="33"/>
    <w:qFormat/>
    <w:uiPriority w:val="0"/>
    <w:rPr>
      <w:rFonts w:eastAsia="宋体"/>
      <w:kern w:val="2"/>
      <w:sz w:val="16"/>
      <w:szCs w:val="16"/>
      <w:lang w:val="en-US" w:eastAsia="zh-CN" w:bidi="ar-SA"/>
    </w:rPr>
  </w:style>
  <w:style w:type="character" w:customStyle="1" w:styleId="77">
    <w:name w:val="正文文本 2 Char"/>
    <w:link w:val="36"/>
    <w:qFormat/>
    <w:uiPriority w:val="0"/>
    <w:rPr>
      <w:kern w:val="2"/>
      <w:sz w:val="30"/>
      <w:szCs w:val="24"/>
    </w:rPr>
  </w:style>
  <w:style w:type="character" w:customStyle="1" w:styleId="78">
    <w:name w:val="标题 Char"/>
    <w:link w:val="39"/>
    <w:qFormat/>
    <w:uiPriority w:val="0"/>
    <w:rPr>
      <w:rFonts w:ascii="Arial" w:hAnsi="Arial" w:eastAsia="宋体"/>
      <w:b/>
      <w:sz w:val="32"/>
      <w:lang w:val="en-US" w:eastAsia="zh-CN" w:bidi="ar-SA"/>
    </w:rPr>
  </w:style>
  <w:style w:type="character" w:customStyle="1" w:styleId="79">
    <w:name w:val="批注主题 Char"/>
    <w:link w:val="40"/>
    <w:qFormat/>
    <w:uiPriority w:val="0"/>
    <w:rPr>
      <w:rFonts w:eastAsia="宋体"/>
      <w:b/>
      <w:bCs/>
      <w:kern w:val="2"/>
      <w:sz w:val="21"/>
      <w:szCs w:val="24"/>
      <w:lang w:val="en-US" w:eastAsia="zh-CN" w:bidi="ar-SA"/>
    </w:rPr>
  </w:style>
  <w:style w:type="character" w:customStyle="1" w:styleId="80">
    <w:name w:val="正文首行缩进 Char"/>
    <w:link w:val="41"/>
    <w:qFormat/>
    <w:uiPriority w:val="0"/>
    <w:rPr>
      <w:rFonts w:eastAsia="宋体"/>
      <w:kern w:val="2"/>
      <w:sz w:val="21"/>
      <w:szCs w:val="24"/>
      <w:lang w:val="en-US" w:eastAsia="zh-CN" w:bidi="ar-SA"/>
    </w:rPr>
  </w:style>
  <w:style w:type="character" w:customStyle="1" w:styleId="81">
    <w:name w:val="tpc_content1"/>
    <w:qFormat/>
    <w:uiPriority w:val="0"/>
    <w:rPr>
      <w:sz w:val="20"/>
      <w:szCs w:val="20"/>
    </w:rPr>
  </w:style>
  <w:style w:type="character" w:customStyle="1" w:styleId="82">
    <w:name w:val="font161"/>
    <w:qFormat/>
    <w:uiPriority w:val="0"/>
    <w:rPr>
      <w:b/>
      <w:bCs/>
      <w:sz w:val="32"/>
      <w:szCs w:val="32"/>
    </w:rPr>
  </w:style>
  <w:style w:type="character" w:customStyle="1" w:styleId="83">
    <w:name w:val="正文1"/>
    <w:qFormat/>
    <w:uiPriority w:val="0"/>
    <w:rPr>
      <w:rFonts w:ascii="宋体" w:hAnsi="宋体"/>
      <w:color w:val="000000"/>
    </w:rPr>
  </w:style>
  <w:style w:type="character" w:customStyle="1" w:styleId="84">
    <w:name w:val="ht1"/>
    <w:qFormat/>
    <w:uiPriority w:val="0"/>
    <w:rPr>
      <w:rFonts w:ascii="黑体" w:eastAsia="黑体"/>
      <w:b/>
      <w:bCs/>
    </w:rPr>
  </w:style>
  <w:style w:type="paragraph" w:customStyle="1" w:styleId="85">
    <w:name w:val="Char Char Char Char Char Char Char Char Char Char Char Char Char"/>
    <w:basedOn w:val="1"/>
    <w:qFormat/>
    <w:uiPriority w:val="0"/>
    <w:rPr>
      <w:rFonts w:ascii="仿宋_GB2312" w:eastAsia="仿宋_GB2312"/>
      <w:b/>
      <w:sz w:val="32"/>
      <w:szCs w:val="32"/>
    </w:rPr>
  </w:style>
  <w:style w:type="paragraph" w:customStyle="1" w:styleId="86">
    <w:name w:val="Char Char Char Char"/>
    <w:basedOn w:val="1"/>
    <w:qFormat/>
    <w:uiPriority w:val="0"/>
    <w:pPr>
      <w:widowControl/>
      <w:spacing w:after="160" w:line="240" w:lineRule="exact"/>
      <w:jc w:val="left"/>
    </w:pPr>
    <w:rPr>
      <w:szCs w:val="20"/>
    </w:rPr>
  </w:style>
  <w:style w:type="paragraph" w:customStyle="1" w:styleId="8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样式 标题 1 + 黑体 三号 非加粗"/>
    <w:basedOn w:val="2"/>
    <w:qFormat/>
    <w:uiPriority w:val="0"/>
    <w:pPr>
      <w:spacing w:before="600" w:after="600" w:line="240" w:lineRule="auto"/>
      <w:jc w:val="center"/>
    </w:pPr>
    <w:rPr>
      <w:rFonts w:ascii="黑体" w:hAnsi="黑体" w:eastAsia="黑体"/>
      <w:b w:val="0"/>
      <w:bCs w:val="0"/>
      <w:sz w:val="32"/>
    </w:rPr>
  </w:style>
  <w:style w:type="paragraph" w:customStyle="1" w:styleId="8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0">
    <w:name w:val="默认段落字体 Para Char Char Char Char"/>
    <w:basedOn w:val="1"/>
    <w:qFormat/>
    <w:uiPriority w:val="0"/>
    <w:rPr>
      <w:sz w:val="20"/>
      <w:szCs w:val="20"/>
    </w:rPr>
  </w:style>
  <w:style w:type="paragraph" w:customStyle="1" w:styleId="91">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Char Char Char1 Char"/>
    <w:basedOn w:val="14"/>
    <w:qFormat/>
    <w:uiPriority w:val="0"/>
    <w:rPr>
      <w:rFonts w:ascii="Tahoma" w:hAnsi="Tahoma"/>
      <w:sz w:val="24"/>
    </w:rPr>
  </w:style>
  <w:style w:type="paragraph" w:customStyle="1" w:styleId="94">
    <w:name w:val="1."/>
    <w:basedOn w:val="1"/>
    <w:qFormat/>
    <w:uiPriority w:val="0"/>
    <w:pPr>
      <w:tabs>
        <w:tab w:val="left" w:pos="425"/>
      </w:tabs>
      <w:spacing w:line="360" w:lineRule="auto"/>
      <w:ind w:firstLine="482"/>
    </w:pPr>
    <w:rPr>
      <w:sz w:val="28"/>
      <w:szCs w:val="20"/>
    </w:rPr>
  </w:style>
  <w:style w:type="paragraph" w:customStyle="1" w:styleId="95">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96">
    <w:name w:val="一、"/>
    <w:next w:val="41"/>
    <w:qFormat/>
    <w:uiPriority w:val="0"/>
    <w:pPr>
      <w:tabs>
        <w:tab w:val="left" w:pos="360"/>
      </w:tabs>
      <w:spacing w:before="240" w:after="240"/>
    </w:pPr>
    <w:rPr>
      <w:rFonts w:ascii="Calibri" w:hAnsi="Calibri" w:eastAsia="黑体" w:cs="Times New Roman"/>
      <w:sz w:val="28"/>
      <w:lang w:val="en-US" w:eastAsia="zh-CN" w:bidi="ar-SA"/>
    </w:rPr>
  </w:style>
  <w:style w:type="paragraph" w:customStyle="1" w:styleId="97">
    <w:name w:val="Char"/>
    <w:basedOn w:val="1"/>
    <w:qFormat/>
    <w:uiPriority w:val="0"/>
    <w:pPr>
      <w:tabs>
        <w:tab w:val="left" w:pos="1140"/>
      </w:tabs>
      <w:ind w:left="1140" w:hanging="720"/>
    </w:pPr>
    <w:rPr>
      <w:sz w:val="24"/>
    </w:rPr>
  </w:style>
  <w:style w:type="paragraph" w:customStyle="1" w:styleId="9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99">
    <w:name w:val="项目符号"/>
    <w:basedOn w:val="1"/>
    <w:qFormat/>
    <w:uiPriority w:val="0"/>
    <w:pPr>
      <w:tabs>
        <w:tab w:val="left" w:pos="360"/>
      </w:tabs>
      <w:adjustRightInd w:val="0"/>
      <w:spacing w:line="360" w:lineRule="atLeast"/>
      <w:ind w:left="340" w:hanging="340"/>
      <w:jc w:val="left"/>
      <w:textAlignment w:val="baseline"/>
    </w:pPr>
    <w:rPr>
      <w:kern w:val="0"/>
      <w:sz w:val="24"/>
      <w:szCs w:val="20"/>
    </w:rPr>
  </w:style>
  <w:style w:type="paragraph" w:customStyle="1" w:styleId="100">
    <w:name w:val="1"/>
    <w:basedOn w:val="1"/>
    <w:next w:val="1"/>
    <w:qFormat/>
    <w:uiPriority w:val="0"/>
  </w:style>
  <w:style w:type="paragraph" w:customStyle="1" w:styleId="101">
    <w:name w:val="Char Char Char Char Char Char1 Char Char Char Char"/>
    <w:basedOn w:val="1"/>
    <w:qFormat/>
    <w:uiPriority w:val="0"/>
    <w:rPr>
      <w:rFonts w:ascii="仿宋_GB2312" w:eastAsia="仿宋_GB2312"/>
      <w:b/>
      <w:sz w:val="32"/>
      <w:szCs w:val="32"/>
    </w:rPr>
  </w:style>
  <w:style w:type="paragraph" w:customStyle="1" w:styleId="10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3">
    <w:name w:val="表格"/>
    <w:basedOn w:val="1"/>
    <w:qFormat/>
    <w:uiPriority w:val="0"/>
    <w:pPr>
      <w:jc w:val="center"/>
      <w:textAlignment w:val="center"/>
    </w:pPr>
    <w:rPr>
      <w:rFonts w:ascii="华文细黑" w:hAnsi="华文细黑"/>
      <w:kern w:val="0"/>
      <w:szCs w:val="20"/>
    </w:rPr>
  </w:style>
  <w:style w:type="paragraph" w:customStyle="1" w:styleId="104">
    <w:name w:val="_Style 103"/>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5">
    <w:name w:val="表格文字"/>
    <w:basedOn w:val="1"/>
    <w:qFormat/>
    <w:uiPriority w:val="0"/>
    <w:pPr>
      <w:adjustRightInd w:val="0"/>
      <w:spacing w:line="420" w:lineRule="atLeast"/>
      <w:jc w:val="left"/>
      <w:textAlignment w:val="baseline"/>
    </w:pPr>
    <w:rPr>
      <w:kern w:val="0"/>
      <w:szCs w:val="20"/>
    </w:rPr>
  </w:style>
  <w:style w:type="paragraph" w:customStyle="1" w:styleId="106">
    <w:name w:val="样式 标题 3 + (中文) 黑体 小四 非加粗 段前: 7.8 磅 段后: 0 磅 行距: 固定值 20 磅"/>
    <w:basedOn w:val="4"/>
    <w:qFormat/>
    <w:uiPriority w:val="0"/>
    <w:pPr>
      <w:spacing w:before="0" w:after="0" w:line="400" w:lineRule="exact"/>
    </w:pPr>
    <w:rPr>
      <w:rFonts w:cs="宋体"/>
      <w:b w:val="0"/>
      <w:bCs w:val="0"/>
      <w:sz w:val="24"/>
      <w:szCs w:val="20"/>
    </w:rPr>
  </w:style>
  <w:style w:type="paragraph" w:customStyle="1" w:styleId="107">
    <w:name w:val="样式1"/>
    <w:basedOn w:val="1"/>
    <w:next w:val="5"/>
    <w:qFormat/>
    <w:uiPriority w:val="0"/>
    <w:pPr>
      <w:spacing w:line="360" w:lineRule="auto"/>
      <w:ind w:firstLine="420" w:firstLineChars="200"/>
    </w:pPr>
    <w:rPr>
      <w:rFonts w:ascii="宋体" w:hAnsi="宋体"/>
      <w:szCs w:val="21"/>
    </w:rPr>
  </w:style>
  <w:style w:type="paragraph" w:customStyle="1" w:styleId="108">
    <w:name w:val="Char Char Char Char1"/>
    <w:basedOn w:val="1"/>
    <w:qFormat/>
    <w:uiPriority w:val="0"/>
    <w:pPr>
      <w:adjustRightInd w:val="0"/>
      <w:snapToGrid w:val="0"/>
      <w:spacing w:line="360" w:lineRule="auto"/>
      <w:ind w:firstLine="200" w:firstLineChars="200"/>
      <w:jc w:val="left"/>
    </w:pPr>
    <w:rPr>
      <w:rFonts w:ascii="仿宋_GB2312" w:hAnsi="仿宋_GB2312" w:eastAsia="仿宋_GB2312" w:cs="宋体"/>
      <w:sz w:val="24"/>
    </w:rPr>
  </w:style>
  <w:style w:type="paragraph" w:customStyle="1" w:styleId="109">
    <w:name w:val="样式5"/>
    <w:basedOn w:val="1"/>
    <w:qFormat/>
    <w:uiPriority w:val="0"/>
    <w:rPr>
      <w:rFonts w:ascii="隶书" w:hAnsi="宋体" w:eastAsia="隶书"/>
      <w:color w:val="000000"/>
      <w:sz w:val="36"/>
    </w:rPr>
  </w:style>
  <w:style w:type="paragraph" w:customStyle="1" w:styleId="110">
    <w:name w:val="表中"/>
    <w:basedOn w:val="1"/>
    <w:qFormat/>
    <w:uiPriority w:val="0"/>
    <w:pPr>
      <w:adjustRightInd w:val="0"/>
      <w:spacing w:line="360" w:lineRule="atLeast"/>
      <w:jc w:val="center"/>
      <w:textAlignment w:val="baseline"/>
    </w:pPr>
    <w:rPr>
      <w:kern w:val="0"/>
      <w:szCs w:val="20"/>
    </w:rPr>
  </w:style>
  <w:style w:type="paragraph" w:customStyle="1" w:styleId="111">
    <w:name w:val="样式2"/>
    <w:basedOn w:val="1"/>
    <w:qFormat/>
    <w:uiPriority w:val="0"/>
    <w:pPr>
      <w:spacing w:line="360" w:lineRule="auto"/>
      <w:jc w:val="center"/>
    </w:pPr>
    <w:rPr>
      <w:rFonts w:ascii="黑体" w:hAnsi="宋体" w:eastAsia="黑体"/>
      <w:color w:val="000000"/>
      <w:sz w:val="36"/>
      <w:szCs w:val="20"/>
    </w:rPr>
  </w:style>
  <w:style w:type="paragraph" w:customStyle="1" w:styleId="112">
    <w:name w:val="题目"/>
    <w:basedOn w:val="1"/>
    <w:qFormat/>
    <w:uiPriority w:val="0"/>
    <w:pPr>
      <w:spacing w:beforeLines="200" w:afterLines="100"/>
      <w:jc w:val="center"/>
    </w:pPr>
    <w:rPr>
      <w:rFonts w:ascii="黑体" w:eastAsia="黑体"/>
      <w:color w:val="C00000"/>
      <w:sz w:val="28"/>
      <w:szCs w:val="28"/>
    </w:rPr>
  </w:style>
  <w:style w:type="paragraph" w:customStyle="1" w:styleId="11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4">
    <w:name w:val="列出段落1"/>
    <w:basedOn w:val="1"/>
    <w:qFormat/>
    <w:uiPriority w:val="99"/>
    <w:pPr>
      <w:ind w:firstLine="420" w:firstLineChars="200"/>
    </w:pPr>
    <w:rPr>
      <w:rFonts w:ascii="Calibri Light" w:hAnsi="Calibri Light" w:cs="方正楷体简体"/>
      <w:szCs w:val="22"/>
    </w:rPr>
  </w:style>
  <w:style w:type="paragraph" w:customStyle="1" w:styleId="115">
    <w:name w:val="Table Paragraph"/>
    <w:basedOn w:val="1"/>
    <w:qFormat/>
    <w:uiPriority w:val="1"/>
  </w:style>
  <w:style w:type="paragraph" w:styleId="116">
    <w:name w:val="List Paragraph"/>
    <w:basedOn w:val="1"/>
    <w:qFormat/>
    <w:uiPriority w:val="0"/>
    <w:pPr>
      <w:ind w:firstLine="420" w:firstLineChars="200"/>
    </w:pPr>
    <w:rPr>
      <w:rFonts w:ascii="Calibri" w:hAnsi="Calibri"/>
      <w:szCs w:val="22"/>
    </w:rPr>
  </w:style>
  <w:style w:type="paragraph" w:customStyle="1" w:styleId="117">
    <w:name w:val="LBG6-"/>
    <w:basedOn w:val="1"/>
    <w:qFormat/>
    <w:uiPriority w:val="0"/>
    <w:pPr>
      <w:autoSpaceDE w:val="0"/>
      <w:autoSpaceDN w:val="0"/>
      <w:adjustRightInd w:val="0"/>
      <w:spacing w:line="120" w:lineRule="exact"/>
      <w:jc w:val="left"/>
    </w:pPr>
    <w:rPr>
      <w:rFonts w:ascii="@昆仑仿宋" w:hAnsi="Times New Roman"/>
      <w:kern w:val="0"/>
      <w:sz w:val="13"/>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105</Pages>
  <Words>46873</Words>
  <Characters>49007</Characters>
  <Lines>437</Lines>
  <Paragraphs>123</Paragraphs>
  <TotalTime>0</TotalTime>
  <ScaleCrop>false</ScaleCrop>
  <LinksUpToDate>false</LinksUpToDate>
  <CharactersWithSpaces>57464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2017-07-24T08:24:00Z</dcterms:created>
  <dc:creator>Lenovo User</dc:creator>
  <cp:lastModifiedBy>xmadmin</cp:lastModifiedBy>
  <cp:lastPrinted>2020-04-22T09:28:00Z</cp:lastPrinted>
  <dcterms:modified xsi:type="dcterms:W3CDTF">2024-03-06T11:09:32Z</dcterms:modified>
  <dc:title>厦门港海沧航道扩建二期工程20#-21#泊位航段 施工监理招标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7401226EF1844DA0AC8CB19577114791</vt:lpwstr>
  </property>
</Properties>
</file>