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exact"/>
        <w:jc w:val="left"/>
        <w:rPr>
          <w:rFonts w:eastAsia="黑体"/>
          <w:b/>
          <w:bCs/>
          <w:color w:val="000000"/>
          <w:kern w:val="0"/>
          <w:sz w:val="18"/>
          <w:szCs w:val="18"/>
        </w:rPr>
      </w:pPr>
      <w:r>
        <w:rPr>
          <w:rFonts w:hAnsi="黑体" w:eastAsia="黑体"/>
          <w:color w:val="000000"/>
          <w:kern w:val="0"/>
          <w:sz w:val="32"/>
          <w:szCs w:val="32"/>
        </w:rPr>
        <w:t>附件</w:t>
      </w:r>
      <w:r>
        <w:rPr>
          <w:rFonts w:eastAsia="黑体"/>
          <w:color w:val="000000"/>
          <w:kern w:val="0"/>
          <w:sz w:val="32"/>
          <w:szCs w:val="32"/>
        </w:rPr>
        <w:t>1</w:t>
      </w:r>
      <w:r>
        <w:rPr>
          <w:rFonts w:eastAsia="黑体"/>
          <w:b/>
          <w:bCs/>
          <w:color w:val="000000"/>
          <w:kern w:val="0"/>
          <w:sz w:val="32"/>
          <w:szCs w:val="32"/>
        </w:rPr>
        <w:t xml:space="preserve">                 </w:t>
      </w:r>
    </w:p>
    <w:p>
      <w:pPr>
        <w:widowControl/>
        <w:spacing w:line="360" w:lineRule="exact"/>
        <w:jc w:val="center"/>
        <w:rPr>
          <w:rFonts w:eastAsia="方正小标宋简体"/>
          <w:bCs/>
          <w:color w:val="000000"/>
          <w:kern w:val="0"/>
          <w:sz w:val="36"/>
          <w:szCs w:val="36"/>
        </w:rPr>
      </w:pPr>
      <w:r>
        <w:rPr>
          <w:rFonts w:eastAsia="方正小标宋简体"/>
          <w:bCs/>
          <w:color w:val="000000"/>
          <w:kern w:val="0"/>
          <w:sz w:val="36"/>
          <w:szCs w:val="36"/>
        </w:rPr>
        <w:t>四川省物业服务企业基础信息量化分级标准</w:t>
      </w:r>
    </w:p>
    <w:p>
      <w:pPr>
        <w:widowControl/>
        <w:spacing w:line="360" w:lineRule="exact"/>
        <w:jc w:val="left"/>
        <w:rPr>
          <w:rFonts w:eastAsia="仿宋_GB2312"/>
          <w:b/>
          <w:bCs/>
          <w:color w:val="000000"/>
          <w:sz w:val="18"/>
          <w:szCs w:val="18"/>
        </w:rPr>
      </w:pPr>
    </w:p>
    <w:tbl>
      <w:tblPr>
        <w:tblStyle w:val="3"/>
        <w:tblpPr w:leftFromText="180" w:rightFromText="180" w:vertAnchor="text" w:horzAnchor="margin" w:tblpY="54"/>
        <w:tblW w:w="141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620"/>
        <w:gridCol w:w="2520"/>
        <w:gridCol w:w="8460"/>
        <w:gridCol w:w="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序号</w:t>
            </w:r>
          </w:p>
        </w:tc>
        <w:tc>
          <w:tcPr>
            <w:tcW w:w="4140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基础信息</w:t>
            </w:r>
          </w:p>
        </w:tc>
        <w:tc>
          <w:tcPr>
            <w:tcW w:w="8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评分内容与标准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</w:rPr>
            </w:pPr>
            <w:r>
              <w:rPr>
                <w:rFonts w:eastAsia="仿宋_GB2312"/>
                <w:b/>
                <w:color w:val="000000"/>
                <w:sz w:val="24"/>
              </w:rPr>
              <w:t>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" w:hRule="atLeast"/>
        </w:trPr>
        <w:tc>
          <w:tcPr>
            <w:tcW w:w="64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1</w:t>
            </w:r>
          </w:p>
        </w:tc>
        <w:tc>
          <w:tcPr>
            <w:tcW w:w="16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注册情况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（60分）</w:t>
            </w:r>
          </w:p>
        </w:tc>
        <w:tc>
          <w:tcPr>
            <w:tcW w:w="252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注册信息（60分）</w:t>
            </w:r>
          </w:p>
        </w:tc>
        <w:tc>
          <w:tcPr>
            <w:tcW w:w="846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按信用信息系统平台设置填报，主要包括企业工商登记信息、管理人员、技术人员信息等，企业填报及时、完整、准确，得分60分。</w:t>
            </w:r>
          </w:p>
        </w:tc>
        <w:tc>
          <w:tcPr>
            <w:tcW w:w="89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648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2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人员情况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（5分）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企业专业管理技术人员（5分）</w:t>
            </w:r>
          </w:p>
        </w:tc>
        <w:tc>
          <w:tcPr>
            <w:tcW w:w="846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企业有工程、管理、经济等相关专业中级以上职称人员5人（含）得2分，5人-10人（含）得3分，10人-15人（含）得4分，15人以上得5分。以缴纳社会保险的人数为准。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48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3</w:t>
            </w:r>
          </w:p>
        </w:tc>
        <w:tc>
          <w:tcPr>
            <w:tcW w:w="1620" w:type="dxa"/>
            <w:vMerge w:val="restart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经营情况（15分）</w:t>
            </w: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物业服务项目规模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（5分）</w:t>
            </w:r>
          </w:p>
        </w:tc>
        <w:tc>
          <w:tcPr>
            <w:tcW w:w="846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1-5个项目（含）或面积在50万平方米（含）以下得2分，6-10个项目（含）或面积在50万平方米-100万平方米（含）得3分，11-20个项目（含）或面积在100万平方米-150万平方米（含）得4分， 21个项目</w:t>
            </w:r>
            <w:r>
              <w:rPr>
                <w:rFonts w:hint="eastAsia" w:eastAsia="仿宋_GB2312"/>
                <w:color w:val="000000"/>
                <w:sz w:val="22"/>
                <w:szCs w:val="21"/>
              </w:rPr>
              <w:t>（含）</w:t>
            </w:r>
            <w:r>
              <w:rPr>
                <w:rFonts w:eastAsia="仿宋_GB2312"/>
                <w:color w:val="000000"/>
                <w:sz w:val="22"/>
                <w:szCs w:val="21"/>
              </w:rPr>
              <w:t>以上或面积150万平方米以上得5分。以物业服务合同数量或面积为准；物业服务合同到期业主</w:t>
            </w:r>
            <w:r>
              <w:rPr>
                <w:rFonts w:hint="eastAsia" w:eastAsia="仿宋_GB2312"/>
                <w:color w:val="000000"/>
                <w:sz w:val="22"/>
                <w:szCs w:val="21"/>
              </w:rPr>
              <w:t>大</w:t>
            </w:r>
            <w:r>
              <w:rPr>
                <w:rFonts w:eastAsia="仿宋_GB2312"/>
                <w:color w:val="000000"/>
                <w:sz w:val="22"/>
                <w:szCs w:val="21"/>
              </w:rPr>
              <w:t>会未选聘新的物业服务企业，由社区居（村）</w:t>
            </w:r>
            <w:r>
              <w:rPr>
                <w:rFonts w:hint="eastAsia" w:eastAsia="仿宋_GB2312"/>
                <w:color w:val="000000"/>
                <w:sz w:val="22"/>
                <w:szCs w:val="21"/>
              </w:rPr>
              <w:t>民</w:t>
            </w:r>
            <w:r>
              <w:rPr>
                <w:rFonts w:eastAsia="仿宋_GB2312"/>
                <w:color w:val="000000"/>
                <w:sz w:val="22"/>
                <w:szCs w:val="21"/>
              </w:rPr>
              <w:t>委员会提供的事实合同证明为准。按项目个数、面积就高计算原则。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物业服务主营业务收入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（5分）</w:t>
            </w:r>
          </w:p>
        </w:tc>
        <w:tc>
          <w:tcPr>
            <w:tcW w:w="846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10万元-500万元（含）得1分，500万元-1000万元（含）得2分，1000万元-5000万元（含）得3分，5000万元-1亿元（含）得4分,1亿元以上得5分。以公司账户银行流水凭证或银行证明为准。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" w:hRule="atLeast"/>
        </w:trPr>
        <w:tc>
          <w:tcPr>
            <w:tcW w:w="648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</w:p>
        </w:tc>
        <w:tc>
          <w:tcPr>
            <w:tcW w:w="252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物业服务纳税额</w:t>
            </w:r>
          </w:p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（5分）</w:t>
            </w:r>
          </w:p>
        </w:tc>
        <w:tc>
          <w:tcPr>
            <w:tcW w:w="8460" w:type="dxa"/>
            <w:noWrap w:val="0"/>
            <w:vAlign w:val="center"/>
          </w:tcPr>
          <w:p>
            <w:pPr>
              <w:spacing w:line="300" w:lineRule="exact"/>
              <w:rPr>
                <w:rFonts w:eastAsia="仿宋_GB2312"/>
                <w:color w:val="000000"/>
                <w:sz w:val="22"/>
                <w:szCs w:val="21"/>
              </w:rPr>
            </w:pPr>
            <w:r>
              <w:rPr>
                <w:rFonts w:eastAsia="仿宋_GB2312"/>
                <w:color w:val="000000"/>
                <w:sz w:val="22"/>
                <w:szCs w:val="21"/>
              </w:rPr>
              <w:t>1万元-50万元（含）得1分，50万元-100万元（含）得2分，100万元-150万元（含）得3分，150万元-200万元（含）得4分,200万元以上得5分。以税务机关出具的纳税证明或凭证为准。</w:t>
            </w:r>
          </w:p>
        </w:tc>
        <w:tc>
          <w:tcPr>
            <w:tcW w:w="894" w:type="dxa"/>
            <w:noWrap w:val="0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color w:val="000000"/>
                <w:szCs w:val="21"/>
              </w:rPr>
            </w:pPr>
          </w:p>
        </w:tc>
      </w:tr>
    </w:tbl>
    <w:p>
      <w:pPr>
        <w:tabs>
          <w:tab w:val="left" w:pos="285"/>
        </w:tabs>
        <w:spacing w:line="580" w:lineRule="exact"/>
        <w:jc w:val="left"/>
        <w:rPr>
          <w:rFonts w:eastAsia="仿宋_GB2312"/>
          <w:color w:val="000000"/>
          <w:sz w:val="22"/>
          <w:szCs w:val="21"/>
        </w:rPr>
      </w:pPr>
      <w:r>
        <w:rPr>
          <w:rFonts w:eastAsia="仿宋_GB2312"/>
          <w:color w:val="000000"/>
          <w:sz w:val="22"/>
        </w:rPr>
        <w:t>备注：经</w:t>
      </w:r>
      <w:r>
        <w:rPr>
          <w:rFonts w:eastAsia="仿宋_GB2312"/>
          <w:color w:val="000000"/>
          <w:sz w:val="22"/>
          <w:szCs w:val="21"/>
        </w:rPr>
        <w:t>发现并核实一项虚假信息，此项不计分，且总分扣2分，以此类推。</w: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605FE3"/>
    <w:rsid w:val="5F60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2020-02-27T09:07:00Z</dcterms:created>
  <dc:creator>憬翛</dc:creator>
  <cp:lastModifiedBy>憬翛</cp:lastModifiedBy>
  <dcterms:modified xsi:type="dcterms:W3CDTF">2020-02-27T09:07:21Z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