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ascii="Times New Roman" w:hAnsi="Times New Roman" w:eastAsia="仿宋_GB2312"/>
          <w:kern w:val="0"/>
          <w:sz w:val="32"/>
          <w:szCs w:val="32"/>
        </w:rPr>
      </w:pPr>
      <w:r>
        <w:rPr>
          <w:rFonts w:ascii="Times New Roman" w:hAnsi="Times New Roman" w:eastAsia="方正小标宋简体"/>
          <w:bCs/>
          <w:sz w:val="44"/>
          <w:szCs w:val="44"/>
        </w:rPr>
        <w:t>农民工工资保证金存款协议书（样本）</w:t>
      </w:r>
    </w:p>
    <w:p>
      <w:pPr>
        <w:ind w:firstLine="640" w:firstLineChars="200"/>
        <w:rPr>
          <w:rFonts w:ascii="Times New Roman" w:hAnsi="Times New Roman" w:eastAsia="仿宋_GB2312"/>
          <w:kern w:val="0"/>
          <w:sz w:val="32"/>
          <w:szCs w:val="32"/>
        </w:rPr>
      </w:pP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做好农民工工资保证金监管，根据《保障农民工工资支付条例》和《工程建设领域农民工工资保证金规定》，农民工工资保证金存储企业和银行就农民工工资保证金（以下简称工资保证金）的管理事项达成以下协议：</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工资保证金存储企业（以下简称存储企业）依法缴存保障为其承包工程提供劳动的农民工工资报酬权益的保证金，除发生《工程建设领域农民工工资保证金规定》第十九条的情形外，任何单位和个人不得使用工资保证金。</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二、存储企业承诺按照《工程建设领域农民工工资保证金规定》及本地区确定的具体缴存比例存储（补足）工资保证金，银行对存储（补足）是否足额不承担审查义务。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三、银行对存储企业缴存的工资保证金，根据存储企业选择需要，按照活期或定期存款进行管理，本金和全部利息收入归存储企业所有。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四、存储企业不得以缴纳工资保证金的有关凭证设定担保，银行应在出具的工资保证金有关凭证上注明“专用款项不得担保”字样。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五、工资保证金使用按照如下方式执行：</w:t>
      </w:r>
    </w:p>
    <w:p>
      <w:pPr>
        <w:tabs>
          <w:tab w:val="left" w:pos="5970"/>
        </w:tabs>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工程建设领域农民工工资保证金规定》第十九条情形需要使用工资保证金，工程项目所在地的监管工资保证金的人力资源社会保障行政部门（以下简称人力资源社会保障部门）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pPr>
        <w:tabs>
          <w:tab w:val="left" w:pos="5970"/>
        </w:tabs>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非以上规定的情形而出现工资保证金减少，银行应承担补足责任，但因有权机关依法查封、冻结、划拨的除外。</w:t>
      </w:r>
    </w:p>
    <w:p>
      <w:pPr>
        <w:tabs>
          <w:tab w:val="left" w:pos="5970"/>
        </w:tabs>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对超出存储企业实际缴存的工资保证金数额的，银行不承担任何支付义务。</w:t>
      </w:r>
    </w:p>
    <w:p>
      <w:pPr>
        <w:tabs>
          <w:tab w:val="left" w:pos="5970"/>
        </w:tabs>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六、工资保证金使用后3个工作日内，银行应将工资保证金使用的有关情况通知存储企业和人力资源社会保障部门。</w:t>
      </w:r>
    </w:p>
    <w:p>
      <w:pPr>
        <w:tabs>
          <w:tab w:val="left" w:pos="5970"/>
        </w:tabs>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七、银行应每季度出具工资保证金存款对账单一式两份，分别发送给存储企业和人力资源社会保障部门。</w:t>
      </w:r>
    </w:p>
    <w:p>
      <w:pPr>
        <w:tabs>
          <w:tab w:val="left" w:pos="5970"/>
        </w:tabs>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八、本协议一式两份，存储企业和银行各存一份</w:t>
      </w:r>
      <w:r>
        <w:rPr>
          <w:rFonts w:hint="eastAsia" w:ascii="仿宋_GB2312" w:hAnsi="仿宋_GB2312" w:eastAsia="仿宋_GB2312" w:cs="仿宋_GB2312"/>
          <w:kern w:val="0"/>
          <w:sz w:val="32"/>
          <w:szCs w:val="32"/>
          <w:lang w:eastAsia="zh-CN"/>
        </w:rPr>
        <w:t>，并上传</w:t>
      </w:r>
      <w:r>
        <w:rPr>
          <w:rFonts w:hint="eastAsia" w:ascii="Times New Roman" w:hAnsi="Times New Roman" w:eastAsia="仿宋_GB2312" w:cs="Times New Roman"/>
          <w:color w:val="222222"/>
          <w:sz w:val="32"/>
          <w:szCs w:val="32"/>
        </w:rPr>
        <w:t>成都市农民工工资保证金管理平台</w:t>
      </w:r>
      <w:r>
        <w:rPr>
          <w:rFonts w:hint="eastAsia" w:ascii="仿宋_GB2312" w:hAnsi="仿宋_GB2312" w:eastAsia="仿宋_GB2312" w:cs="仿宋_GB2312"/>
          <w:kern w:val="0"/>
          <w:sz w:val="32"/>
          <w:szCs w:val="32"/>
        </w:rPr>
        <w:t>。</w:t>
      </w:r>
      <w:bookmarkStart w:id="0" w:name="_GoBack"/>
      <w:bookmarkEnd w:id="0"/>
    </w:p>
    <w:p>
      <w:pPr>
        <w:tabs>
          <w:tab w:val="left" w:pos="5970"/>
        </w:tabs>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附注一：工程项目基本信息（项目名称、项目所在地、施工合同期限、施工合同造价、存储比例等）</w:t>
      </w:r>
    </w:p>
    <w:p>
      <w:pPr>
        <w:tabs>
          <w:tab w:val="left" w:pos="5970"/>
        </w:tabs>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附注二：存款金额</w:t>
      </w:r>
    </w:p>
    <w:p>
      <w:pPr>
        <w:tabs>
          <w:tab w:val="left" w:pos="5970"/>
        </w:tabs>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存款金额：    佰  拾  万  千  佰  拾  元  角  分</w:t>
      </w:r>
    </w:p>
    <w:p>
      <w:pPr>
        <w:tabs>
          <w:tab w:val="left" w:pos="5970"/>
        </w:tabs>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小写：</w:t>
      </w:r>
    </w:p>
    <w:p>
      <w:pPr>
        <w:tabs>
          <w:tab w:val="left" w:pos="5970"/>
        </w:tabs>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附注三：人力资源社会保障部门、存储企业和开户银行基本信息</w:t>
      </w:r>
    </w:p>
    <w:p>
      <w:pPr>
        <w:tabs>
          <w:tab w:val="left" w:pos="5970"/>
        </w:tabs>
        <w:rPr>
          <w:rFonts w:hint="eastAsia" w:ascii="仿宋_GB2312" w:hAnsi="仿宋_GB2312" w:eastAsia="仿宋_GB2312" w:cs="仿宋_GB2312"/>
          <w:kern w:val="0"/>
          <w:sz w:val="32"/>
          <w:szCs w:val="32"/>
        </w:rPr>
      </w:pPr>
    </w:p>
    <w:p>
      <w:pPr>
        <w:tabs>
          <w:tab w:val="left" w:pos="5970"/>
        </w:tabs>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人力资源社会保障部门：</w:t>
      </w:r>
    </w:p>
    <w:p>
      <w:pPr>
        <w:tabs>
          <w:tab w:val="left" w:pos="5970"/>
        </w:tabs>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通信地址及邮编：</w:t>
      </w:r>
    </w:p>
    <w:p>
      <w:pPr>
        <w:tabs>
          <w:tab w:val="left" w:pos="5970"/>
        </w:tabs>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联系人：</w:t>
      </w:r>
    </w:p>
    <w:p>
      <w:pPr>
        <w:tabs>
          <w:tab w:val="left" w:pos="5970"/>
        </w:tabs>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w:t>
      </w:r>
    </w:p>
    <w:p>
      <w:pPr>
        <w:tabs>
          <w:tab w:val="left" w:pos="5970"/>
        </w:tabs>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传真：</w:t>
      </w:r>
    </w:p>
    <w:p>
      <w:pPr>
        <w:tabs>
          <w:tab w:val="left" w:pos="5970"/>
        </w:tabs>
        <w:rPr>
          <w:rFonts w:hint="eastAsia" w:ascii="仿宋_GB2312" w:hAnsi="仿宋_GB2312" w:eastAsia="仿宋_GB2312" w:cs="仿宋_GB2312"/>
          <w:kern w:val="0"/>
          <w:sz w:val="32"/>
          <w:szCs w:val="32"/>
        </w:rPr>
      </w:pPr>
    </w:p>
    <w:p>
      <w:pPr>
        <w:tabs>
          <w:tab w:val="left" w:pos="5970"/>
        </w:tabs>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存储企业：                  开户银行：</w:t>
      </w:r>
    </w:p>
    <w:p>
      <w:pPr>
        <w:tabs>
          <w:tab w:val="left" w:pos="5970"/>
        </w:tabs>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          通信地址及邮编：</w:t>
      </w:r>
    </w:p>
    <w:p>
      <w:pPr>
        <w:tabs>
          <w:tab w:val="left" w:pos="5970"/>
        </w:tabs>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通信地址及邮编：            联系人：</w:t>
      </w:r>
    </w:p>
    <w:p>
      <w:pPr>
        <w:tabs>
          <w:tab w:val="left" w:pos="5970"/>
        </w:tabs>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                    电话：</w:t>
      </w:r>
    </w:p>
    <w:p>
      <w:pPr>
        <w:tabs>
          <w:tab w:val="left" w:pos="5970"/>
        </w:tabs>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                      传真：</w:t>
      </w:r>
    </w:p>
    <w:p>
      <w:pPr>
        <w:tabs>
          <w:tab w:val="left" w:pos="5970"/>
        </w:tabs>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传真：</w:t>
      </w:r>
    </w:p>
    <w:p>
      <w:pPr>
        <w:tabs>
          <w:tab w:val="left" w:pos="5970"/>
        </w:tabs>
        <w:rPr>
          <w:rFonts w:hint="eastAsia" w:ascii="仿宋_GB2312" w:hAnsi="仿宋_GB2312" w:eastAsia="仿宋_GB2312" w:cs="仿宋_GB2312"/>
          <w:kern w:val="0"/>
          <w:sz w:val="32"/>
          <w:szCs w:val="32"/>
        </w:rPr>
      </w:pPr>
    </w:p>
    <w:p>
      <w:pPr>
        <w:tabs>
          <w:tab w:val="left" w:pos="5970"/>
        </w:tabs>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存储企业                    开户银行</w:t>
      </w:r>
    </w:p>
    <w:p>
      <w:pPr>
        <w:tabs>
          <w:tab w:val="left" w:pos="5970"/>
        </w:tabs>
        <w:ind w:firstLine="320" w:firstLineChars="1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（盖       章）                   （盖        章）</w:t>
      </w:r>
    </w:p>
    <w:p>
      <w:pPr>
        <w:tabs>
          <w:tab w:val="left" w:pos="5970"/>
        </w:tabs>
        <w:rPr>
          <w:rFonts w:hint="eastAsia" w:ascii="仿宋_GB2312" w:hAnsi="仿宋_GB2312" w:eastAsia="仿宋_GB2312" w:cs="仿宋_GB2312"/>
          <w:kern w:val="0"/>
          <w:sz w:val="32"/>
          <w:szCs w:val="32"/>
        </w:rPr>
      </w:pPr>
    </w:p>
    <w:p>
      <w:pPr>
        <w:tabs>
          <w:tab w:val="left" w:pos="5970"/>
        </w:tabs>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法定代表人或授权代表人      法定代表人或授权代表人</w:t>
      </w:r>
    </w:p>
    <w:p>
      <w:pPr>
        <w:tabs>
          <w:tab w:val="left" w:pos="5970"/>
        </w:tabs>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（签字）                     （签字）</w:t>
      </w:r>
    </w:p>
    <w:p>
      <w:pPr>
        <w:tabs>
          <w:tab w:val="left" w:pos="5970"/>
        </w:tabs>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签字时间：                 签字时间：</w:t>
      </w:r>
    </w:p>
    <w:p>
      <w:pPr>
        <w:rPr>
          <w:rFonts w:hint="eastAsia" w:ascii="仿宋_GB2312" w:hAnsi="仿宋_GB2312" w:eastAsia="仿宋_GB2312" w:cs="仿宋_GB2312"/>
        </w:rPr>
      </w:pPr>
    </w:p>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注：样本仅供参考，企业可根据本《规定》并结合银行监管和业务管理要求修订使用</w:t>
      </w:r>
    </w:p>
    <w:p>
      <w:pPr>
        <w:spacing w:line="600" w:lineRule="exact"/>
        <w:jc w:val="left"/>
      </w:pPr>
    </w:p>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30</w:t>
                          </w:r>
                          <w:r>
                            <w:rPr>
                              <w:rFonts w:ascii="Times New Roman" w:hAnsi="Times New Roman"/>
                              <w:sz w:val="28"/>
                              <w:szCs w:val="28"/>
                            </w:rPr>
                            <w:fldChar w:fldCharType="end"/>
                          </w:r>
                          <w:r>
                            <w:rPr>
                              <w:rFonts w:hint="eastAsia" w:ascii="Times New Roman" w:hAnsi="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30</w:t>
                    </w:r>
                    <w:r>
                      <w:rPr>
                        <w:rFonts w:ascii="Times New Roman" w:hAnsi="Times New Roman"/>
                        <w:sz w:val="28"/>
                        <w:szCs w:val="28"/>
                      </w:rPr>
                      <w:fldChar w:fldCharType="end"/>
                    </w:r>
                    <w:r>
                      <w:rPr>
                        <w:rFonts w:hint="eastAsia"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MDg0ZTI4YTBiMmM1ZGM4MzljOTM0YTQ2OTQ5ZjEifQ=="/>
  </w:docVars>
  <w:rsids>
    <w:rsidRoot w:val="4B3E0E79"/>
    <w:rsid w:val="1C5154CE"/>
    <w:rsid w:val="4B3E0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rPr>
      <w:szCs w:val="24"/>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footnote text"/>
    <w:basedOn w:val="1"/>
    <w:next w:val="4"/>
    <w:qFormat/>
    <w:uiPriority w:val="0"/>
    <w:pPr>
      <w:snapToGrid w:val="0"/>
      <w:jc w:val="left"/>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0"/>
    <w:rPr>
      <w:b/>
      <w:bCs/>
    </w:rPr>
  </w:style>
  <w:style w:type="paragraph" w:customStyle="1" w:styleId="10">
    <w:name w:val="列出段落1"/>
    <w:basedOn w:val="1"/>
    <w:qFormat/>
    <w:uiPriority w:val="34"/>
    <w:pPr>
      <w:ind w:firstLine="420" w:firstLineChars="200"/>
    </w:pPr>
  </w:style>
  <w:style w:type="paragraph" w:customStyle="1" w:styleId="11">
    <w:name w:val="NormalIndent"/>
    <w:qFormat/>
    <w:uiPriority w:val="0"/>
    <w:pPr>
      <w:widowControl w:val="0"/>
      <w:spacing w:line="600" w:lineRule="exact"/>
      <w:ind w:firstLine="420" w:firstLineChars="200"/>
      <w:jc w:val="both"/>
      <w:textAlignment w:val="baseline"/>
    </w:pPr>
    <w:rPr>
      <w:rFonts w:ascii="Times New Roman" w:hAnsi="Times New Roman" w:eastAsia="方正仿宋简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2023-10-16T07:25:00Z</dcterms:created>
  <dc:creator>波妞</dc:creator>
  <cp:lastModifiedBy>半熟</cp:lastModifiedBy>
  <dcterms:modified xsi:type="dcterms:W3CDTF">2023-10-17T05:40:25Z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F58C1DF6165A43B9AC85D8BD0E915108_11</vt:lpwstr>
  </property>
</Properties>
</file>