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附件</w:t>
      </w:r>
    </w:p>
    <w:p>
      <w:pPr>
        <w:widowControl/>
        <w:spacing w:line="600" w:lineRule="exact"/>
        <w:jc w:val="center"/>
        <w:rPr>
          <w:rFonts w:hint="eastAsia" w:ascii="方正小标宋简体" w:hAnsi="楷体" w:eastAsia="方正小标宋简体" w:cs="小标宋"/>
          <w:sz w:val="44"/>
          <w:szCs w:val="44"/>
          <w:lang w:bidi="ar"/>
        </w:rPr>
      </w:pPr>
      <w:r>
        <w:rPr>
          <w:rFonts w:hint="eastAsia" w:ascii="方正小标宋简体" w:hAnsi="楷体" w:eastAsia="方正小标宋简体" w:cs="小标宋"/>
          <w:sz w:val="44"/>
          <w:szCs w:val="44"/>
          <w:lang w:bidi="ar"/>
        </w:rPr>
        <w:t>珠海市全面开展工程建设项目审批</w:t>
      </w:r>
    </w:p>
    <w:p>
      <w:pPr>
        <w:widowControl/>
        <w:spacing w:line="600" w:lineRule="exact"/>
        <w:jc w:val="center"/>
        <w:rPr>
          <w:rFonts w:hint="eastAsia" w:ascii="方正小标宋简体" w:hAnsi="楷体" w:eastAsia="方正小标宋简体" w:cs="小标宋"/>
          <w:sz w:val="44"/>
          <w:szCs w:val="44"/>
          <w:lang w:bidi="ar"/>
        </w:rPr>
      </w:pPr>
      <w:r>
        <w:rPr>
          <w:rFonts w:hint="eastAsia" w:ascii="方正小标宋简体" w:hAnsi="楷体" w:eastAsia="方正小标宋简体" w:cs="小标宋"/>
          <w:sz w:val="44"/>
          <w:szCs w:val="44"/>
          <w:lang w:bidi="ar"/>
        </w:rPr>
        <w:t>制度改革任务分解表</w:t>
      </w:r>
    </w:p>
    <w:tbl>
      <w:tblPr>
        <w:tblStyle w:val="5"/>
        <w:tblW w:w="886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2"/>
        <w:gridCol w:w="487"/>
        <w:gridCol w:w="851"/>
        <w:gridCol w:w="504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黑体" w:hAnsi="宋体" w:eastAsia="黑体" w:cs="黑体"/>
                <w:bCs/>
                <w:szCs w:val="21"/>
              </w:rPr>
            </w:pPr>
            <w:r>
              <w:rPr>
                <w:rFonts w:hint="eastAsia" w:ascii="黑体" w:hAnsi="宋体" w:eastAsia="黑体" w:cs="黑体"/>
                <w:bCs/>
                <w:szCs w:val="21"/>
                <w:lang w:bidi="ar"/>
              </w:rPr>
              <w:t>序号</w:t>
            </w:r>
          </w:p>
        </w:tc>
        <w:tc>
          <w:tcPr>
            <w:tcW w:w="133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黑体" w:hAnsi="宋体" w:eastAsia="黑体" w:cs="黑体"/>
                <w:bCs/>
                <w:szCs w:val="21"/>
              </w:rPr>
            </w:pPr>
            <w:r>
              <w:rPr>
                <w:rFonts w:hint="eastAsia" w:ascii="黑体" w:hAnsi="宋体" w:eastAsia="黑体" w:cs="黑体"/>
                <w:bCs/>
                <w:szCs w:val="21"/>
                <w:lang w:bidi="ar"/>
              </w:rPr>
              <w:t>工作任务</w:t>
            </w:r>
          </w:p>
        </w:tc>
        <w:tc>
          <w:tcPr>
            <w:tcW w:w="504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黑体" w:hAnsi="宋体" w:eastAsia="黑体" w:cs="黑体"/>
                <w:bCs/>
                <w:szCs w:val="21"/>
              </w:rPr>
            </w:pPr>
            <w:r>
              <w:rPr>
                <w:rFonts w:hint="eastAsia" w:ascii="黑体" w:hAnsi="宋体" w:eastAsia="黑体" w:cs="黑体"/>
                <w:bCs/>
                <w:szCs w:val="21"/>
                <w:lang w:bidi="ar"/>
              </w:rPr>
              <w:t>具体措施和工作要求</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黑体" w:hAnsi="宋体" w:eastAsia="黑体" w:cs="黑体"/>
                <w:bCs/>
                <w:szCs w:val="21"/>
              </w:rPr>
            </w:pPr>
            <w:r>
              <w:rPr>
                <w:rFonts w:hint="eastAsia" w:ascii="黑体" w:hAnsi="宋体" w:eastAsia="黑体" w:cs="黑体"/>
                <w:bCs/>
                <w:szCs w:val="21"/>
                <w:lang w:bidi="ar"/>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1</w:t>
            </w:r>
          </w:p>
        </w:tc>
        <w:tc>
          <w:tcPr>
            <w:tcW w:w="48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both"/>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r>
              <w:rPr>
                <w:rFonts w:hint="eastAsia" w:ascii="宋体" w:hAnsi="宋体" w:eastAsia="等线"/>
                <w:bCs/>
                <w:szCs w:val="21"/>
                <w:lang w:bidi="ar"/>
              </w:rPr>
              <w:t>统一审批流程</w:t>
            </w: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r>
              <w:rPr>
                <w:rFonts w:hint="eastAsia" w:ascii="宋体" w:hAnsi="宋体" w:eastAsia="等线"/>
                <w:bCs/>
                <w:szCs w:val="21"/>
                <w:lang w:bidi="ar"/>
              </w:rPr>
              <w:t>统一审批流程</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优化审批事项</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综合采取“减、放、并、转、调、诺”等措施，全面清理优化工程建设项目审批事项。</w:t>
            </w: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月底前制定我市工程建设项目审批事项清单报省住建厅备案</w:t>
            </w:r>
          </w:p>
        </w:tc>
        <w:tc>
          <w:tcPr>
            <w:tcW w:w="1843" w:type="dxa"/>
            <w:vMerge w:val="restart"/>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市住房城乡建设局、市发改局、市政务服务数据管理局牵头，市有关部门配合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2</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进一步将部分市级审批事项下放或委托各区实施</w:t>
            </w:r>
            <w:r>
              <w:rPr>
                <w:rFonts w:hint="eastAsia" w:ascii="宋体" w:hAnsi="宋体" w:eastAsia="等线" w:cs="Times New Roman"/>
                <w:bCs/>
                <w:sz w:val="21"/>
                <w:szCs w:val="21"/>
                <w:shd w:val="clear" w:color="auto" w:fill="auto"/>
                <w:lang w:bidi="ar"/>
              </w:rPr>
              <w:t>。</w:t>
            </w:r>
            <w:r>
              <w:rPr>
                <w:rFonts w:hint="eastAsia" w:ascii="宋体" w:hAnsi="宋体" w:eastAsia="等线"/>
                <w:bCs/>
                <w:szCs w:val="21"/>
                <w:lang w:bidi="ar"/>
              </w:rPr>
              <w:t>对下放审批权限、合并审批、转变管理方式的事项，各部门要在</w:t>
            </w: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月底前制定配套制度，明确管理方式和有关要求；对调整审批时序的事项，要在审批流程图和办事指南中明确办理时序</w:t>
            </w:r>
          </w:p>
        </w:tc>
        <w:tc>
          <w:tcPr>
            <w:tcW w:w="1843"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3</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制定标准化审批流程</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将工程建设项目审批流程主要划分为立项用地规划许可、工程建设许可、施工许可、竣工验收四个阶段。按照“只少不多”的原则进一步优化审批阶段。</w:t>
            </w: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月底前，在实施方案中具体明确审批阶段划分以及各阶段主要审批环节和事项</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4</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根据项目类型、投资类别、规模大小等，进一步细化制定不同类型工程建设项目审批流程图</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5</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4</w:t>
            </w:r>
            <w:r>
              <w:rPr>
                <w:rFonts w:hint="eastAsia" w:ascii="宋体" w:hAnsi="宋体" w:eastAsia="等线"/>
                <w:bCs/>
                <w:szCs w:val="21"/>
                <w:lang w:bidi="ar"/>
              </w:rPr>
              <w:t>月底前，明确每个审批阶段的牵头部门，实行“一家牵头、并联审批、限时办结”。</w:t>
            </w:r>
            <w:r>
              <w:rPr>
                <w:rFonts w:hint="eastAsia" w:ascii="宋体" w:hAnsi="宋体" w:eastAsia="等线" w:cs="宋体"/>
                <w:bCs/>
                <w:szCs w:val="21"/>
                <w:lang w:bidi="ar"/>
              </w:rPr>
              <w:t>5</w:t>
            </w:r>
            <w:r>
              <w:rPr>
                <w:rFonts w:hint="eastAsia" w:ascii="宋体" w:hAnsi="宋体" w:eastAsia="等线"/>
                <w:bCs/>
                <w:szCs w:val="21"/>
                <w:lang w:bidi="ar"/>
              </w:rPr>
              <w:t>月底前，各阶段牵头部门制定并实施并联审批管理办法</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各阶段牵头部门牵头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6</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推行区域评估</w:t>
            </w:r>
          </w:p>
        </w:tc>
        <w:tc>
          <w:tcPr>
            <w:tcW w:w="5046" w:type="dxa"/>
            <w:tcBorders>
              <w:top w:val="single" w:color="auto"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6</w:t>
            </w:r>
            <w:r>
              <w:rPr>
                <w:rFonts w:hint="eastAsia" w:ascii="宋体" w:hAnsi="宋体" w:eastAsia="等线"/>
                <w:bCs/>
                <w:szCs w:val="21"/>
                <w:lang w:bidi="ar"/>
              </w:rPr>
              <w:t>月底前，制定区域评估工作指引实施细则，明确实施区域评估的主体、实施范围、内容、方式、事中事后监管措施等</w:t>
            </w:r>
          </w:p>
        </w:tc>
        <w:tc>
          <w:tcPr>
            <w:tcW w:w="1843" w:type="dxa"/>
            <w:tcBorders>
              <w:top w:val="single" w:color="auto"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各区政府、市自然资源局牵头，市有关部门配合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7</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建立项目策划生成和方案联合评审机制</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月底前，市发改局负责制定项目策划生成管理办法，明确如何统筹协调各部门提出建设条件以及需要开展的评估事项等内容。市自然资源局负责初步实现利用“多规合一”业务协同功能策划生成项目</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市发改局、市自然资源局牵头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8</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6</w:t>
            </w:r>
            <w:r>
              <w:rPr>
                <w:rFonts w:hint="eastAsia" w:ascii="宋体" w:hAnsi="宋体" w:eastAsia="等线"/>
                <w:bCs/>
                <w:szCs w:val="21"/>
                <w:lang w:bidi="ar"/>
              </w:rPr>
              <w:t>月底前，制定并实施工程建设方案联合评审制度，初步实现利用“多规合一”业务协同功能稳定工程建设方案</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市自然资源局牵头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9</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等线" w:cs="宋体"/>
                <w:bCs/>
                <w:szCs w:val="21"/>
              </w:rPr>
            </w:pPr>
            <w:r>
              <w:rPr>
                <w:rFonts w:hint="eastAsia" w:ascii="宋体" w:hAnsi="宋体" w:eastAsia="等线"/>
                <w:bCs/>
                <w:w w:val="100"/>
                <w:sz w:val="21"/>
                <w:szCs w:val="21"/>
                <w:lang w:bidi="ar"/>
              </w:rPr>
              <w:t>推行项目建设条件和管控要求清单制</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6</w:t>
            </w:r>
            <w:r>
              <w:rPr>
                <w:rFonts w:hint="eastAsia" w:ascii="宋体" w:hAnsi="宋体" w:eastAsia="等线"/>
                <w:bCs/>
                <w:szCs w:val="21"/>
                <w:lang w:bidi="ar"/>
              </w:rPr>
              <w:t>月底前，制定“土地资源和技术控制指标清单”制度，明确清单内容范围、实施方式和管理要求</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市自然资源局牵头，市有关部门配合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10</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简化项目立项和用地审批手续</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简化政府投资项目的项目建议书、可行性研究报告审批手续。备案类企业投资项目全部实行网上告知性备案</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市发展改革局牵头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11</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将划拨用地项目的选址意见书与用地预审、建设用地规划许可与建设用地批准手续同步办理</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市自然资源局牵头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12</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优化工程建设许可</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6</w:t>
            </w:r>
            <w:r>
              <w:rPr>
                <w:rFonts w:hint="eastAsia" w:ascii="宋体" w:hAnsi="宋体" w:eastAsia="等线"/>
                <w:bCs/>
                <w:szCs w:val="21"/>
                <w:lang w:bidi="ar"/>
              </w:rPr>
              <w:t>月底前，制定设计方案审查制度，落实相关优化措施</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市自然资源局牵头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13</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实行联合审图</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月底前，制定联合审图管理细则，明确审查内容、审查标准、审查方式和审查时限等</w:t>
            </w:r>
          </w:p>
        </w:tc>
        <w:tc>
          <w:tcPr>
            <w:tcW w:w="1843" w:type="dxa"/>
            <w:vMerge w:val="restart"/>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14</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9</w:t>
            </w:r>
            <w:r>
              <w:rPr>
                <w:rFonts w:hint="eastAsia" w:ascii="宋体" w:hAnsi="宋体" w:eastAsia="等线"/>
                <w:bCs/>
                <w:szCs w:val="21"/>
                <w:lang w:bidi="ar"/>
              </w:rPr>
              <w:t>月底前，推广运用省里统一建成的多审合一电子审图系统</w:t>
            </w:r>
          </w:p>
        </w:tc>
        <w:tc>
          <w:tcPr>
            <w:tcW w:w="1843"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15</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简化施工许可手续</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将质量监督登记手续与施工许可证核发合并办理。简化部分项目的施工许可申请材料</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16</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调整市政基础设施审批和报装时序</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在审批流程图和办事指南中明确市政基础设施审批事项以及供水、供电、燃气、排水、通信等市政公用基础设施报装手续的办理时序。6月底前，制定优化供水供电燃气排水通信广播电视等市政公用基础设施报装接入服务的指导意见</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市住房城乡建设局、市通信建设管理办公室、珠海供电局、珠海水控集团牵头，市有关部门配合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17</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实行限时联合验收和联合测绘</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月底前，制定联合验收管理办法实施细则，明确限时联合验收的牵头和参与部门、验收范围和标准、验收流程和时限等</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18</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6</w:t>
            </w:r>
            <w:r>
              <w:rPr>
                <w:rFonts w:hint="eastAsia" w:ascii="宋体" w:hAnsi="宋体" w:eastAsia="等线"/>
                <w:bCs/>
                <w:szCs w:val="21"/>
                <w:lang w:bidi="ar"/>
              </w:rPr>
              <w:t>月底前，落实省里统一制定的联合测绘制度，实现竣工验收涉及的测量“一次委托、联合测绘、成果共享”</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市自然资源局牵头，市关部门配合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19</w:t>
            </w:r>
          </w:p>
        </w:tc>
        <w:tc>
          <w:tcPr>
            <w:tcW w:w="48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统一信息数据平台</w:t>
            </w:r>
          </w:p>
        </w:tc>
        <w:tc>
          <w:tcPr>
            <w:tcW w:w="851" w:type="dxa"/>
            <w:vMerge w:val="restart"/>
            <w:tcBorders>
              <w:top w:val="single" w:color="000000" w:sz="4" w:space="0"/>
              <w:left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建立工程建设项目审批管理系统</w:t>
            </w:r>
          </w:p>
        </w:tc>
        <w:tc>
          <w:tcPr>
            <w:tcW w:w="5046" w:type="dxa"/>
            <w:tcBorders>
              <w:top w:val="single" w:color="000000" w:sz="4" w:space="0"/>
              <w:left w:val="single" w:color="000000" w:sz="4" w:space="0"/>
              <w:bottom w:val="single" w:color="auto"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6</w:t>
            </w:r>
            <w:r>
              <w:rPr>
                <w:rFonts w:hint="eastAsia" w:ascii="宋体" w:hAnsi="宋体" w:eastAsia="等线"/>
                <w:bCs/>
                <w:szCs w:val="21"/>
                <w:lang w:bidi="ar"/>
              </w:rPr>
              <w:t>月底前，初步建成市级工程建设项目审批管理系统，市级审批管理系统初步与国家、省管理系统对接；制定审批管理系统运行管理办法。</w:t>
            </w:r>
          </w:p>
        </w:tc>
        <w:tc>
          <w:tcPr>
            <w:tcW w:w="1843" w:type="dxa"/>
            <w:tcBorders>
              <w:top w:val="single" w:color="000000" w:sz="4" w:space="0"/>
              <w:left w:val="single" w:color="000000" w:sz="4" w:space="0"/>
              <w:bottom w:val="single" w:color="auto"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市政务服务数据管理局牵头，市有关部门配合。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eastAsia="等线" w:cs="宋体"/>
                <w:bCs/>
                <w:szCs w:val="21"/>
                <w:lang w:bidi="ar"/>
              </w:rPr>
            </w:pPr>
            <w:r>
              <w:rPr>
                <w:rFonts w:hint="eastAsia" w:ascii="宋体" w:hAnsi="宋体" w:eastAsia="等线" w:cs="宋体"/>
                <w:bCs/>
                <w:szCs w:val="21"/>
                <w:lang w:bidi="ar"/>
              </w:rPr>
              <w:t>20</w:t>
            </w:r>
          </w:p>
        </w:tc>
        <w:tc>
          <w:tcPr>
            <w:tcW w:w="487" w:type="dxa"/>
            <w:vMerge w:val="continue"/>
            <w:tcBorders>
              <w:left w:val="single" w:color="000000" w:sz="4" w:space="0"/>
              <w:right w:val="single" w:color="000000" w:sz="4" w:space="0"/>
            </w:tcBorders>
            <w:noWrap w:val="0"/>
            <w:vAlign w:val="center"/>
          </w:tcPr>
          <w:p>
            <w:pPr>
              <w:spacing w:line="320" w:lineRule="exact"/>
              <w:jc w:val="center"/>
              <w:rPr>
                <w:rFonts w:hint="eastAsia" w:ascii="宋体" w:hAnsi="宋体" w:eastAsia="等线"/>
                <w:bCs/>
                <w:szCs w:val="21"/>
                <w:lang w:bidi="ar"/>
              </w:rPr>
            </w:pPr>
          </w:p>
        </w:tc>
        <w:tc>
          <w:tcPr>
            <w:tcW w:w="851"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宋体" w:hAnsi="宋体" w:eastAsia="等线"/>
                <w:bCs/>
                <w:szCs w:val="21"/>
                <w:lang w:bidi="ar"/>
              </w:rPr>
            </w:pPr>
          </w:p>
        </w:tc>
        <w:tc>
          <w:tcPr>
            <w:tcW w:w="5046" w:type="dxa"/>
            <w:tcBorders>
              <w:top w:val="single" w:color="000000" w:sz="4" w:space="0"/>
              <w:left w:val="single" w:color="000000" w:sz="4" w:space="0"/>
              <w:bottom w:val="single" w:color="auto" w:sz="4" w:space="0"/>
              <w:right w:val="single" w:color="000000" w:sz="4" w:space="0"/>
            </w:tcBorders>
            <w:noWrap w:val="0"/>
            <w:vAlign w:val="top"/>
          </w:tcPr>
          <w:p>
            <w:pPr>
              <w:spacing w:line="320" w:lineRule="exact"/>
              <w:rPr>
                <w:rFonts w:hint="eastAsia" w:ascii="宋体" w:hAnsi="宋体" w:eastAsia="等线" w:cs="宋体"/>
                <w:bCs/>
                <w:szCs w:val="21"/>
                <w:lang w:bidi="ar"/>
              </w:rPr>
            </w:pPr>
            <w:r>
              <w:rPr>
                <w:rFonts w:hint="eastAsia" w:ascii="宋体" w:hAnsi="宋体" w:eastAsia="等线" w:cs="宋体"/>
                <w:bCs/>
                <w:szCs w:val="21"/>
                <w:lang w:bidi="ar"/>
              </w:rPr>
              <w:t>2019年10月底前，市级工程建设项目审批管理系统应</w:t>
            </w:r>
            <w:r>
              <w:rPr>
                <w:rFonts w:hint="eastAsia" w:ascii="宋体" w:hAnsi="宋体" w:eastAsia="等线"/>
                <w:bCs/>
                <w:szCs w:val="21"/>
                <w:lang w:bidi="ar"/>
              </w:rPr>
              <w:t>实现“多规合一”业务协同等功能</w:t>
            </w:r>
          </w:p>
        </w:tc>
        <w:tc>
          <w:tcPr>
            <w:tcW w:w="1843" w:type="dxa"/>
            <w:tcBorders>
              <w:top w:val="single" w:color="000000" w:sz="4" w:space="0"/>
              <w:left w:val="single" w:color="000000" w:sz="4" w:space="0"/>
              <w:bottom w:val="single" w:color="auto" w:sz="4" w:space="0"/>
              <w:right w:val="single" w:color="000000" w:sz="4" w:space="0"/>
            </w:tcBorders>
            <w:noWrap w:val="0"/>
            <w:vAlign w:val="top"/>
          </w:tcPr>
          <w:p>
            <w:pPr>
              <w:spacing w:line="320" w:lineRule="exact"/>
              <w:rPr>
                <w:rFonts w:ascii="宋体" w:hAnsi="宋体" w:eastAsia="等线"/>
                <w:bCs/>
                <w:szCs w:val="21"/>
                <w:lang w:bidi="ar"/>
              </w:rPr>
            </w:pPr>
            <w:r>
              <w:rPr>
                <w:rFonts w:hint="eastAsia" w:ascii="宋体" w:hAnsi="宋体" w:eastAsia="等线"/>
                <w:bCs/>
                <w:szCs w:val="21"/>
                <w:lang w:bidi="ar"/>
              </w:rPr>
              <w:t>市自然资源局、市政务服务数据管理局牵头，市有关部门配合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21</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完善信息共享应用</w:t>
            </w:r>
          </w:p>
        </w:tc>
        <w:tc>
          <w:tcPr>
            <w:tcW w:w="5046" w:type="dxa"/>
            <w:tcBorders>
              <w:top w:val="single" w:color="auto"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highlight w:val="yellow"/>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12</w:t>
            </w:r>
            <w:r>
              <w:rPr>
                <w:rFonts w:hint="eastAsia" w:ascii="宋体" w:hAnsi="宋体" w:eastAsia="等线"/>
                <w:bCs/>
                <w:szCs w:val="21"/>
                <w:lang w:bidi="ar"/>
              </w:rPr>
              <w:t>月底前，工程建设项目审批管理系统实现与一体化在线政务服务平台、网上中介服务超市、投资项目在线审批监管平台等相关系统平台互联互通</w:t>
            </w:r>
          </w:p>
        </w:tc>
        <w:tc>
          <w:tcPr>
            <w:tcW w:w="1843" w:type="dxa"/>
            <w:tcBorders>
              <w:top w:val="single" w:color="auto" w:sz="4" w:space="0"/>
              <w:left w:val="single" w:color="000000" w:sz="4" w:space="0"/>
              <w:bottom w:val="single" w:color="000000" w:sz="4" w:space="0"/>
              <w:right w:val="single" w:color="000000" w:sz="4" w:space="0"/>
            </w:tcBorders>
            <w:noWrap w:val="0"/>
            <w:vAlign w:val="top"/>
          </w:tcPr>
          <w:p>
            <w:pPr>
              <w:rPr>
                <w:rFonts w:ascii="Times New Roman" w:hAnsi="Times New Roman" w:eastAsia="Times New Roman"/>
                <w:sz w:val="20"/>
                <w:szCs w:val="20"/>
              </w:rPr>
            </w:pPr>
            <w:r>
              <w:rPr>
                <w:rFonts w:hint="eastAsia" w:ascii="宋体" w:hAnsi="宋体" w:eastAsia="等线"/>
                <w:bCs/>
                <w:szCs w:val="21"/>
                <w:lang w:bidi="ar"/>
              </w:rPr>
              <w:t>市政务服务数据管理局牵头，市有关部门配合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22</w:t>
            </w:r>
          </w:p>
        </w:tc>
        <w:tc>
          <w:tcPr>
            <w:tcW w:w="48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bCs/>
                <w:szCs w:val="21"/>
                <w:lang w:bidi="ar"/>
              </w:rPr>
            </w:pPr>
          </w:p>
          <w:p>
            <w:pPr>
              <w:spacing w:line="320" w:lineRule="exact"/>
              <w:jc w:val="center"/>
              <w:rPr>
                <w:rFonts w:hint="eastAsia" w:ascii="宋体" w:hAnsi="宋体" w:eastAsia="等线" w:cs="宋体"/>
                <w:bCs/>
                <w:szCs w:val="21"/>
              </w:rPr>
            </w:pPr>
            <w:r>
              <w:rPr>
                <w:rFonts w:hint="eastAsia" w:ascii="宋体" w:hAnsi="宋体" w:eastAsia="等线"/>
                <w:bCs/>
                <w:szCs w:val="21"/>
                <w:lang w:bidi="ar"/>
              </w:rPr>
              <w:t>统一审批管理体系</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“一张蓝图”统筹项目实施</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6月底前，全面梳理本地区各类规划与空间管控要素，明确“多规合一”包含的规划目录、建立“多规合一”协调机制、明确形成数据目录、统筹整合各类空间规划等事项完成的具体要求和时间节点。6月底前，基本形成“多规合一”的“一张蓝图”。</w:t>
            </w:r>
            <w:r>
              <w:rPr>
                <w:rFonts w:hint="eastAsia" w:ascii="宋体" w:hAnsi="宋体" w:eastAsia="等线" w:cs="宋体"/>
                <w:bCs/>
                <w:szCs w:val="21"/>
                <w:lang w:bidi="ar"/>
              </w:rPr>
              <w:t>9</w:t>
            </w:r>
            <w:r>
              <w:rPr>
                <w:rFonts w:hint="eastAsia" w:ascii="宋体" w:hAnsi="宋体" w:eastAsia="等线"/>
                <w:bCs/>
                <w:szCs w:val="21"/>
                <w:lang w:bidi="ar"/>
              </w:rPr>
              <w:t>月底前，基本完成差异图斑分析，制定消除空间规划矛盾和差异的工作计划。</w:t>
            </w:r>
            <w:r>
              <w:rPr>
                <w:rFonts w:hint="eastAsia" w:ascii="宋体" w:hAnsi="宋体" w:eastAsia="等线" w:cs="宋体"/>
                <w:bCs/>
                <w:szCs w:val="21"/>
                <w:lang w:bidi="ar"/>
              </w:rPr>
              <w:t>12</w:t>
            </w:r>
            <w:r>
              <w:rPr>
                <w:rFonts w:hint="eastAsia" w:ascii="宋体" w:hAnsi="宋体" w:eastAsia="等线"/>
                <w:bCs/>
                <w:szCs w:val="21"/>
                <w:lang w:bidi="ar"/>
              </w:rPr>
              <w:t>月底前，初步实现通过“一张蓝图”统筹安排年度项目</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市自然资源局牵头，市有关部门配合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23</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“一个窗口”提供综合服务</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省人民政府统一制定“一窗受理”工作规程，各地结合实际制定本地区的工作规程，建立完善“前台综合受理、后台分类审批、综合窗口出件”机制，明确加强政务服务大厅建设和线上线下“一个窗口”提供综合服务的具体措施和运行规则</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市政务服务数据管理局牵头，市有关部门配合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24</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月底前，整合设立工程建设项目审批综合服务窗口，实行“一窗通办”；市政公用服务全部进驻政务服务大厅，提供“一站式”服务，并实行服务承诺制，明确服务标准、办事流程和办理时限，规范服务收费</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各区、市政务服务数据管理局牵头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25</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月底前，制定并实施咨询辅导服务制度，提供咨询、指导、协调或代办等服务，帮助申请人了解审批要求，提高审批通过率</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各区、市政务服务数据管理局牵头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26</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“一张表单”整合申报材料</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年5月底前，各阶段牵头部门整合审批事项办事指南，将本阶段所有事项所需材料进行整合，制定一份办事指南、一张申请表单，由同一审批阶段内各审批部门共同使用，并建立完善审批清单服务机制</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各阶段牵头部门、市政务服务数据管理局牵头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27</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“一套机制”规范审批运行</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6</w:t>
            </w:r>
            <w:r>
              <w:rPr>
                <w:rFonts w:hint="eastAsia" w:ascii="宋体" w:hAnsi="宋体" w:eastAsia="等线"/>
                <w:bCs/>
                <w:szCs w:val="21"/>
                <w:lang w:bidi="ar"/>
              </w:rPr>
              <w:t>月底前，建立健全各审批阶段配套制度，以及牵头部门负责制、协调机制、督查制度、“多规合一”协同规则、工程建设项目审批管理系统运行规则、事中事后监管制度等，明晰工作规程，规范审批行为，并根据改革实践不断完善</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eastAsia="zh-CN" w:bidi="ar"/>
              </w:rPr>
              <w:t>各区、</w:t>
            </w:r>
            <w:r>
              <w:rPr>
                <w:rFonts w:hint="eastAsia" w:ascii="宋体" w:hAnsi="宋体" w:eastAsia="等线"/>
                <w:bCs/>
                <w:szCs w:val="21"/>
                <w:lang w:bidi="ar"/>
              </w:rPr>
              <w:t>市住房城乡建设局牵头，市有关部门配合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28</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12</w:t>
            </w:r>
            <w:r>
              <w:rPr>
                <w:rFonts w:hint="eastAsia" w:ascii="宋体" w:hAnsi="宋体" w:eastAsia="等线"/>
                <w:bCs/>
                <w:szCs w:val="21"/>
                <w:lang w:bidi="ar"/>
              </w:rPr>
              <w:t>月底前，省、地级以上市基本完成改革相关地方性法规、规章和规范性文件“立改废释”工作</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市司法局牵头，市有关部门配合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29</w:t>
            </w:r>
          </w:p>
        </w:tc>
        <w:tc>
          <w:tcPr>
            <w:tcW w:w="48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统一监管方式</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强化事中事后监管</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月底前，制定加强工程建设项目审批事中事后监管的相关制度和监督检查办法，明确监管的主要内容、方式和时间要求等</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各审批部门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eastAsia="等线" w:cs="宋体"/>
                <w:bCs/>
                <w:szCs w:val="21"/>
              </w:rPr>
            </w:pPr>
            <w:r>
              <w:rPr>
                <w:rFonts w:hint="eastAsia" w:ascii="宋体" w:hAnsi="宋体" w:eastAsia="等线" w:cs="宋体"/>
                <w:bCs/>
                <w:szCs w:val="21"/>
              </w:rPr>
              <w:t>30</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6</w:t>
            </w:r>
            <w:r>
              <w:rPr>
                <w:rFonts w:hint="eastAsia" w:ascii="宋体" w:hAnsi="宋体" w:eastAsia="等线"/>
                <w:bCs/>
                <w:szCs w:val="21"/>
                <w:lang w:bidi="ar"/>
              </w:rPr>
              <w:t>月底前，制定并公布告知承诺制事项清单和具体要求</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市发改局、市住房城乡建设局牵头，市有关部门配合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31</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强化信用管理</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6</w:t>
            </w:r>
            <w:r>
              <w:rPr>
                <w:rFonts w:hint="eastAsia" w:ascii="宋体" w:hAnsi="宋体" w:eastAsia="等线"/>
                <w:bCs/>
                <w:szCs w:val="21"/>
                <w:lang w:bidi="ar"/>
              </w:rPr>
              <w:t>月底前，依托工程建设项目审批管理系统建立审批信用信息平台，全面公开企业和从业人员的失信行为，加强监管联动，基本建立信用监管体系</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等线" w:cs="宋体"/>
                <w:bCs/>
                <w:szCs w:val="21"/>
              </w:rPr>
            </w:pPr>
            <w:r>
              <w:rPr>
                <w:rFonts w:hint="eastAsia" w:ascii="宋体" w:hAnsi="宋体" w:eastAsia="等线"/>
                <w:bCs/>
                <w:szCs w:val="21"/>
                <w:lang w:bidi="ar"/>
              </w:rPr>
              <w:t>市住房城乡建设局、市发改局牵头，市有关部门配合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32</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规范中介服务</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6</w:t>
            </w:r>
            <w:r>
              <w:rPr>
                <w:rFonts w:hint="eastAsia" w:ascii="宋体" w:hAnsi="宋体" w:eastAsia="等线"/>
                <w:bCs/>
                <w:szCs w:val="21"/>
                <w:lang w:bidi="ar"/>
              </w:rPr>
              <w:t>月底前，制定并实施中介服务管理制度，实行服务承诺制，明确服务标准、办事流程和办理时限，规范服务收费；推动工程建设项目审批相关中介服务机构进驻省网上中介服务超市，实现对工程建设项目涉及的中介服务行为的监管</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市政务服务数据管理局牵头，市有关部门配合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33</w:t>
            </w:r>
          </w:p>
        </w:tc>
        <w:tc>
          <w:tcPr>
            <w:tcW w:w="48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保障措施</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加强组织领导</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统筹改革工作的协调指导，建立上下联动的沟通反馈机制。各有关部门要按照各自职责加强协作、密切配合、主动作为，做好本次改革的顶层制度建设，共同推进落实各项改革任务</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34</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4月底前，成立以主要负责同志为组长的工程建设项目审批制度改革工作领导小组，相关负责同志和部门主要负责人为成员，明确议事规则，研究解决改革中的重大问题等，领导小组成员名单作为实施方案的附件</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35</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4</w:t>
            </w:r>
            <w:r>
              <w:rPr>
                <w:rFonts w:hint="eastAsia" w:ascii="宋体" w:hAnsi="宋体" w:eastAsia="等线"/>
                <w:bCs/>
                <w:szCs w:val="21"/>
                <w:lang w:bidi="ar"/>
              </w:rPr>
              <w:t>月底前，工程建设项目审批制度改革工作领导小组下设办公室，负责改革工作的协调组织和具体实施，建立健全工作制度，抽调与改革任务需要相适应数量的专门人员组成工作专班，负责改革各项具体工作</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36</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月底前，制定改革任务分解表，明确主要任务、工作目标、具体措施、牵头部门、完成时限等内容，并作为实施方案的附件</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37</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Times New Roman"/>
                <w:sz w:val="20"/>
                <w:szCs w:val="20"/>
              </w:rPr>
            </w:pP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加强督促落实</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月底前，研究建立督促检查机制和制定评估评价办法，建立以市场主体感受为重要指标的评估评价体系。</w:t>
            </w:r>
            <w:r>
              <w:rPr>
                <w:rFonts w:hint="eastAsia" w:ascii="宋体" w:hAnsi="宋体" w:eastAsia="等线" w:cs="宋体"/>
                <w:bCs/>
                <w:szCs w:val="21"/>
                <w:lang w:bidi="ar"/>
              </w:rPr>
              <w:t>11</w:t>
            </w:r>
            <w:r>
              <w:rPr>
                <w:rFonts w:hint="eastAsia" w:ascii="宋体" w:hAnsi="宋体" w:eastAsia="等线"/>
                <w:bCs/>
                <w:szCs w:val="21"/>
                <w:lang w:bidi="ar"/>
              </w:rPr>
              <w:t>月开展对改革工作的评估评价</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38</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加大对有关部门改革工作的跟踪监督</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39</w:t>
            </w:r>
          </w:p>
          <w:p>
            <w:pPr>
              <w:spacing w:line="320" w:lineRule="exact"/>
              <w:jc w:val="center"/>
              <w:rPr>
                <w:rFonts w:hint="eastAsia" w:ascii="宋体" w:hAnsi="宋体" w:eastAsia="等线" w:cs="宋体"/>
                <w:bCs/>
                <w:szCs w:val="21"/>
              </w:rPr>
            </w:pP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各部门建立改革公开制度，将实施方案、审批流程图、审批事项清单、改革配套制度、评估评价标准、改革进展、评估评价和投诉举报核查情况通过政府官网等方式向社会公开，接受社会监督</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eastAsia="等线" w:cs="宋体"/>
                <w:bCs/>
                <w:szCs w:val="21"/>
              </w:rPr>
            </w:pPr>
            <w:r>
              <w:rPr>
                <w:rFonts w:hint="eastAsia" w:ascii="宋体" w:hAnsi="宋体" w:eastAsia="等线" w:cs="宋体"/>
                <w:bCs/>
                <w:szCs w:val="21"/>
              </w:rPr>
              <w:t>40</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Times New Roman"/>
                <w:sz w:val="20"/>
                <w:szCs w:val="20"/>
              </w:rPr>
            </w:pP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bCs/>
                <w:szCs w:val="21"/>
                <w:lang w:bidi="ar"/>
              </w:rPr>
              <w:t>加强宣传培训</w:t>
            </w: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通过多种形式宣传报道改革政策措施、进展和成效，及时回应群众关切</w:t>
            </w:r>
          </w:p>
        </w:tc>
        <w:tc>
          <w:tcPr>
            <w:tcW w:w="1843" w:type="dxa"/>
            <w:vMerge w:val="restart"/>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bCs/>
                <w:szCs w:val="21"/>
                <w:lang w:bidi="ar"/>
              </w:rPr>
              <w:t>市住房城乡建设局牵头，市有关部门配合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等线" w:cs="宋体"/>
                <w:bCs/>
                <w:szCs w:val="21"/>
              </w:rPr>
            </w:pPr>
            <w:r>
              <w:rPr>
                <w:rFonts w:hint="eastAsia" w:ascii="宋体" w:hAnsi="宋体" w:eastAsia="等线" w:cs="宋体"/>
                <w:bCs/>
                <w:szCs w:val="21"/>
                <w:lang w:bidi="ar"/>
              </w:rPr>
              <w:t>41</w:t>
            </w: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Times New Roman"/>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Times New Roman"/>
                <w:sz w:val="20"/>
                <w:szCs w:val="20"/>
              </w:rPr>
            </w:pPr>
          </w:p>
        </w:tc>
        <w:tc>
          <w:tcPr>
            <w:tcW w:w="504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rPr>
                <w:rFonts w:hint="eastAsia" w:ascii="宋体" w:hAnsi="宋体" w:eastAsia="等线" w:cs="宋体"/>
                <w:bCs/>
                <w:szCs w:val="21"/>
              </w:rPr>
            </w:pPr>
            <w:r>
              <w:rPr>
                <w:rFonts w:hint="eastAsia" w:ascii="宋体" w:hAnsi="宋体" w:eastAsia="等线" w:cs="宋体"/>
                <w:bCs/>
                <w:szCs w:val="21"/>
                <w:lang w:bidi="ar"/>
              </w:rPr>
              <w:t>2019</w:t>
            </w:r>
            <w:r>
              <w:rPr>
                <w:rFonts w:hint="eastAsia" w:ascii="宋体" w:hAnsi="宋体" w:eastAsia="等线"/>
                <w:bCs/>
                <w:szCs w:val="21"/>
                <w:lang w:bidi="ar"/>
              </w:rPr>
              <w:t>年</w:t>
            </w:r>
            <w:r>
              <w:rPr>
                <w:rFonts w:hint="eastAsia" w:ascii="宋体" w:hAnsi="宋体" w:eastAsia="等线" w:cs="宋体"/>
                <w:bCs/>
                <w:szCs w:val="21"/>
                <w:lang w:bidi="ar"/>
              </w:rPr>
              <w:t>5</w:t>
            </w:r>
            <w:r>
              <w:rPr>
                <w:rFonts w:hint="eastAsia" w:ascii="宋体" w:hAnsi="宋体" w:eastAsia="等线"/>
                <w:bCs/>
                <w:szCs w:val="21"/>
                <w:lang w:bidi="ar"/>
              </w:rPr>
              <w:t>月底前，制定培训计划，确定培训内容和培训范围</w:t>
            </w:r>
          </w:p>
        </w:tc>
        <w:tc>
          <w:tcPr>
            <w:tcW w:w="1843"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Times New Roman"/>
                <w:sz w:val="20"/>
                <w:szCs w:val="20"/>
              </w:rPr>
            </w:pPr>
          </w:p>
        </w:tc>
      </w:tr>
    </w:tbl>
    <w:p>
      <w:pPr>
        <w:pStyle w:val="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 w:hAnsi="仿宋" w:eastAsia="仿宋"/>
          <w:w w:val="95"/>
          <w:sz w:val="32"/>
          <w:szCs w:val="32"/>
        </w:rPr>
      </w:pPr>
    </w:p>
    <w:p>
      <w:pPr>
        <w:pStyle w:val="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 w:hAnsi="仿宋" w:eastAsia="仿宋"/>
          <w:w w:val="95"/>
          <w:sz w:val="32"/>
          <w:szCs w:val="32"/>
        </w:rPr>
        <w:sectPr>
          <w:footerReference r:id="rId3" w:type="default"/>
          <w:pgSz w:w="11906" w:h="16838"/>
          <w:pgMar w:top="1928" w:right="1531" w:bottom="1928" w:left="1531" w:header="851" w:footer="1531" w:gutter="0"/>
          <w:cols w:space="720" w:num="1"/>
          <w:rtlGutter w:val="0"/>
          <w:docGrid w:type="lines" w:linePitch="324"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黑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C5C0A"/>
    <w:rsid w:val="6DAC5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2019-07-18T03:31:00Z</dcterms:created>
  <dc:creator>wenzhi</dc:creator>
  <cp:lastModifiedBy>wenzhi</cp:lastModifiedBy>
  <dcterms:modified xsi:type="dcterms:W3CDTF">2019-07-18T03:32:23Z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