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560" w:lineRule="exact"/>
        <w:ind w:left="0" w:leftChars="0"/>
        <w:rPr>
          <w:rFonts w:ascii="方正黑体_GBK" w:eastAsia="方正黑体_GBK"/>
        </w:rPr>
      </w:pPr>
      <w:r>
        <w:rPr>
          <w:rFonts w:hint="eastAsia" w:ascii="方正黑体_GBK" w:eastAsia="方正黑体_GBK"/>
        </w:rPr>
        <w:t>附件：</w:t>
      </w:r>
    </w:p>
    <w:p>
      <w:pPr>
        <w:adjustRightInd w:val="0"/>
        <w:snapToGrid w:val="0"/>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重庆市培育新时代建筑企业自有工人队伍</w:t>
      </w:r>
    </w:p>
    <w:p>
      <w:pPr>
        <w:adjustRightInd w:val="0"/>
        <w:snapToGrid w:val="0"/>
        <w:spacing w:line="560" w:lineRule="exact"/>
        <w:ind w:firstLine="880" w:firstLineChars="200"/>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试点工作方案</w:t>
      </w:r>
    </w:p>
    <w:p>
      <w:pPr>
        <w:pStyle w:val="8"/>
        <w:shd w:val="clear" w:color="auto" w:fill="FFFFFF"/>
        <w:adjustRightInd w:val="0"/>
        <w:snapToGrid w:val="0"/>
        <w:spacing w:beforeAutospacing="0" w:afterAutospacing="0" w:line="560" w:lineRule="exact"/>
        <w:ind w:firstLine="640" w:firstLineChars="200"/>
        <w:rPr>
          <w:rFonts w:ascii="方正仿宋_GBK" w:hAnsi="方正仿宋_GBK" w:eastAsia="方正仿宋_GBK" w:cs="方正仿宋_GBK"/>
          <w:sz w:val="32"/>
          <w:szCs w:val="32"/>
        </w:rPr>
      </w:pPr>
      <w:r>
        <w:rPr>
          <w:rFonts w:hint="eastAsia" w:ascii="方正仿宋_GBK" w:hAnsi="Times New Roman" w:eastAsia="方正仿宋_GBK"/>
          <w:sz w:val="32"/>
          <w:szCs w:val="32"/>
        </w:rPr>
        <w:t>为贯彻落实中共中央、国务院《新时期产业工人队伍建设改革方案》、国务院办公厅《关于促进建筑业持续健康发展的意见》、住房和城乡建设部等12部门《关于加快培育新时代建筑产业工人队伍的指导意见》、住房和城乡建设部《关于印发“十四五”建筑业发展规划的通知》等文件要求，深化建筑用工制度改革，强化质量安全管理，促进我市建筑业高质量发展，结合我市实际，</w:t>
      </w:r>
      <w:r>
        <w:rPr>
          <w:rFonts w:hint="eastAsia" w:ascii="方正仿宋_GBK" w:hAnsi="方正仿宋_GBK" w:eastAsia="方正仿宋_GBK" w:cs="方正仿宋_GBK"/>
          <w:sz w:val="32"/>
          <w:szCs w:val="32"/>
        </w:rPr>
        <w:t>制定本方案。</w:t>
      </w:r>
    </w:p>
    <w:p>
      <w:pPr>
        <w:pStyle w:val="8"/>
        <w:shd w:val="clear" w:color="auto" w:fill="FFFFFF"/>
        <w:adjustRightInd w:val="0"/>
        <w:snapToGrid w:val="0"/>
        <w:spacing w:beforeAutospacing="0" w:afterAutospacing="0" w:line="560" w:lineRule="exact"/>
        <w:ind w:firstLine="640" w:firstLineChars="200"/>
        <w:rPr>
          <w:rFonts w:ascii="方正黑体_GBK" w:hAnsi="黑体" w:eastAsia="方正黑体_GBK" w:cs="黑体"/>
          <w:sz w:val="32"/>
          <w:szCs w:val="32"/>
        </w:rPr>
      </w:pPr>
      <w:r>
        <w:rPr>
          <w:rFonts w:hint="eastAsia" w:ascii="方正黑体_GBK" w:hAnsi="黑体" w:eastAsia="方正黑体_GBK" w:cs="黑体"/>
          <w:sz w:val="32"/>
          <w:szCs w:val="32"/>
        </w:rPr>
        <w:t>一、总体要求</w:t>
      </w:r>
    </w:p>
    <w:p>
      <w:pPr>
        <w:pStyle w:val="8"/>
        <w:shd w:val="clear" w:color="auto" w:fill="FFFFFF"/>
        <w:adjustRightInd w:val="0"/>
        <w:snapToGrid w:val="0"/>
        <w:spacing w:beforeAutospacing="0" w:afterAutospacing="0" w:line="560" w:lineRule="exact"/>
        <w:ind w:firstLine="640" w:firstLineChars="200"/>
        <w:rPr>
          <w:rFonts w:ascii="方正楷体_GBK" w:hAnsi="黑体" w:eastAsia="方正楷体_GBK" w:cs="黑体"/>
          <w:sz w:val="32"/>
          <w:szCs w:val="32"/>
        </w:rPr>
      </w:pPr>
      <w:r>
        <w:rPr>
          <w:rFonts w:hint="eastAsia" w:ascii="方正楷体_GBK" w:hAnsi="黑体" w:eastAsia="方正楷体_GBK" w:cs="黑体"/>
          <w:sz w:val="32"/>
          <w:szCs w:val="32"/>
        </w:rPr>
        <w:t>（一）指导思想</w:t>
      </w:r>
    </w:p>
    <w:p>
      <w:pPr>
        <w:pStyle w:val="8"/>
        <w:shd w:val="clear" w:color="auto" w:fill="FFFFFF"/>
        <w:adjustRightInd w:val="0"/>
        <w:snapToGrid w:val="0"/>
        <w:spacing w:beforeAutospacing="0" w:afterAutospacing="0" w:line="560" w:lineRule="exact"/>
        <w:ind w:firstLine="640" w:firstLineChars="200"/>
        <w:rPr>
          <w:rStyle w:val="12"/>
        </w:rPr>
      </w:pPr>
      <w:r>
        <w:rPr>
          <w:rFonts w:hint="eastAsia" w:ascii="方正仿宋_GBK" w:hAnsi="Times New Roman" w:eastAsia="方正仿宋_GBK"/>
          <w:sz w:val="32"/>
          <w:szCs w:val="32"/>
        </w:rPr>
        <w:t>以习近平新时代中国特色社会主义思想为指导，深入贯彻习近平总书记对重庆提出的“两点”定位、“两地”“两高”目标，发挥“三个作用”和推动成渝地区双城经济圈建设等重要指示要求，立足新发展阶段，完整准确全面贯彻新发展理念，构建新发展格局，坚持政府引导、企业主导、鼓励创新、以人为本的原则，以深化建筑用工制度改革、强化质量安全管理、提升建筑工人职业素质为重点，大力培育秉承劳模精神、劳动精神、工匠精神的新时代建筑企业自有工人队伍，为实施“建造强市”和促进我市建筑业高质量发展提供人才支撑。</w:t>
      </w:r>
    </w:p>
    <w:p>
      <w:pPr>
        <w:pStyle w:val="8"/>
        <w:widowControl/>
        <w:shd w:val="clear" w:color="auto" w:fill="FFFFFF"/>
        <w:adjustRightInd w:val="0"/>
        <w:snapToGrid w:val="0"/>
        <w:spacing w:beforeAutospacing="0" w:afterAutospacing="0" w:line="560" w:lineRule="exact"/>
        <w:ind w:firstLine="640" w:firstLineChars="200"/>
        <w:jc w:val="both"/>
        <w:rPr>
          <w:rFonts w:ascii="方正楷体_GBK" w:hAnsi="Times New Roman" w:eastAsia="方正楷体_GBK"/>
          <w:sz w:val="32"/>
          <w:szCs w:val="32"/>
        </w:rPr>
      </w:pPr>
      <w:r>
        <w:rPr>
          <w:rFonts w:hint="eastAsia" w:ascii="方正楷体_GBK" w:hAnsi="Times New Roman" w:eastAsia="方正楷体_GBK"/>
          <w:sz w:val="32"/>
          <w:szCs w:val="32"/>
        </w:rPr>
        <w:t>（二）工作目标</w:t>
      </w:r>
    </w:p>
    <w:p>
      <w:pPr>
        <w:pStyle w:val="8"/>
        <w:widowControl/>
        <w:shd w:val="clear" w:color="auto" w:fill="FFFFFF"/>
        <w:adjustRightInd w:val="0"/>
        <w:snapToGrid w:val="0"/>
        <w:spacing w:beforeAutospacing="0" w:afterAutospacing="0" w:line="56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sz w:val="32"/>
          <w:szCs w:val="32"/>
        </w:rPr>
        <w:t>通过改革试点，着力破除制约我市建筑业发展的体制机制障碍，到2025年底，符合我市建筑业发展特点的用工方式基本完善，建筑工人技能水平大幅提升，力争实现有专业技能等级的建筑工人占比达80%以上，其中，中级工及以上技能工人占比达70%以上。技能化、专业化、年轻化、公司化的新时代建筑企业自有工人队伍基本建立，力争实现建筑企业自有工人占比达</w:t>
      </w:r>
      <w:r>
        <w:rPr>
          <w:rFonts w:ascii="方正仿宋_GBK" w:hAnsi="Times New Roman" w:eastAsia="方正仿宋_GBK"/>
          <w:sz w:val="32"/>
          <w:szCs w:val="32"/>
        </w:rPr>
        <w:t>40</w:t>
      </w:r>
      <w:r>
        <w:rPr>
          <w:rFonts w:hint="eastAsia" w:ascii="方正仿宋_GBK" w:hAnsi="Times New Roman" w:eastAsia="方正仿宋_GBK"/>
          <w:sz w:val="32"/>
          <w:szCs w:val="32"/>
        </w:rPr>
        <w:t>%以上，建筑工人劳动环境得到较大改善，职业认同感、安全感、获得感得到大幅提升。</w:t>
      </w:r>
    </w:p>
    <w:p>
      <w:pPr>
        <w:pStyle w:val="8"/>
        <w:widowControl/>
        <w:shd w:val="clear" w:color="auto" w:fill="FFFFFF"/>
        <w:adjustRightInd w:val="0"/>
        <w:snapToGrid w:val="0"/>
        <w:spacing w:beforeAutospacing="0" w:afterAutospacing="0" w:line="560" w:lineRule="exact"/>
        <w:ind w:firstLine="640" w:firstLineChars="200"/>
        <w:jc w:val="both"/>
        <w:rPr>
          <w:rFonts w:ascii="方正楷体_GBK" w:hAnsi="黑体" w:eastAsia="方正楷体_GBK" w:cs="黑体"/>
          <w:sz w:val="32"/>
          <w:szCs w:val="32"/>
        </w:rPr>
      </w:pPr>
      <w:r>
        <w:rPr>
          <w:rFonts w:hint="eastAsia" w:ascii="方正楷体_GBK" w:hAnsi="黑体" w:eastAsia="方正楷体_GBK" w:cs="黑体"/>
          <w:sz w:val="32"/>
          <w:szCs w:val="32"/>
        </w:rPr>
        <w:t>（三）试点内容、试点范围</w:t>
      </w:r>
    </w:p>
    <w:p>
      <w:pPr>
        <w:pStyle w:val="8"/>
        <w:widowControl/>
        <w:shd w:val="clear" w:color="auto" w:fill="FFFFFF"/>
        <w:adjustRightInd w:val="0"/>
        <w:snapToGrid w:val="0"/>
        <w:spacing w:beforeAutospacing="0" w:afterAutospacing="0" w:line="560" w:lineRule="exact"/>
        <w:ind w:firstLine="640" w:firstLineChars="200"/>
        <w:rPr>
          <w:rFonts w:ascii="方正仿宋_GBK" w:hAnsi="黑体" w:eastAsia="方正仿宋_GBK" w:cs="黑体"/>
          <w:sz w:val="32"/>
          <w:szCs w:val="32"/>
        </w:rPr>
      </w:pPr>
      <w:r>
        <w:rPr>
          <w:rFonts w:hint="eastAsia" w:ascii="方正仿宋_GBK" w:hAnsi="黑体" w:eastAsia="方正仿宋_GBK" w:cs="黑体"/>
          <w:sz w:val="32"/>
          <w:szCs w:val="32"/>
        </w:rPr>
        <w:t>依据住房和城乡建设部相关规定以及“十四五”建筑业发展规划，建筑企业自有工人是指：具有一定专业技能水平，与建筑企业依法签订劳动合同，社会权益有保障，安全生产有保证，有较好经济收入，所属企业对其进行持续的培训和管理的工人队伍。</w:t>
      </w:r>
    </w:p>
    <w:p>
      <w:pPr>
        <w:pStyle w:val="8"/>
        <w:shd w:val="clear" w:color="auto" w:fill="FFFFFF"/>
        <w:adjustRightInd w:val="0"/>
        <w:snapToGrid w:val="0"/>
        <w:spacing w:beforeAutospacing="0" w:afterAutospacing="0" w:line="560" w:lineRule="exact"/>
        <w:ind w:firstLine="640" w:firstLineChars="200"/>
        <w:jc w:val="both"/>
        <w:rPr>
          <w:rFonts w:ascii="方正仿宋_GBK" w:hAnsi="Times New Roman" w:eastAsia="方正仿宋_GBK"/>
          <w:kern w:val="2"/>
          <w:sz w:val="32"/>
          <w:szCs w:val="32"/>
        </w:rPr>
      </w:pPr>
      <w:r>
        <w:rPr>
          <w:rFonts w:hint="eastAsia" w:ascii="方正楷体_GBK" w:hAnsi="Times New Roman" w:eastAsia="方正楷体_GBK"/>
          <w:kern w:val="2"/>
          <w:sz w:val="32"/>
          <w:szCs w:val="32"/>
        </w:rPr>
        <w:t>1．试点主要内容</w:t>
      </w:r>
    </w:p>
    <w:p>
      <w:pPr>
        <w:pStyle w:val="8"/>
        <w:shd w:val="clear" w:color="auto" w:fill="FFFFFF"/>
        <w:adjustRightInd w:val="0"/>
        <w:snapToGrid w:val="0"/>
        <w:spacing w:beforeAutospacing="0" w:afterAutospacing="0" w:line="560" w:lineRule="exact"/>
        <w:ind w:firstLine="640" w:firstLineChars="200"/>
        <w:jc w:val="both"/>
        <w:rPr>
          <w:rFonts w:ascii="方正仿宋_GBK" w:hAnsi="Times New Roman" w:eastAsia="方正仿宋_GBK"/>
          <w:kern w:val="2"/>
          <w:sz w:val="32"/>
          <w:szCs w:val="32"/>
        </w:rPr>
      </w:pPr>
      <w:r>
        <w:rPr>
          <w:rFonts w:hint="eastAsia" w:ascii="方正仿宋_GBK" w:hAnsi="Times New Roman" w:eastAsia="方正仿宋_GBK"/>
          <w:kern w:val="2"/>
          <w:sz w:val="32"/>
          <w:szCs w:val="32"/>
        </w:rPr>
        <w:t>一是深化建筑劳务用工制度改革；二是引导劳务企业转型发展；三是大力培育企业自有工人；四是全面强化质量安全管理；五是不断提升建筑工人技能水平；六是不断加强建筑工人从业保障；七是探索创新激励机制。</w:t>
      </w:r>
    </w:p>
    <w:p>
      <w:pPr>
        <w:pStyle w:val="8"/>
        <w:shd w:val="clear" w:color="auto" w:fill="FFFFFF"/>
        <w:adjustRightInd w:val="0"/>
        <w:snapToGrid w:val="0"/>
        <w:spacing w:beforeAutospacing="0" w:afterAutospacing="0" w:line="560" w:lineRule="exact"/>
        <w:ind w:firstLine="640" w:firstLineChars="200"/>
        <w:jc w:val="both"/>
        <w:rPr>
          <w:rFonts w:ascii="方正楷体_GBK" w:hAnsi="Times New Roman" w:eastAsia="方正楷体_GBK"/>
          <w:kern w:val="2"/>
          <w:sz w:val="32"/>
          <w:szCs w:val="32"/>
        </w:rPr>
      </w:pPr>
      <w:r>
        <w:rPr>
          <w:rFonts w:hint="eastAsia" w:ascii="方正楷体_GBK" w:hAnsi="Times New Roman" w:eastAsia="方正楷体_GBK"/>
          <w:kern w:val="2"/>
          <w:sz w:val="32"/>
          <w:szCs w:val="32"/>
        </w:rPr>
        <w:t>2．试点范围</w:t>
      </w:r>
    </w:p>
    <w:p>
      <w:pPr>
        <w:pStyle w:val="8"/>
        <w:shd w:val="clear" w:color="auto" w:fill="FFFFFF"/>
        <w:adjustRightInd w:val="0"/>
        <w:snapToGrid w:val="0"/>
        <w:spacing w:beforeAutospacing="0" w:afterAutospacing="0" w:line="560" w:lineRule="exact"/>
        <w:ind w:firstLine="320" w:firstLineChars="100"/>
        <w:jc w:val="both"/>
        <w:rPr>
          <w:rFonts w:ascii="方正仿宋_GBK" w:hAnsi="Times New Roman" w:eastAsia="方正仿宋_GBK"/>
          <w:kern w:val="2"/>
          <w:sz w:val="32"/>
          <w:szCs w:val="32"/>
        </w:rPr>
      </w:pPr>
      <w:r>
        <w:rPr>
          <w:rFonts w:hint="eastAsia" w:ascii="方正楷体_GBK" w:hAnsi="Times New Roman" w:eastAsia="方正楷体_GBK"/>
          <w:kern w:val="2"/>
          <w:sz w:val="32"/>
          <w:szCs w:val="32"/>
        </w:rPr>
        <w:t>（1）试点项目</w:t>
      </w:r>
    </w:p>
    <w:p>
      <w:pPr>
        <w:pStyle w:val="8"/>
        <w:shd w:val="clear" w:color="auto" w:fill="FFFFFF"/>
        <w:adjustRightInd w:val="0"/>
        <w:snapToGrid w:val="0"/>
        <w:spacing w:beforeAutospacing="0" w:afterAutospacing="0" w:line="560" w:lineRule="exact"/>
        <w:ind w:firstLine="640" w:firstLineChars="200"/>
        <w:jc w:val="both"/>
        <w:rPr>
          <w:rFonts w:ascii="方正仿宋_GBK" w:hAnsi="Times New Roman" w:eastAsia="方正仿宋_GBK"/>
          <w:kern w:val="2"/>
          <w:sz w:val="32"/>
          <w:szCs w:val="32"/>
        </w:rPr>
      </w:pPr>
      <w:r>
        <w:rPr>
          <w:rFonts w:hint="eastAsia" w:ascii="方正仿宋_GBK" w:hAnsi="Times New Roman" w:eastAsia="方正仿宋_GBK"/>
          <w:kern w:val="2"/>
          <w:sz w:val="32"/>
          <w:szCs w:val="32"/>
        </w:rPr>
        <w:t>一是主城都市区政府投资或主导的房屋建筑和市政基础设施工程项目。</w:t>
      </w:r>
    </w:p>
    <w:p>
      <w:pPr>
        <w:pStyle w:val="8"/>
        <w:shd w:val="clear" w:color="auto" w:fill="FFFFFF"/>
        <w:adjustRightInd w:val="0"/>
        <w:snapToGrid w:val="0"/>
        <w:spacing w:beforeAutospacing="0" w:afterAutospacing="0" w:line="560" w:lineRule="exact"/>
        <w:ind w:firstLine="640" w:firstLineChars="200"/>
        <w:jc w:val="both"/>
        <w:rPr>
          <w:rFonts w:ascii="方正仿宋_GBK" w:hAnsi="Times New Roman" w:eastAsia="方正仿宋_GBK"/>
          <w:kern w:val="2"/>
          <w:sz w:val="32"/>
          <w:szCs w:val="32"/>
        </w:rPr>
      </w:pPr>
      <w:r>
        <w:rPr>
          <w:rFonts w:hint="eastAsia" w:ascii="方正仿宋_GBK" w:hAnsi="Times New Roman" w:eastAsia="方正仿宋_GBK"/>
          <w:kern w:val="2"/>
          <w:sz w:val="32"/>
          <w:szCs w:val="32"/>
        </w:rPr>
        <w:t>二是按照《重庆市住房和城乡建设委员会关于房屋建筑和市政基础设施工程技术复杂认定标准和程序的通知》（渝建发〔2021〕3号）认定标准要求认定为技术复杂的项目。</w:t>
      </w:r>
    </w:p>
    <w:p>
      <w:pPr>
        <w:pStyle w:val="8"/>
        <w:shd w:val="clear" w:color="auto" w:fill="FFFFFF"/>
        <w:adjustRightInd w:val="0"/>
        <w:snapToGrid w:val="0"/>
        <w:spacing w:beforeAutospacing="0" w:afterAutospacing="0" w:line="560" w:lineRule="exact"/>
        <w:ind w:firstLine="640" w:firstLineChars="200"/>
        <w:jc w:val="both"/>
        <w:rPr>
          <w:rFonts w:ascii="方正仿宋_GBK" w:hAnsi="Times New Roman" w:eastAsia="方正仿宋_GBK"/>
          <w:sz w:val="32"/>
          <w:szCs w:val="32"/>
        </w:rPr>
      </w:pPr>
      <w:r>
        <w:rPr>
          <w:rFonts w:hint="eastAsia" w:ascii="方正仿宋_GBK" w:hAnsi="Times New Roman" w:eastAsia="方正仿宋_GBK"/>
          <w:kern w:val="2"/>
          <w:sz w:val="32"/>
          <w:szCs w:val="32"/>
        </w:rPr>
        <w:t>以上2类试点项目，强化质量安全管理，自2022年12月1日起，全面实施建筑劳务用工制度改革，推行自有工人施工试点。总承包、专业承包企业要大力培育企业自有工人，逐步实现项目上全面自有工人施工，或者自有专业作业企业（全资、控股或参股的专业作业企业）施工；试点前已开工或已招投标项目可分阶段实施（实施步骤详见本方案“时间节点”要求）。</w:t>
      </w:r>
    </w:p>
    <w:p>
      <w:pPr>
        <w:pStyle w:val="8"/>
        <w:shd w:val="clear" w:color="auto" w:fill="FFFFFF"/>
        <w:adjustRightInd w:val="0"/>
        <w:snapToGrid w:val="0"/>
        <w:spacing w:beforeAutospacing="0" w:afterAutospacing="0" w:line="560" w:lineRule="exact"/>
        <w:ind w:firstLine="640" w:firstLineChars="200"/>
        <w:jc w:val="both"/>
        <w:rPr>
          <w:rFonts w:ascii="方正楷体_GBK" w:hAnsi="Times New Roman" w:eastAsia="方正楷体_GBK"/>
          <w:sz w:val="32"/>
          <w:szCs w:val="32"/>
        </w:rPr>
      </w:pPr>
      <w:r>
        <w:rPr>
          <w:rFonts w:hint="eastAsia" w:ascii="方正楷体_GBK" w:hAnsi="Times New Roman" w:eastAsia="方正楷体_GBK"/>
          <w:sz w:val="32"/>
          <w:szCs w:val="32"/>
        </w:rPr>
        <w:t>（2）试点企业</w:t>
      </w:r>
    </w:p>
    <w:p>
      <w:pPr>
        <w:pStyle w:val="8"/>
        <w:shd w:val="clear" w:color="auto" w:fill="FFFFFF"/>
        <w:adjustRightInd w:val="0"/>
        <w:snapToGrid w:val="0"/>
        <w:spacing w:beforeAutospacing="0" w:afterAutospacing="0"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根据企业自</w:t>
      </w:r>
      <w:r>
        <w:rPr>
          <w:rFonts w:hint="eastAsia" w:ascii="方正仿宋_GBK" w:hAnsi="宋体" w:eastAsia="方正仿宋_GBK" w:cs="宋体"/>
          <w:sz w:val="32"/>
          <w:szCs w:val="32"/>
        </w:rPr>
        <w:t>愿，决定将中冶建工集团有限公司等22家企业列入我市培育自有工人第1批试点企业（</w:t>
      </w:r>
      <w:r>
        <w:rPr>
          <w:rFonts w:hint="eastAsia" w:ascii="方正仿宋_GBK" w:hAnsi="Times New Roman" w:eastAsia="方正仿宋_GBK"/>
          <w:sz w:val="32"/>
          <w:szCs w:val="32"/>
        </w:rPr>
        <w:t>具体名单详见附件1）</w:t>
      </w:r>
      <w:r>
        <w:rPr>
          <w:rFonts w:hint="eastAsia" w:ascii="方正仿宋_GBK" w:hAnsi="宋体" w:eastAsia="方正仿宋_GBK" w:cs="宋体"/>
          <w:sz w:val="32"/>
          <w:szCs w:val="32"/>
        </w:rPr>
        <w:t>，试点时间从2022年10月至2025年12月。</w:t>
      </w:r>
      <w:r>
        <w:rPr>
          <w:rFonts w:hint="eastAsia" w:ascii="方正仿宋_GBK" w:hAnsi="Times New Roman" w:eastAsia="方正仿宋_GBK"/>
          <w:sz w:val="32"/>
          <w:szCs w:val="32"/>
        </w:rPr>
        <w:t>试点期间，各试点企业要切实落实企业主体责任，大胆创新，先行先试，不断总结，积极培育自有工人，所承接工程项目逐步实现全面自有工人施工，或者自有专业作业企业施工，确保工程质量，强化安全生产。试点前已开工或已招投标项目可分阶段实施。</w:t>
      </w:r>
    </w:p>
    <w:p>
      <w:pPr>
        <w:pStyle w:val="8"/>
        <w:widowControl/>
        <w:shd w:val="clear" w:color="auto" w:fill="FFFFFF"/>
        <w:adjustRightInd w:val="0"/>
        <w:snapToGrid w:val="0"/>
        <w:spacing w:beforeAutospacing="0" w:afterAutospacing="0" w:line="560" w:lineRule="exact"/>
        <w:ind w:firstLine="640" w:firstLineChars="200"/>
        <w:jc w:val="both"/>
        <w:rPr>
          <w:rFonts w:ascii="方正黑体_GBK" w:hAnsi="黑体" w:eastAsia="方正黑体_GBK" w:cs="黑体"/>
          <w:sz w:val="32"/>
          <w:szCs w:val="32"/>
        </w:rPr>
      </w:pPr>
      <w:r>
        <w:rPr>
          <w:rFonts w:hint="eastAsia" w:ascii="方正黑体_GBK" w:hAnsi="Times New Roman" w:eastAsia="方正黑体_GBK"/>
          <w:sz w:val="32"/>
          <w:szCs w:val="32"/>
        </w:rPr>
        <w:t>二</w:t>
      </w:r>
      <w:r>
        <w:rPr>
          <w:rFonts w:hint="eastAsia" w:ascii="方正黑体_GBK" w:hAnsi="黑体" w:eastAsia="方正黑体_GBK" w:cs="黑体"/>
          <w:sz w:val="32"/>
          <w:szCs w:val="32"/>
        </w:rPr>
        <w:t>、主要任务</w:t>
      </w:r>
    </w:p>
    <w:p>
      <w:pPr>
        <w:pStyle w:val="8"/>
        <w:widowControl/>
        <w:shd w:val="clear" w:color="auto" w:fill="FFFFFF"/>
        <w:adjustRightInd w:val="0"/>
        <w:snapToGrid w:val="0"/>
        <w:spacing w:beforeAutospacing="0" w:afterAutospacing="0" w:line="560" w:lineRule="exact"/>
        <w:ind w:firstLine="480" w:firstLineChars="150"/>
        <w:jc w:val="both"/>
        <w:rPr>
          <w:rFonts w:ascii="方正楷体_GBK" w:hAnsi="Times New Roman" w:eastAsia="方正楷体_GBK"/>
          <w:kern w:val="2"/>
          <w:sz w:val="32"/>
          <w:szCs w:val="32"/>
        </w:rPr>
      </w:pPr>
      <w:r>
        <w:rPr>
          <w:rFonts w:hint="eastAsia" w:ascii="方正楷体_GBK" w:hAnsi="黑体" w:eastAsia="方正楷体_GBK" w:cs="黑体"/>
          <w:sz w:val="32"/>
          <w:szCs w:val="32"/>
        </w:rPr>
        <w:t>（一）</w:t>
      </w:r>
      <w:r>
        <w:rPr>
          <w:rFonts w:hint="eastAsia" w:ascii="方正楷体_GBK" w:hAnsi="Times New Roman" w:eastAsia="方正楷体_GBK"/>
          <w:kern w:val="2"/>
          <w:sz w:val="32"/>
          <w:szCs w:val="32"/>
        </w:rPr>
        <w:t>深化建筑劳务用工制度改革</w:t>
      </w:r>
    </w:p>
    <w:p>
      <w:pPr>
        <w:pStyle w:val="8"/>
        <w:widowControl/>
        <w:shd w:val="clear" w:color="auto" w:fill="FFFFFF"/>
        <w:adjustRightInd w:val="0"/>
        <w:snapToGrid w:val="0"/>
        <w:spacing w:beforeAutospacing="0" w:afterAutospacing="0" w:line="560" w:lineRule="exact"/>
        <w:ind w:firstLine="643" w:firstLineChars="200"/>
        <w:rPr>
          <w:rFonts w:ascii="方正楷体_GBK" w:hAnsi="Times New Roman" w:eastAsia="方正楷体_GBK"/>
          <w:sz w:val="32"/>
          <w:szCs w:val="32"/>
        </w:rPr>
      </w:pPr>
      <w:r>
        <w:rPr>
          <w:rFonts w:hint="eastAsia" w:ascii="方正仿宋_GBK" w:hAnsi="Times New Roman" w:eastAsia="方正仿宋_GBK"/>
          <w:b/>
          <w:sz w:val="32"/>
          <w:szCs w:val="32"/>
        </w:rPr>
        <w:t>1．引导劳务企业转型发展</w:t>
      </w:r>
    </w:p>
    <w:p>
      <w:pPr>
        <w:pStyle w:val="8"/>
        <w:widowControl/>
        <w:shd w:val="clear" w:color="auto" w:fill="FFFFFF"/>
        <w:adjustRightInd w:val="0"/>
        <w:snapToGrid w:val="0"/>
        <w:spacing w:beforeAutospacing="0" w:afterAutospacing="0" w:line="560" w:lineRule="exact"/>
        <w:ind w:firstLine="643" w:firstLineChars="200"/>
        <w:jc w:val="both"/>
        <w:rPr>
          <w:rFonts w:ascii="方正仿宋_GBK" w:hAnsi="Times New Roman" w:eastAsia="方正仿宋_GBK"/>
          <w:sz w:val="32"/>
          <w:szCs w:val="32"/>
        </w:rPr>
      </w:pPr>
      <w:r>
        <w:rPr>
          <w:rFonts w:hint="eastAsia" w:ascii="方正仿宋_GBK" w:hAnsi="Times New Roman" w:eastAsia="方正仿宋_GBK"/>
          <w:b/>
          <w:sz w:val="32"/>
          <w:szCs w:val="32"/>
        </w:rPr>
        <w:t>一是转型为总承包和专业承包</w:t>
      </w:r>
      <w:r>
        <w:rPr>
          <w:rFonts w:hint="eastAsia" w:ascii="方正仿宋_GBK" w:hAnsi="Times New Roman" w:eastAsia="方正仿宋_GBK"/>
          <w:sz w:val="32"/>
          <w:szCs w:val="32"/>
        </w:rPr>
        <w:t>。支持有一定规模和管理能力的劳务企业通过整合、重组等方式向总承包和专业承包企业转型发展。</w:t>
      </w:r>
    </w:p>
    <w:p>
      <w:pPr>
        <w:pStyle w:val="8"/>
        <w:widowControl/>
        <w:shd w:val="clear" w:color="auto" w:fill="FFFFFF"/>
        <w:adjustRightInd w:val="0"/>
        <w:snapToGrid w:val="0"/>
        <w:spacing w:beforeAutospacing="0" w:afterAutospacing="0" w:line="560" w:lineRule="exact"/>
        <w:ind w:firstLine="643" w:firstLineChars="200"/>
        <w:jc w:val="both"/>
        <w:rPr>
          <w:rFonts w:ascii="方正仿宋_GBK" w:hAnsi="Times New Roman" w:eastAsia="方正仿宋_GBK"/>
          <w:sz w:val="32"/>
          <w:szCs w:val="32"/>
        </w:rPr>
      </w:pPr>
      <w:r>
        <w:rPr>
          <w:rFonts w:hint="eastAsia" w:ascii="方正仿宋_GBK" w:hAnsi="Times New Roman" w:eastAsia="方正仿宋_GBK"/>
          <w:b/>
          <w:sz w:val="32"/>
          <w:szCs w:val="32"/>
        </w:rPr>
        <w:t>二是转型为专业作业企业。</w:t>
      </w:r>
      <w:r>
        <w:rPr>
          <w:rFonts w:hint="eastAsia" w:ascii="方正仿宋_GBK" w:hAnsi="Times New Roman" w:eastAsia="方正仿宋_GBK"/>
          <w:sz w:val="32"/>
          <w:szCs w:val="32"/>
        </w:rPr>
        <w:t>引导小型劳务企业转型为专业作业企业，做专做精专项业务，成为建筑用工主力军。鼓励支持现有劳务企业加强与总承包、专业承包企业的合作，通过划、转、并、购等多种方式转型为总承包、专业承包企业控股或独资的自有专业作业子公司。</w:t>
      </w:r>
    </w:p>
    <w:p>
      <w:pPr>
        <w:pStyle w:val="8"/>
        <w:widowControl/>
        <w:shd w:val="clear" w:color="auto" w:fill="FFFFFF"/>
        <w:adjustRightInd w:val="0"/>
        <w:snapToGrid w:val="0"/>
        <w:spacing w:beforeAutospacing="0" w:afterAutospacing="0" w:line="560" w:lineRule="exact"/>
        <w:ind w:firstLine="643" w:firstLineChars="200"/>
        <w:jc w:val="both"/>
        <w:rPr>
          <w:rFonts w:ascii="方正仿宋_GBK" w:hAnsi="Times New Roman" w:eastAsia="方正仿宋_GBK"/>
          <w:b/>
          <w:sz w:val="32"/>
          <w:szCs w:val="32"/>
        </w:rPr>
      </w:pPr>
      <w:r>
        <w:rPr>
          <w:rFonts w:hint="eastAsia" w:ascii="方正仿宋_GBK" w:hAnsi="Times New Roman" w:eastAsia="方正仿宋_GBK"/>
          <w:b/>
          <w:sz w:val="32"/>
          <w:szCs w:val="32"/>
        </w:rPr>
        <w:t>2．积极发展专业作业企业</w:t>
      </w:r>
    </w:p>
    <w:p>
      <w:pPr>
        <w:pStyle w:val="8"/>
        <w:widowControl/>
        <w:shd w:val="clear" w:color="auto" w:fill="FFFFFF"/>
        <w:adjustRightInd w:val="0"/>
        <w:snapToGrid w:val="0"/>
        <w:spacing w:beforeAutospacing="0" w:afterAutospacing="0" w:line="560" w:lineRule="exact"/>
        <w:ind w:firstLine="643" w:firstLineChars="200"/>
        <w:jc w:val="both"/>
        <w:rPr>
          <w:rFonts w:ascii="方正仿宋_GBK" w:hAnsi="宋体" w:eastAsia="方正仿宋_GBK" w:cs="宋体"/>
          <w:sz w:val="32"/>
          <w:szCs w:val="32"/>
        </w:rPr>
      </w:pPr>
      <w:r>
        <w:rPr>
          <w:rFonts w:hint="eastAsia" w:ascii="方正仿宋_GBK" w:hAnsi="Times New Roman" w:eastAsia="方正仿宋_GBK"/>
          <w:b/>
          <w:sz w:val="32"/>
          <w:szCs w:val="32"/>
        </w:rPr>
        <w:t>一是以作业班组参与施工。</w:t>
      </w:r>
      <w:r>
        <w:rPr>
          <w:rFonts w:hint="eastAsia" w:ascii="方正仿宋_GBK" w:hAnsi="Times New Roman" w:eastAsia="方正仿宋_GBK"/>
          <w:sz w:val="32"/>
          <w:szCs w:val="32"/>
        </w:rPr>
        <w:t>鼓励和引导现有劳务企业或有一定技能和管理能力的班组长成立以砌筑、钢筋、混凝土、木作、构建装配、特种作业等工种为主的专业作业企业。专业作业企业作为建筑工人从业的合法载体，以作业班组形式参与工程施工。施工总承包企业对项目工程质量安全和劳动保障负总责，专业作业企业接受总承包企业的质量安全管理，对分包范围内工程质量安全和劳务用工具体负责。</w:t>
      </w:r>
    </w:p>
    <w:p>
      <w:pPr>
        <w:adjustRightInd w:val="0"/>
        <w:snapToGrid w:val="0"/>
        <w:spacing w:line="560" w:lineRule="exact"/>
        <w:ind w:firstLine="643" w:firstLineChars="200"/>
        <w:rPr>
          <w:rFonts w:ascii="方正仿宋_GBK" w:hAnsi="Times New Roman" w:eastAsia="方正仿宋_GBK"/>
          <w:sz w:val="32"/>
          <w:szCs w:val="32"/>
        </w:rPr>
      </w:pPr>
      <w:r>
        <w:rPr>
          <w:rFonts w:hint="eastAsia" w:ascii="方正仿宋_GBK" w:hAnsi="Times New Roman" w:eastAsia="方正仿宋_GBK"/>
          <w:b/>
          <w:sz w:val="32"/>
          <w:szCs w:val="32"/>
        </w:rPr>
        <w:t>二是实行备案登记制。</w:t>
      </w:r>
      <w:r>
        <w:rPr>
          <w:rFonts w:hint="eastAsia" w:ascii="方正仿宋_GBK" w:hAnsi="Times New Roman" w:eastAsia="方正仿宋_GBK"/>
          <w:sz w:val="32"/>
          <w:szCs w:val="32"/>
        </w:rPr>
        <w:t>专业作业企业实行备案制，不办理安全生产许可证。专业作业企业取得市场主体登记注册后，向属地住房城乡建委备案企业基本情况、所从事的主要工种、工人名单、质量安全及人员管理制度等资料。专业作业企业可自主选择1-5个作业工种，企业持证人数不得少于20人。</w:t>
      </w:r>
    </w:p>
    <w:p>
      <w:pPr>
        <w:adjustRightInd w:val="0"/>
        <w:snapToGrid w:val="0"/>
        <w:spacing w:line="560" w:lineRule="exact"/>
        <w:ind w:firstLine="643" w:firstLineChars="200"/>
        <w:rPr>
          <w:rFonts w:ascii="方正仿宋_GBK" w:hAnsi="Times New Roman" w:eastAsia="方正仿宋_GBK"/>
          <w:sz w:val="32"/>
          <w:szCs w:val="32"/>
        </w:rPr>
      </w:pPr>
      <w:r>
        <w:rPr>
          <w:rFonts w:hint="eastAsia" w:ascii="方正仿宋_GBK" w:hAnsi="Times New Roman" w:eastAsia="方正仿宋_GBK"/>
          <w:b/>
          <w:sz w:val="32"/>
          <w:szCs w:val="32"/>
        </w:rPr>
        <w:t>三是具备基本技能水平</w:t>
      </w:r>
      <w:r>
        <w:rPr>
          <w:rFonts w:hint="eastAsia" w:ascii="方正仿宋_GBK" w:hAnsi="Times New Roman" w:eastAsia="方正仿宋_GBK"/>
          <w:sz w:val="32"/>
          <w:szCs w:val="32"/>
        </w:rPr>
        <w:t>。专业作业企业的建筑工人应经技能培训考核合格，具备基本的技能水平；专业作业企业负责人和各工种班组长必须具有中级工及以上职业技能等级证书。</w:t>
      </w:r>
    </w:p>
    <w:p>
      <w:pPr>
        <w:pStyle w:val="2"/>
        <w:adjustRightInd w:val="0"/>
        <w:snapToGrid w:val="0"/>
        <w:spacing w:line="560" w:lineRule="exact"/>
        <w:ind w:firstLine="643" w:firstLineChars="200"/>
        <w:jc w:val="both"/>
        <w:rPr>
          <w:rFonts w:ascii="方正仿宋_GBK" w:hAnsi="Times New Roman" w:eastAsia="方正仿宋_GBK"/>
          <w:sz w:val="32"/>
          <w:szCs w:val="32"/>
        </w:rPr>
      </w:pPr>
      <w:r>
        <w:rPr>
          <w:rFonts w:hint="eastAsia" w:ascii="方正仿宋_GBK" w:eastAsia="方正仿宋_GBK"/>
          <w:b/>
          <w:sz w:val="32"/>
          <w:szCs w:val="32"/>
        </w:rPr>
        <w:t>四是签订劳动合同。</w:t>
      </w:r>
      <w:r>
        <w:rPr>
          <w:rFonts w:hint="eastAsia" w:ascii="方正仿宋_GBK" w:hAnsi="Times New Roman" w:eastAsia="方正仿宋_GBK"/>
          <w:sz w:val="32"/>
          <w:szCs w:val="32"/>
        </w:rPr>
        <w:t>专业作业企业应当与建筑工人签订劳动合同，明确双方权利义务，依法为建筑工人缴纳社会保险，鼓励企业与建筑工人建立相对稳定的劳动关系。专业作业企业根据工程项目需要，可以使用其他形式用工（非全日制用工、以工代赈等用工），但其他形式用工数量不得超过本项目上企业自有工人总数的15%。</w:t>
      </w:r>
    </w:p>
    <w:p>
      <w:pPr>
        <w:pStyle w:val="3"/>
        <w:adjustRightInd w:val="0"/>
        <w:snapToGrid w:val="0"/>
        <w:spacing w:line="560" w:lineRule="exact"/>
        <w:ind w:left="0" w:leftChars="0" w:firstLine="643" w:firstLineChars="200"/>
        <w:rPr>
          <w:rFonts w:ascii="方正仿宋_GBK"/>
        </w:rPr>
      </w:pPr>
      <w:r>
        <w:rPr>
          <w:rFonts w:hint="eastAsia" w:ascii="方正仿宋_GBK"/>
          <w:b/>
        </w:rPr>
        <w:t>五是强化信息管理。</w:t>
      </w:r>
      <w:r>
        <w:rPr>
          <w:rFonts w:hint="eastAsia" w:ascii="方正仿宋_GBK"/>
        </w:rPr>
        <w:t>制定全市专业作业企业备案登记条件和标准，简化办事流程。各区县住房城乡建委应及时将备案的专业作业企业录入“重庆市建设工程信息网”，向社会公开。建立健全我市专业作业企业业绩库，开展专业作业企业诚信评价。整合我市劳务资源优势，打造我市特色的“建筑劳务品牌”，提升竞争力，走品牌占领市场，向品牌化、专业化、规范化发展。</w:t>
      </w:r>
    </w:p>
    <w:p>
      <w:pPr>
        <w:pStyle w:val="8"/>
        <w:widowControl/>
        <w:shd w:val="clear" w:color="auto" w:fill="FFFFFF"/>
        <w:adjustRightInd w:val="0"/>
        <w:snapToGrid w:val="0"/>
        <w:spacing w:beforeAutospacing="0" w:afterAutospacing="0" w:line="560" w:lineRule="exact"/>
        <w:ind w:firstLine="640" w:firstLineChars="200"/>
        <w:jc w:val="both"/>
        <w:rPr>
          <w:rFonts w:ascii="宋体" w:hAnsi="宋体" w:cs="宋体"/>
          <w:sz w:val="32"/>
          <w:szCs w:val="32"/>
        </w:rPr>
      </w:pPr>
      <w:r>
        <w:rPr>
          <w:rFonts w:ascii="方正楷体_GBK" w:hAnsi="黑体" w:eastAsia="方正楷体_GBK" w:cs="黑体"/>
          <w:sz w:val="32"/>
          <w:szCs w:val="32"/>
        </w:rPr>
        <w:t>3．大力培育企业自有工人和</w:t>
      </w:r>
      <w:r>
        <w:rPr>
          <w:rFonts w:hint="eastAsia" w:ascii="方正楷体_GBK" w:hAnsi="宋体" w:eastAsia="方正楷体_GBK" w:cs="宋体"/>
          <w:sz w:val="32"/>
          <w:szCs w:val="32"/>
        </w:rPr>
        <w:t>自有专业作业企业</w:t>
      </w:r>
    </w:p>
    <w:p>
      <w:pPr>
        <w:adjustRightInd w:val="0"/>
        <w:snapToGrid w:val="0"/>
        <w:spacing w:line="560" w:lineRule="exact"/>
        <w:ind w:firstLine="643" w:firstLineChars="200"/>
        <w:rPr>
          <w:rFonts w:ascii="方正仿宋_GBK" w:hAnsi="Times New Roman" w:eastAsia="方正仿宋_GBK"/>
          <w:sz w:val="32"/>
          <w:szCs w:val="32"/>
        </w:rPr>
      </w:pPr>
      <w:r>
        <w:rPr>
          <w:rFonts w:hint="eastAsia" w:ascii="方正仿宋_GBK" w:hAnsi="Times New Roman" w:eastAsia="方正仿宋_GBK"/>
          <w:b/>
          <w:sz w:val="32"/>
          <w:szCs w:val="32"/>
        </w:rPr>
        <w:t>一是大力培育企业自有骨干工人队伍</w:t>
      </w:r>
      <w:r>
        <w:rPr>
          <w:rFonts w:hint="eastAsia" w:ascii="方正仿宋_GBK" w:hAnsi="Times New Roman" w:eastAsia="方正仿宋_GBK"/>
          <w:sz w:val="32"/>
          <w:szCs w:val="32"/>
        </w:rPr>
        <w:t>。施工总承包、专业承包企业要落实项目组织管理责任，聚焦施工安全、质量、进度等主要任务，建立能够满足施工需要的“带工匠”“把脉师”等自有班组长及自有骨干工人，拥有相对稳定的核心技术工人队伍。总承包、专业承包企业的自有带班班组长，应具有中级及以上技能水平，承担施工现场作业带班、作业示范和工序检查等工作，主导施工现场班组管理。</w:t>
      </w:r>
    </w:p>
    <w:p>
      <w:pPr>
        <w:adjustRightInd w:val="0"/>
        <w:snapToGrid w:val="0"/>
        <w:spacing w:line="560" w:lineRule="exact"/>
        <w:ind w:firstLine="643" w:firstLineChars="200"/>
        <w:rPr>
          <w:rFonts w:ascii="方正仿宋_GBK" w:hAnsi="Times New Roman" w:eastAsia="方正仿宋_GBK"/>
          <w:sz w:val="32"/>
          <w:szCs w:val="32"/>
        </w:rPr>
      </w:pPr>
      <w:r>
        <w:rPr>
          <w:rFonts w:hint="eastAsia" w:ascii="方正仿宋_GBK" w:hAnsi="Times New Roman" w:eastAsia="方正仿宋_GBK"/>
          <w:b/>
          <w:sz w:val="32"/>
          <w:szCs w:val="32"/>
        </w:rPr>
        <w:t>二是积极发展自有专业作业企业</w:t>
      </w:r>
      <w:r>
        <w:rPr>
          <w:rFonts w:hint="eastAsia" w:ascii="方正仿宋_GBK" w:hAnsi="Times New Roman" w:eastAsia="方正仿宋_GBK"/>
          <w:sz w:val="32"/>
          <w:szCs w:val="32"/>
        </w:rPr>
        <w:t>。鼓励和引导总承包、专业承包企业成立全资专业作业子公司，或通过收购、兼并、重组等方式对现有劳务企业进行控股或参股，转型为自有专业作业企业，构建稳定的用工渠道和用工关系。</w:t>
      </w:r>
    </w:p>
    <w:p>
      <w:pPr>
        <w:adjustRightInd w:val="0"/>
        <w:snapToGrid w:val="0"/>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以下建筑工人可计入总承包、专业承包企业的自有工人数量。</w:t>
      </w:r>
    </w:p>
    <w:p>
      <w:pPr>
        <w:adjustRightInd w:val="0"/>
        <w:snapToGrid w:val="0"/>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（1）与总承包、专业承包企业直接签订劳动合同并由总承包、专业承包企业缴纳社会保险的建筑工人。</w:t>
      </w:r>
    </w:p>
    <w:p>
      <w:pPr>
        <w:adjustRightInd w:val="0"/>
        <w:snapToGrid w:val="0"/>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（2）总承包、专业承包企业出资成立的全资专业作业企业的建筑工人。</w:t>
      </w:r>
    </w:p>
    <w:p>
      <w:pPr>
        <w:adjustRightInd w:val="0"/>
        <w:snapToGrid w:val="0"/>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（3）总承包、专业承包企业出资控股50%以上的专业作业企业的建筑工人。</w:t>
      </w:r>
    </w:p>
    <w:p>
      <w:pPr>
        <w:adjustRightInd w:val="0"/>
        <w:snapToGrid w:val="0"/>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szCs w:val="32"/>
        </w:rPr>
        <w:t>（4）总承包、专业承包企业出资控股50%以上的装配式部品构件工厂或钢结构等工厂的建筑工人。</w:t>
      </w:r>
    </w:p>
    <w:p>
      <w:pPr>
        <w:adjustRightInd w:val="0"/>
        <w:snapToGrid w:val="0"/>
        <w:spacing w:line="560" w:lineRule="exact"/>
        <w:ind w:firstLine="640" w:firstLineChars="200"/>
        <w:jc w:val="left"/>
        <w:rPr>
          <w:rFonts w:ascii="方正仿宋_GBK" w:hAnsi="Times New Roman" w:eastAsia="方正仿宋_GBK"/>
          <w:sz w:val="32"/>
          <w:szCs w:val="32"/>
        </w:rPr>
      </w:pPr>
      <w:r>
        <w:rPr>
          <w:rFonts w:hint="eastAsia" w:ascii="方正仿宋_GBK" w:hAnsi="Times New Roman" w:eastAsia="方正仿宋_GBK"/>
          <w:sz w:val="32"/>
          <w:szCs w:val="32"/>
        </w:rPr>
        <w:t>（5）总承包、专业承包企业的主要控股股东（其股权占25%以上）个人出资控股50%以上的专业作业企业的建筑工人。</w:t>
      </w:r>
    </w:p>
    <w:p>
      <w:pPr>
        <w:widowControl/>
        <w:shd w:val="clear" w:color="auto" w:fill="FFFFFF"/>
        <w:adjustRightInd w:val="0"/>
        <w:snapToGrid w:val="0"/>
        <w:spacing w:line="560" w:lineRule="exact"/>
        <w:ind w:firstLine="640" w:firstLineChars="200"/>
        <w:rPr>
          <w:rFonts w:ascii="方正楷体_GBK" w:hAnsi="Times New Roman" w:eastAsia="方正楷体_GBK"/>
          <w:kern w:val="0"/>
          <w:sz w:val="32"/>
          <w:szCs w:val="32"/>
        </w:rPr>
      </w:pPr>
      <w:r>
        <w:rPr>
          <w:rFonts w:hint="eastAsia" w:ascii="方正楷体_GBK" w:hAnsi="Times New Roman" w:eastAsia="方正楷体_GBK"/>
          <w:kern w:val="0"/>
          <w:sz w:val="32"/>
          <w:szCs w:val="32"/>
        </w:rPr>
        <w:t>（二）</w:t>
      </w:r>
      <w:r>
        <w:rPr>
          <w:rFonts w:hint="eastAsia" w:ascii="方正楷体_GBK" w:hAnsi="Times New Roman" w:eastAsia="方正楷体_GBK"/>
          <w:sz w:val="32"/>
          <w:szCs w:val="32"/>
        </w:rPr>
        <w:t>全面强化质量安全管理</w:t>
      </w:r>
    </w:p>
    <w:p>
      <w:pPr>
        <w:pStyle w:val="3"/>
        <w:spacing w:line="560" w:lineRule="exact"/>
        <w:ind w:left="0" w:leftChars="0" w:firstLine="643" w:firstLineChars="200"/>
      </w:pPr>
      <w:r>
        <w:rPr>
          <w:rFonts w:hint="eastAsia"/>
          <w:b/>
        </w:rPr>
        <w:t>一是压实总承包企业主体责任</w:t>
      </w:r>
      <w:r>
        <w:rPr>
          <w:rFonts w:hint="eastAsia"/>
        </w:rPr>
        <w:t>。总承包企业作为用工主体，对所承建工程的质量、安全生产和工人工资支付等负总责，应当建立施工现场所有工人详细台账，包含专业作业企业工人和自有工人身份信息、技能等级、证书情况、岗前培训情况、所负责工种、作业面位置以及施工质量安全记录等信息。总承包企业对所用工企业未按时足额支付工资承担先行清偿责任，对因转包、违法分包等问题造成的拖欠问题承担全部责任。加强质量安全日常巡查、督查，相关部门发现企业存在自有工人在岗数量不足、技能证书人证不符、以管理和后勤人员冒充顶替自有工人等情况的，应立即要求限期整改，整改不到位的，已享受的自有工人相关优惠政策立即予以取消并通报批评，纳入诚信管理。</w:t>
      </w:r>
    </w:p>
    <w:p>
      <w:pPr>
        <w:adjustRightInd w:val="0"/>
        <w:snapToGrid w:val="0"/>
        <w:spacing w:line="560" w:lineRule="exact"/>
        <w:ind w:firstLine="643" w:firstLineChars="200"/>
        <w:rPr>
          <w:rFonts w:ascii="方正仿宋_GBK" w:hAnsi="Times New Roman" w:eastAsia="方正仿宋_GBK"/>
          <w:sz w:val="32"/>
          <w:szCs w:val="32"/>
        </w:rPr>
      </w:pPr>
      <w:r>
        <w:rPr>
          <w:rFonts w:hint="eastAsia" w:ascii="方正仿宋_GBK" w:hAnsi="Times New Roman" w:eastAsia="方正仿宋_GBK"/>
          <w:b/>
          <w:sz w:val="32"/>
          <w:szCs w:val="32"/>
        </w:rPr>
        <w:t>二是全面实施实名制管理。</w:t>
      </w:r>
      <w:r>
        <w:rPr>
          <w:rFonts w:hint="eastAsia" w:ascii="方正仿宋_GBK" w:hAnsi="Times New Roman" w:eastAsia="方正仿宋_GBK"/>
          <w:sz w:val="32"/>
          <w:szCs w:val="32"/>
        </w:rPr>
        <w:t>建立完善全市建筑工人实名制信息数据库，动态记录建筑工人培训考核、技能等级、工资发放、从业记录、诚信以及现场作业绩效等信息情况。建筑工人经过岗前基本安全培训并在信息库中加以记载后，方可允许进入施工现场作业。信息数据1年以上无数据更新的，再次从事建筑作业时，建筑企业应当对其重新进行基本安全培训，记录相关信息，否则不得进入现场施工作业。</w:t>
      </w:r>
    </w:p>
    <w:p>
      <w:pPr>
        <w:adjustRightInd w:val="0"/>
        <w:snapToGrid w:val="0"/>
        <w:spacing w:line="560" w:lineRule="exact"/>
        <w:ind w:firstLine="643" w:firstLineChars="200"/>
        <w:rPr>
          <w:rFonts w:ascii="方正仿宋_GBK" w:eastAsia="方正仿宋_GBK"/>
          <w:sz w:val="32"/>
          <w:szCs w:val="32"/>
        </w:rPr>
      </w:pPr>
      <w:r>
        <w:rPr>
          <w:rFonts w:hint="eastAsia" w:ascii="方正仿宋_GBK" w:eastAsia="方正仿宋_GBK"/>
          <w:b/>
          <w:sz w:val="32"/>
          <w:szCs w:val="32"/>
        </w:rPr>
        <w:t>三是实施建筑用工信用分级分类监管。</w:t>
      </w:r>
      <w:r>
        <w:rPr>
          <w:rFonts w:hint="eastAsia" w:ascii="方正仿宋_GBK" w:eastAsia="方正仿宋_GBK"/>
          <w:sz w:val="32"/>
          <w:szCs w:val="32"/>
        </w:rPr>
        <w:t>构建我市建筑用工“守信激励、失信惩戒”的诚信管理体系，建立健全专业作业企业和建筑工人诚信档案和评价制度。对专业作业企业以及建筑工人的不良行为、不落实安全责任、发生质量安全事故等违法违规行为情况，给予诚信扣分，加密检查频次，直至取消专业作业企业备案，撤销人员技能等级证书等处罚；对于管理科学、手艺精湛、责任心强、无不良记录的专业作业企业和建筑工人，给予诚信加分，减少检查频次，并在评优评先或试点示范中予以优先推荐。企业诚信综合评价结果及时与市公共信用信息平台共享，并依法向社会公开。</w:t>
      </w:r>
    </w:p>
    <w:p>
      <w:pPr>
        <w:pStyle w:val="3"/>
        <w:spacing w:line="560" w:lineRule="exact"/>
        <w:ind w:left="0" w:leftChars="0" w:firstLine="643" w:firstLineChars="200"/>
      </w:pPr>
      <w:r>
        <w:rPr>
          <w:rFonts w:hint="eastAsia"/>
          <w:b/>
        </w:rPr>
        <w:t>四是切实加强建筑工人组织管理</w:t>
      </w:r>
      <w:r>
        <w:rPr>
          <w:rFonts w:hint="eastAsia"/>
        </w:rPr>
        <w:t>。严格落实“谁使用、谁负责”</w:t>
      </w:r>
      <w:r>
        <w:rPr>
          <w:rFonts w:hint="eastAsia" w:ascii="方正仿宋_GBK"/>
        </w:rPr>
        <w:t>“谁</w:t>
      </w:r>
      <w:r>
        <w:rPr>
          <w:rFonts w:hint="eastAsia" w:ascii="方正仿宋_GBK" w:hAnsi="宋体" w:cs="宋体"/>
        </w:rPr>
        <w:t>带班、谁负责</w:t>
      </w:r>
      <w:r>
        <w:rPr>
          <w:rFonts w:hint="eastAsia" w:ascii="方正仿宋_GBK"/>
        </w:rPr>
        <w:t>”</w:t>
      </w:r>
      <w:r>
        <w:rPr>
          <w:rFonts w:hint="eastAsia"/>
        </w:rPr>
        <w:t>要求，切实加强和规范建筑用工管理。项目负责人作为施工现场安全生产第一责任人，全面负责建筑工人住宿、生活、安全、社会治安、工作任务等事项的管理。严格落实施工现场领导带班制度，专业作业企业负责人作为班组长、技术骨干和带头人，要带头落实好现场管理规定，施工期间工地出勤率原则上不低于70%。严格落实工人实名制管理和施工现场进出场管理规定，根据施工作业需要，建立技能工人配备合理、专业工种配套的施工作业班组，原则上以企业自有工人和自有专业企业为主，以长期稳定协作的本乡本土临时用工和以工代赈用工为辅，杜绝使用临时挂靠、未经考核的外部流动人员或没有实名制信息的人员，谨慎使用纳入“</w:t>
      </w:r>
      <w:r>
        <w:rPr>
          <w:rFonts w:hint="eastAsia" w:ascii="方正仿宋_GBK"/>
        </w:rPr>
        <w:t>黑名</w:t>
      </w:r>
      <w:r>
        <w:rPr>
          <w:rFonts w:hint="eastAsia" w:ascii="方正仿宋_GBK" w:hAnsi="宋体" w:cs="宋体"/>
        </w:rPr>
        <w:t>单</w:t>
      </w:r>
      <w:r>
        <w:rPr>
          <w:rFonts w:hint="eastAsia" w:ascii="方正仿宋_GBK"/>
        </w:rPr>
        <w:t>”记录的企业和人员</w:t>
      </w:r>
      <w:r>
        <w:rPr>
          <w:rFonts w:hint="eastAsia"/>
        </w:rPr>
        <w:t>。</w:t>
      </w:r>
    </w:p>
    <w:p>
      <w:pPr>
        <w:pStyle w:val="3"/>
        <w:spacing w:line="560" w:lineRule="exact"/>
        <w:ind w:left="0" w:leftChars="0" w:firstLine="643" w:firstLineChars="200"/>
        <w:rPr>
          <w:rFonts w:ascii="方正仿宋_GBK"/>
          <w:szCs w:val="32"/>
        </w:rPr>
      </w:pPr>
      <w:r>
        <w:rPr>
          <w:rFonts w:hint="eastAsia" w:ascii="方正仿宋_GBK"/>
          <w:b/>
          <w:szCs w:val="32"/>
        </w:rPr>
        <w:t>五是构建与技能等级、质量安全挂钩的薪酬机制</w:t>
      </w:r>
      <w:r>
        <w:rPr>
          <w:rFonts w:hint="eastAsia" w:ascii="方正仿宋_GBK"/>
          <w:szCs w:val="32"/>
        </w:rPr>
        <w:t>。坚持“技高者多得、多劳者多得、绩优者多得”的原则，积极引导企业建立与工人技能等级、施工质量水平、安全责任落实、业绩贡献、工作年限等挂钩的薪酬激励机制。建筑企业要牢固树立高质量发展理念，大力弘扬工匠精神，营造争创优质工程的良好氛围，大力提倡在关键岗位、关键工序培养使用高技能人才和高薪待遇，将质量安全检查结果落实在工人薪酬管理上来，以施工质量、安全责任落实为抓手，以薪酬激励促进工程质量安全水平和建筑工人技能水平的提升。</w:t>
      </w:r>
    </w:p>
    <w:p>
      <w:pPr>
        <w:adjustRightInd w:val="0"/>
        <w:spacing w:line="560" w:lineRule="exact"/>
        <w:ind w:firstLine="640" w:firstLineChars="200"/>
        <w:jc w:val="left"/>
        <w:rPr>
          <w:rFonts w:ascii="方正楷体_GBK" w:hAnsi="黑体" w:eastAsia="方正楷体_GBK" w:cs="黑体"/>
          <w:sz w:val="32"/>
          <w:szCs w:val="32"/>
        </w:rPr>
      </w:pPr>
      <w:r>
        <w:rPr>
          <w:rFonts w:hint="eastAsia" w:ascii="方正楷体_GBK" w:eastAsia="方正楷体_GBK"/>
          <w:sz w:val="32"/>
          <w:szCs w:val="32"/>
        </w:rPr>
        <w:t>（三）</w:t>
      </w:r>
      <w:r>
        <w:rPr>
          <w:rFonts w:hint="eastAsia" w:ascii="方正楷体_GBK" w:hAnsi="黑体" w:eastAsia="方正楷体_GBK" w:cs="黑体"/>
          <w:sz w:val="32"/>
          <w:szCs w:val="32"/>
        </w:rPr>
        <w:t>提升自有工人技能水平</w:t>
      </w:r>
    </w:p>
    <w:p>
      <w:pPr>
        <w:spacing w:line="56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1．提高职工教育经费及相关费用标准</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一是单列职工教育经费</w:t>
      </w:r>
      <w:r>
        <w:rPr>
          <w:rFonts w:hint="eastAsia" w:ascii="Times New Roman" w:hAnsi="Times New Roman" w:eastAsia="方正仿宋_GBK"/>
          <w:sz w:val="32"/>
          <w:szCs w:val="32"/>
        </w:rPr>
        <w:t>。按工资总额的2.5%～4%计取建筑企业职工教育经费，并在工程造价费用中单独列项，作为非竞争性费用。建设单位要在招投标文件中给予明确，企业在投标报价时不得下浮。制定我市建筑企业职工教育经费计取和使用管理办法，明确职工教育经费60%以上用于自有工人的教育培训，确保专款专用。鼓励建筑企业加大自有工人教育培训投入，企业职工教育经费支出不超过工资总额8%的部分，准予企业在计算应纳税所得额时扣除，超过部分准予在以后纳税年度结转扣除。</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二是优化定额编制</w:t>
      </w:r>
      <w:r>
        <w:rPr>
          <w:rFonts w:hint="eastAsia" w:ascii="Times New Roman" w:hAnsi="Times New Roman" w:eastAsia="方正仿宋_GBK"/>
          <w:sz w:val="32"/>
          <w:szCs w:val="32"/>
        </w:rPr>
        <w:t>。充分考虑我市大力培育新型产业工人和提高自有工人比例等因素，人工工种及人工单价应根据我市建筑市场实际情况制定，不断提高关键技术、</w:t>
      </w:r>
      <w:r>
        <w:rPr>
          <w:rFonts w:hint="eastAsia" w:ascii="方正仿宋_GBK" w:hAnsi="宋体" w:eastAsia="方正仿宋_GBK" w:cs="宋体"/>
          <w:sz w:val="32"/>
          <w:szCs w:val="32"/>
        </w:rPr>
        <w:t>关键</w:t>
      </w:r>
      <w:r>
        <w:rPr>
          <w:rFonts w:hint="eastAsia" w:ascii="Times New Roman" w:hAnsi="Times New Roman" w:eastAsia="方正仿宋_GBK"/>
          <w:sz w:val="32"/>
          <w:szCs w:val="32"/>
        </w:rPr>
        <w:t>技能岗位的人工工资水平。同时优化工程规费（含养老保险费、工伤保险费、医疗保险费、生育保险费、失业保险费、住房公积金）计取标准，确保规费不得作为竞争性费用。</w:t>
      </w:r>
    </w:p>
    <w:p>
      <w:pPr>
        <w:adjustRightInd w:val="0"/>
        <w:snapToGrid w:val="0"/>
        <w:spacing w:line="56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2．加强行业技能培训与考核评价</w:t>
      </w:r>
    </w:p>
    <w:p>
      <w:pPr>
        <w:pStyle w:val="3"/>
        <w:spacing w:line="560" w:lineRule="exact"/>
        <w:ind w:left="0" w:leftChars="0" w:firstLine="643" w:firstLineChars="200"/>
        <w:rPr>
          <w:rFonts w:ascii="方正仿宋_GBK"/>
          <w:szCs w:val="32"/>
        </w:rPr>
      </w:pPr>
      <w:r>
        <w:rPr>
          <w:rFonts w:hint="eastAsia" w:ascii="方正仿宋_GBK"/>
          <w:b/>
          <w:szCs w:val="32"/>
        </w:rPr>
        <w:t>一是完善职业技能培训体系。</w:t>
      </w:r>
      <w:r>
        <w:rPr>
          <w:rFonts w:hint="eastAsia" w:ascii="方正仿宋_GBK"/>
          <w:szCs w:val="32"/>
        </w:rPr>
        <w:t>以企业自主培训、市场化培训为主要供给，以政府补贴培训为有益补充，构建布局合理、结构优化、载体多元的培训组织实施体系。鼓励扶持龙头企业、试点企业与职业院校产教融合共建装配式建筑及技能人才培训基地，积极推广“智能﹢技能”“互联网﹢培训”，对培训考核全过程进行信息化管理。各区县要将建筑工人职业技能培训纳入公共就业服务体系，按规定落实职业培训补贴、职业技能鉴定补贴、企业参保职工技能提升补贴。</w:t>
      </w:r>
    </w:p>
    <w:p>
      <w:pPr>
        <w:pStyle w:val="3"/>
        <w:spacing w:line="560" w:lineRule="exact"/>
        <w:ind w:left="0" w:leftChars="0" w:firstLine="643" w:firstLineChars="200"/>
        <w:rPr>
          <w:rFonts w:ascii="方正仿宋_GBK"/>
          <w:szCs w:val="32"/>
        </w:rPr>
      </w:pPr>
      <w:r>
        <w:rPr>
          <w:rFonts w:hint="eastAsia" w:ascii="方正仿宋_GBK"/>
          <w:b/>
          <w:szCs w:val="32"/>
        </w:rPr>
        <w:t>二是充分发挥企业培训主体作用</w:t>
      </w:r>
      <w:r>
        <w:rPr>
          <w:rFonts w:hint="eastAsia" w:ascii="方正仿宋_GBK"/>
          <w:szCs w:val="32"/>
        </w:rPr>
        <w:t>。落实企业人才培训主体责任，督促企业通过自主培训或委托培训方式，加大对自有工人的培训力度。支持试点企业和自有工人较多企业建立自主培训评价机制，充分利用施工现场，采取集中培训、校企合作、工学结合、在线学习、新型学徒制等方式开展技能培训。鼓励引导建筑企业积极接收高校毕业生等就业重点群体，用好用足就业创业补贴、社保补贴等相关政策。</w:t>
      </w:r>
    </w:p>
    <w:p>
      <w:pPr>
        <w:pStyle w:val="3"/>
        <w:spacing w:line="560" w:lineRule="exact"/>
        <w:ind w:left="0" w:leftChars="0" w:firstLine="643" w:firstLineChars="200"/>
        <w:rPr>
          <w:rFonts w:ascii="方正仿宋_GBK"/>
          <w:szCs w:val="32"/>
        </w:rPr>
      </w:pPr>
      <w:r>
        <w:rPr>
          <w:rFonts w:hint="eastAsia" w:ascii="方正仿宋_GBK"/>
          <w:b/>
          <w:bCs/>
          <w:szCs w:val="32"/>
        </w:rPr>
        <w:t>三是全面开展技能人才评价。</w:t>
      </w:r>
      <w:r>
        <w:rPr>
          <w:rFonts w:hint="eastAsia" w:ascii="方正仿宋_GBK"/>
          <w:szCs w:val="32"/>
        </w:rPr>
        <w:t>支持龙头企业和试点企业取得人社部门的职业技能等级评价资格。探索推行人社部门职业技能等级认定与住建系统考核评价贯通发展，对于考核评价标准相同或相近的职业（工种），取得职业技能等级证书或住建系统考核评价证书的，互为双方高一等级考核评价申报条件。积极推进职业技能等级认定与住</w:t>
      </w:r>
      <w:r>
        <w:rPr>
          <w:rFonts w:hint="eastAsia" w:ascii="方正仿宋_GBK" w:hAnsi="宋体" w:cs="宋体"/>
          <w:szCs w:val="32"/>
        </w:rPr>
        <w:t>建系统</w:t>
      </w:r>
      <w:r>
        <w:rPr>
          <w:rFonts w:hint="eastAsia" w:ascii="方正仿宋_GBK"/>
          <w:szCs w:val="32"/>
        </w:rPr>
        <w:t>考核评价“一考双证”，择优培育同时具备人社部门等级认定、住建系统考核评价资格的企业或社会培训评价组织，实现评价一次，核发“双证”。</w:t>
      </w:r>
    </w:p>
    <w:p>
      <w:pPr>
        <w:pStyle w:val="3"/>
        <w:spacing w:line="560" w:lineRule="exact"/>
        <w:ind w:left="0" w:leftChars="0" w:firstLine="640" w:firstLineChars="200"/>
        <w:jc w:val="left"/>
        <w:rPr>
          <w:rFonts w:ascii="方正楷体_GBK" w:eastAsia="方正楷体_GBK"/>
          <w:szCs w:val="32"/>
        </w:rPr>
      </w:pPr>
      <w:r>
        <w:rPr>
          <w:rFonts w:hint="eastAsia" w:ascii="方正楷体_GBK" w:eastAsia="方正楷体_GBK"/>
          <w:szCs w:val="32"/>
        </w:rPr>
        <w:t>3．广泛开展劳动和技能竞赛</w:t>
      </w:r>
    </w:p>
    <w:p>
      <w:pPr>
        <w:adjustRightInd w:val="0"/>
        <w:snapToGrid w:val="0"/>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一是发挥劳动和技能竞赛引领作用</w:t>
      </w:r>
      <w:r>
        <w:rPr>
          <w:rFonts w:hint="eastAsia" w:ascii="Times New Roman" w:hAnsi="Times New Roman" w:eastAsia="方正仿宋_GBK"/>
          <w:sz w:val="32"/>
          <w:szCs w:val="32"/>
        </w:rPr>
        <w:t>。组织开展形式多样、专业覆盖全面的建筑技能竞赛，发现人才和培养人才。鼓励各区县、行业协会、企业积极开展岗位练兵、技术比武、技能竞赛等活动。组织实施“巴渝工匠”杯和“川渝住建”杯等技能竞赛，营造崇尚技能的良好氛围。</w:t>
      </w:r>
    </w:p>
    <w:p>
      <w:pPr>
        <w:adjustRightInd w:val="0"/>
        <w:snapToGrid w:val="0"/>
        <w:spacing w:line="560" w:lineRule="exact"/>
        <w:ind w:firstLine="643" w:firstLineChars="200"/>
        <w:rPr>
          <w:rFonts w:ascii="Times New Roman" w:hAnsi="Times New Roman"/>
        </w:rPr>
      </w:pPr>
      <w:r>
        <w:rPr>
          <w:rFonts w:hint="eastAsia" w:ascii="Times New Roman" w:hAnsi="Times New Roman" w:eastAsia="方正仿宋_GBK"/>
          <w:b/>
          <w:sz w:val="32"/>
          <w:szCs w:val="32"/>
        </w:rPr>
        <w:t>二是健全劳动和技能竞赛成果转化机制</w:t>
      </w:r>
      <w:r>
        <w:rPr>
          <w:rFonts w:hint="eastAsia" w:ascii="Times New Roman" w:hAnsi="Times New Roman" w:eastAsia="方正仿宋_GBK"/>
          <w:sz w:val="32"/>
          <w:szCs w:val="32"/>
        </w:rPr>
        <w:t>。</w:t>
      </w:r>
      <w:r>
        <w:rPr>
          <w:rFonts w:ascii="Times New Roman" w:hAnsi="Times New Roman" w:eastAsia="方正仿宋_GBK"/>
          <w:sz w:val="32"/>
          <w:szCs w:val="32"/>
        </w:rPr>
        <w:t>完善</w:t>
      </w:r>
      <w:r>
        <w:rPr>
          <w:rFonts w:hint="eastAsia" w:ascii="Times New Roman" w:hAnsi="Times New Roman" w:eastAsia="方正仿宋_GBK"/>
          <w:sz w:val="32"/>
          <w:szCs w:val="32"/>
        </w:rPr>
        <w:t>劳动和</w:t>
      </w:r>
      <w:r>
        <w:rPr>
          <w:rFonts w:ascii="Times New Roman" w:hAnsi="Times New Roman" w:eastAsia="方正仿宋_GBK"/>
          <w:sz w:val="32"/>
          <w:szCs w:val="32"/>
        </w:rPr>
        <w:t>技能竞赛奖励制度，</w:t>
      </w:r>
      <w:r>
        <w:rPr>
          <w:rFonts w:hint="eastAsia" w:ascii="Times New Roman" w:hAnsi="Times New Roman" w:eastAsia="方正仿宋_GBK"/>
          <w:sz w:val="32"/>
          <w:szCs w:val="32"/>
        </w:rPr>
        <w:t>拓宽技能人才上升通道，加强住房城乡、</w:t>
      </w:r>
      <w:r>
        <w:rPr>
          <w:rFonts w:ascii="Times New Roman" w:hAnsi="Times New Roman" w:eastAsia="方正仿宋_GBK"/>
          <w:sz w:val="32"/>
          <w:szCs w:val="32"/>
        </w:rPr>
        <w:t>人</w:t>
      </w:r>
      <w:r>
        <w:rPr>
          <w:rFonts w:hint="eastAsia" w:ascii="Times New Roman" w:hAnsi="Times New Roman" w:eastAsia="方正仿宋_GBK"/>
          <w:sz w:val="32"/>
          <w:szCs w:val="32"/>
        </w:rPr>
        <w:t>力</w:t>
      </w:r>
      <w:r>
        <w:rPr>
          <w:rFonts w:ascii="Times New Roman" w:hAnsi="Times New Roman" w:eastAsia="方正仿宋_GBK"/>
          <w:sz w:val="32"/>
          <w:szCs w:val="32"/>
        </w:rPr>
        <w:t>社</w:t>
      </w:r>
      <w:r>
        <w:rPr>
          <w:rFonts w:hint="eastAsia" w:ascii="Times New Roman" w:hAnsi="Times New Roman" w:eastAsia="方正仿宋_GBK"/>
          <w:sz w:val="32"/>
          <w:szCs w:val="32"/>
        </w:rPr>
        <w:t>保</w:t>
      </w:r>
      <w:r>
        <w:rPr>
          <w:rFonts w:ascii="Times New Roman" w:hAnsi="Times New Roman" w:eastAsia="方正仿宋_GBK"/>
          <w:sz w:val="32"/>
          <w:szCs w:val="32"/>
        </w:rPr>
        <w:t>、工会等部门的</w:t>
      </w:r>
      <w:r>
        <w:rPr>
          <w:rFonts w:hint="eastAsia" w:ascii="Times New Roman" w:hAnsi="Times New Roman" w:eastAsia="方正仿宋_GBK"/>
          <w:sz w:val="32"/>
          <w:szCs w:val="32"/>
        </w:rPr>
        <w:t>协同合作</w:t>
      </w:r>
      <w:r>
        <w:rPr>
          <w:rFonts w:ascii="Times New Roman" w:hAnsi="Times New Roman" w:eastAsia="方正仿宋_GBK"/>
          <w:sz w:val="32"/>
          <w:szCs w:val="32"/>
        </w:rPr>
        <w:t>，将建筑</w:t>
      </w:r>
      <w:r>
        <w:rPr>
          <w:rFonts w:hint="eastAsia" w:ascii="Times New Roman" w:hAnsi="Times New Roman" w:eastAsia="方正仿宋_GBK"/>
          <w:sz w:val="32"/>
          <w:szCs w:val="32"/>
        </w:rPr>
        <w:t>劳动和</w:t>
      </w:r>
      <w:r>
        <w:rPr>
          <w:rFonts w:ascii="Times New Roman" w:hAnsi="Times New Roman" w:eastAsia="方正仿宋_GBK"/>
          <w:sz w:val="32"/>
          <w:szCs w:val="32"/>
        </w:rPr>
        <w:t>技能竞赛</w:t>
      </w:r>
      <w:r>
        <w:rPr>
          <w:rFonts w:hint="eastAsia" w:ascii="Times New Roman" w:hAnsi="Times New Roman" w:eastAsia="方正仿宋_GBK"/>
          <w:sz w:val="32"/>
          <w:szCs w:val="32"/>
        </w:rPr>
        <w:t>优胜集体和个人纳入</w:t>
      </w:r>
      <w:r>
        <w:rPr>
          <w:rFonts w:ascii="Times New Roman" w:hAnsi="Times New Roman" w:eastAsia="方正仿宋_GBK"/>
          <w:sz w:val="32"/>
          <w:szCs w:val="32"/>
        </w:rPr>
        <w:t>重庆市五一劳动奖章</w:t>
      </w:r>
      <w:r>
        <w:rPr>
          <w:rFonts w:hint="eastAsia" w:ascii="Times New Roman" w:hAnsi="Times New Roman" w:eastAsia="方正仿宋_GBK"/>
          <w:sz w:val="32"/>
          <w:szCs w:val="32"/>
        </w:rPr>
        <w:t>和重庆市工人先锋号推荐评选范围，按规定推荐纳入“重庆技能大师”“全市技术能手”“巴渝工匠”</w:t>
      </w:r>
      <w:r>
        <w:rPr>
          <w:rFonts w:ascii="Times New Roman" w:hAnsi="Times New Roman" w:eastAsia="方正仿宋_GBK"/>
          <w:sz w:val="32"/>
          <w:szCs w:val="32"/>
        </w:rPr>
        <w:t>等称号候选人。</w:t>
      </w:r>
      <w:r>
        <w:rPr>
          <w:rFonts w:hint="eastAsia" w:ascii="Times New Roman" w:hAnsi="Times New Roman" w:eastAsia="方正仿宋_GBK"/>
          <w:sz w:val="32"/>
          <w:szCs w:val="32"/>
        </w:rPr>
        <w:t>面向建筑技能竞赛获奖选手，按规定颁发高级工、技师、高级技师等职业技能等级证书。</w:t>
      </w:r>
    </w:p>
    <w:p>
      <w:pPr>
        <w:widowControl/>
        <w:shd w:val="clear" w:color="auto" w:fill="FFFFFF"/>
        <w:adjustRightInd w:val="0"/>
        <w:snapToGrid w:val="0"/>
        <w:spacing w:line="560" w:lineRule="exact"/>
        <w:ind w:firstLine="640" w:firstLineChars="200"/>
        <w:rPr>
          <w:rFonts w:ascii="Times New Roman" w:hAnsi="Times New Roman" w:eastAsia="方正楷体_GBK"/>
          <w:kern w:val="0"/>
          <w:sz w:val="32"/>
          <w:szCs w:val="32"/>
        </w:rPr>
      </w:pPr>
      <w:r>
        <w:rPr>
          <w:rFonts w:hint="eastAsia" w:ascii="Times New Roman" w:hAnsi="Times New Roman" w:eastAsia="方正楷体_GBK"/>
          <w:kern w:val="0"/>
          <w:sz w:val="32"/>
          <w:szCs w:val="32"/>
        </w:rPr>
        <w:t>（四）</w:t>
      </w:r>
      <w:r>
        <w:rPr>
          <w:rFonts w:ascii="Times New Roman" w:hAnsi="Times New Roman" w:eastAsia="方正楷体_GBK"/>
          <w:kern w:val="0"/>
          <w:sz w:val="32"/>
          <w:szCs w:val="32"/>
        </w:rPr>
        <w:t>进一步保障建筑工人权益</w:t>
      </w:r>
    </w:p>
    <w:p>
      <w:pPr>
        <w:spacing w:line="560" w:lineRule="exact"/>
        <w:ind w:firstLine="643" w:firstLineChars="200"/>
        <w:rPr>
          <w:rFonts w:ascii="Times New Roman" w:hAnsi="Times New Roman" w:eastAsia="方正仿宋_GBK"/>
          <w:sz w:val="32"/>
          <w:szCs w:val="32"/>
        </w:rPr>
      </w:pPr>
      <w:r>
        <w:rPr>
          <w:rFonts w:hint="eastAsia" w:ascii="Times New Roman" w:hAnsi="Times New Roman" w:eastAsia="方正仿宋_GBK"/>
          <w:b/>
          <w:sz w:val="32"/>
          <w:szCs w:val="32"/>
        </w:rPr>
        <w:t>一是逐步提高建筑工人社会保险覆盖率</w:t>
      </w:r>
      <w:r>
        <w:rPr>
          <w:rFonts w:ascii="Times New Roman" w:hAnsi="Times New Roman" w:eastAsia="方正仿宋_GBK"/>
          <w:sz w:val="32"/>
          <w:szCs w:val="32"/>
        </w:rPr>
        <w:t>。督促企业将自有工人依法纳入</w:t>
      </w:r>
      <w:r>
        <w:rPr>
          <w:rFonts w:hint="eastAsia" w:ascii="Times New Roman" w:hAnsi="Times New Roman" w:eastAsia="方正仿宋_GBK"/>
          <w:sz w:val="32"/>
          <w:szCs w:val="32"/>
        </w:rPr>
        <w:t>职工基本养老保险</w:t>
      </w:r>
      <w:r>
        <w:rPr>
          <w:rFonts w:ascii="Times New Roman" w:hAnsi="Times New Roman" w:eastAsia="方正仿宋_GBK"/>
          <w:sz w:val="32"/>
          <w:szCs w:val="32"/>
        </w:rPr>
        <w:t>覆盖范围</w:t>
      </w:r>
      <w:r>
        <w:rPr>
          <w:rFonts w:hint="eastAsia" w:ascii="Times New Roman" w:hAnsi="Times New Roman" w:eastAsia="方正仿宋_GBK"/>
          <w:sz w:val="32"/>
          <w:szCs w:val="32"/>
        </w:rPr>
        <w:t>，企业要配合工人做好</w:t>
      </w:r>
      <w:r>
        <w:rPr>
          <w:rFonts w:ascii="Times New Roman" w:hAnsi="Times New Roman" w:eastAsia="方正仿宋_GBK"/>
          <w:sz w:val="32"/>
          <w:szCs w:val="32"/>
        </w:rPr>
        <w:t>跨地区、跨</w:t>
      </w:r>
      <w:r>
        <w:rPr>
          <w:rFonts w:hint="eastAsia" w:ascii="Times New Roman" w:hAnsi="Times New Roman" w:eastAsia="方正仿宋_GBK"/>
          <w:sz w:val="32"/>
          <w:szCs w:val="32"/>
        </w:rPr>
        <w:t>体制</w:t>
      </w:r>
      <w:r>
        <w:rPr>
          <w:rFonts w:ascii="Times New Roman" w:hAnsi="Times New Roman" w:eastAsia="方正仿宋_GBK"/>
          <w:sz w:val="32"/>
          <w:szCs w:val="32"/>
        </w:rPr>
        <w:t>流动时养老保障权益</w:t>
      </w:r>
      <w:r>
        <w:rPr>
          <w:rFonts w:hint="eastAsia" w:ascii="Times New Roman" w:hAnsi="Times New Roman" w:eastAsia="方正仿宋_GBK"/>
          <w:sz w:val="32"/>
          <w:szCs w:val="32"/>
        </w:rPr>
        <w:t>的转接和续保工作。指导建筑企业用足用好各项社保稳岗优惠政策，</w:t>
      </w:r>
      <w:r>
        <w:rPr>
          <w:rFonts w:ascii="Times New Roman" w:hAnsi="Times New Roman" w:eastAsia="方正仿宋_GBK"/>
          <w:sz w:val="32"/>
          <w:szCs w:val="32"/>
        </w:rPr>
        <w:t>推动实施在劳动合同的薪酬中列明用于</w:t>
      </w:r>
      <w:r>
        <w:rPr>
          <w:rFonts w:hint="eastAsia" w:ascii="Times New Roman" w:hAnsi="Times New Roman" w:eastAsia="方正仿宋_GBK"/>
          <w:sz w:val="32"/>
          <w:szCs w:val="32"/>
        </w:rPr>
        <w:t>建筑</w:t>
      </w:r>
      <w:r>
        <w:rPr>
          <w:rFonts w:ascii="Times New Roman" w:hAnsi="Times New Roman" w:eastAsia="方正仿宋_GBK"/>
          <w:sz w:val="32"/>
          <w:szCs w:val="32"/>
        </w:rPr>
        <w:t>工人参保所需费用的制度，在逐步实现社保统筹、应参尽参的基础上，优先确保建筑工人工伤保险参保率100%。</w:t>
      </w:r>
    </w:p>
    <w:p>
      <w:pPr>
        <w:widowControl/>
        <w:shd w:val="clear" w:color="auto" w:fill="FFFFFF"/>
        <w:adjustRightInd w:val="0"/>
        <w:snapToGrid w:val="0"/>
        <w:spacing w:line="560" w:lineRule="exact"/>
        <w:ind w:firstLine="643" w:firstLineChars="200"/>
        <w:jc w:val="left"/>
        <w:rPr>
          <w:rFonts w:ascii="Times New Roman" w:hAnsi="Times New Roman" w:eastAsia="方正仿宋_GBK"/>
          <w:sz w:val="32"/>
          <w:szCs w:val="32"/>
        </w:rPr>
      </w:pPr>
      <w:r>
        <w:rPr>
          <w:rFonts w:hint="eastAsia" w:ascii="Times New Roman" w:hAnsi="Times New Roman" w:eastAsia="方正仿宋_GBK"/>
          <w:b/>
          <w:sz w:val="32"/>
          <w:szCs w:val="32"/>
        </w:rPr>
        <w:t>二是进一步提高建筑工人待遇</w:t>
      </w:r>
      <w:r>
        <w:rPr>
          <w:rFonts w:hint="eastAsia" w:ascii="Times New Roman" w:hAnsi="Times New Roman" w:eastAsia="方正仿宋_GBK"/>
          <w:sz w:val="32"/>
          <w:szCs w:val="32"/>
        </w:rPr>
        <w:t>。</w:t>
      </w:r>
      <w:r>
        <w:rPr>
          <w:rFonts w:ascii="Times New Roman" w:hAnsi="Times New Roman" w:eastAsia="方正仿宋_GBK"/>
          <w:sz w:val="32"/>
          <w:szCs w:val="32"/>
        </w:rPr>
        <w:t>及时发布</w:t>
      </w:r>
      <w:r>
        <w:rPr>
          <w:rFonts w:hint="eastAsia" w:ascii="Times New Roman" w:hAnsi="Times New Roman" w:eastAsia="方正仿宋_GBK"/>
          <w:sz w:val="32"/>
          <w:szCs w:val="32"/>
        </w:rPr>
        <w:t>建设工程人工信息价</w:t>
      </w:r>
      <w:r>
        <w:rPr>
          <w:rFonts w:ascii="Times New Roman" w:hAnsi="Times New Roman" w:eastAsia="方正仿宋_GBK"/>
          <w:sz w:val="32"/>
          <w:szCs w:val="32"/>
        </w:rPr>
        <w:t>。指导企业设置特聘岗位津贴、带徒津贴、技能人才技术等级补贴</w:t>
      </w:r>
      <w:r>
        <w:rPr>
          <w:rFonts w:hint="eastAsia" w:ascii="Times New Roman" w:hAnsi="Times New Roman" w:eastAsia="方正仿宋_GBK"/>
          <w:sz w:val="32"/>
          <w:szCs w:val="32"/>
        </w:rPr>
        <w:t>，</w:t>
      </w:r>
      <w:r>
        <w:rPr>
          <w:rFonts w:ascii="Times New Roman" w:hAnsi="Times New Roman" w:eastAsia="方正仿宋_GBK"/>
          <w:sz w:val="32"/>
          <w:szCs w:val="32"/>
        </w:rPr>
        <w:t>健全</w:t>
      </w:r>
      <w:r>
        <w:rPr>
          <w:rFonts w:hint="eastAsia" w:ascii="Times New Roman" w:hAnsi="Times New Roman" w:eastAsia="方正仿宋_GBK"/>
          <w:sz w:val="32"/>
          <w:szCs w:val="32"/>
        </w:rPr>
        <w:t>建筑企业自有工人</w:t>
      </w:r>
      <w:r>
        <w:rPr>
          <w:rFonts w:ascii="Times New Roman" w:hAnsi="Times New Roman" w:eastAsia="方正仿宋_GBK"/>
          <w:sz w:val="32"/>
          <w:szCs w:val="32"/>
        </w:rPr>
        <w:t>工资正常增长机制。</w:t>
      </w:r>
    </w:p>
    <w:p>
      <w:pPr>
        <w:widowControl/>
        <w:shd w:val="clear" w:color="auto" w:fill="FFFFFF"/>
        <w:adjustRightInd w:val="0"/>
        <w:snapToGrid w:val="0"/>
        <w:spacing w:line="560" w:lineRule="exact"/>
        <w:ind w:firstLine="643" w:firstLineChars="200"/>
        <w:jc w:val="left"/>
        <w:rPr>
          <w:rFonts w:ascii="方正仿宋_GBK" w:hAnsi="Times New Roman" w:eastAsia="方正仿宋_GBK"/>
          <w:sz w:val="32"/>
          <w:szCs w:val="32"/>
        </w:rPr>
      </w:pPr>
      <w:r>
        <w:rPr>
          <w:rFonts w:hint="eastAsia" w:ascii="方正仿宋_GBK" w:hAnsi="Times New Roman" w:eastAsia="方正仿宋_GBK"/>
          <w:b/>
          <w:kern w:val="0"/>
          <w:sz w:val="32"/>
          <w:szCs w:val="32"/>
        </w:rPr>
        <w:t>三是进一步改善建筑工人工作环境。</w:t>
      </w:r>
      <w:r>
        <w:rPr>
          <w:rFonts w:ascii="Times New Roman" w:hAnsi="Times New Roman" w:eastAsia="方正仿宋_GBK"/>
          <w:color w:val="000000" w:themeColor="text1"/>
          <w:sz w:val="32"/>
          <w14:textFill>
            <w14:solidFill>
              <w14:schemeClr w14:val="tx1"/>
            </w14:solidFill>
          </w14:textFill>
        </w:rPr>
        <w:t>不断改善劳动安全卫生标准和条件，配备符合行业标准的安全帽、安全带等具有防护功能的工装和劳动保护用品。大力改善建筑工人生活区居住环境，根据有关要求及工程实际配置空调、淋浴等设备，保障水电供应、网络通信畅通。</w:t>
      </w:r>
    </w:p>
    <w:p>
      <w:pPr>
        <w:widowControl/>
        <w:shd w:val="clear" w:color="auto" w:fill="FFFFFF"/>
        <w:adjustRightInd w:val="0"/>
        <w:snapToGrid w:val="0"/>
        <w:spacing w:line="560" w:lineRule="exact"/>
        <w:ind w:firstLine="640" w:firstLineChars="200"/>
        <w:rPr>
          <w:rFonts w:ascii="方正黑体_GBK" w:hAnsi="Times New Roman" w:eastAsia="方正黑体_GBK"/>
          <w:kern w:val="0"/>
          <w:sz w:val="32"/>
          <w:szCs w:val="32"/>
        </w:rPr>
      </w:pPr>
      <w:r>
        <w:rPr>
          <w:rFonts w:hint="eastAsia" w:ascii="方正黑体_GBK" w:hAnsi="Times New Roman" w:eastAsia="方正黑体_GBK"/>
          <w:kern w:val="0"/>
          <w:sz w:val="32"/>
          <w:szCs w:val="32"/>
        </w:rPr>
        <w:t>三、工作要求</w:t>
      </w:r>
    </w:p>
    <w:p>
      <w:pPr>
        <w:widowControl/>
        <w:shd w:val="clear" w:color="auto" w:fill="FFFFFF"/>
        <w:adjustRightInd w:val="0"/>
        <w:snapToGrid w:val="0"/>
        <w:spacing w:line="560" w:lineRule="exact"/>
        <w:ind w:firstLine="640" w:firstLineChars="200"/>
        <w:rPr>
          <w:rFonts w:ascii="方正楷体_GBK" w:hAnsi="Times New Roman" w:eastAsia="方正楷体_GBK"/>
          <w:kern w:val="0"/>
          <w:sz w:val="32"/>
          <w:szCs w:val="32"/>
        </w:rPr>
      </w:pPr>
      <w:r>
        <w:rPr>
          <w:rFonts w:hint="eastAsia" w:ascii="方正楷体_GBK" w:hAnsi="Times New Roman" w:eastAsia="方正楷体_GBK"/>
          <w:kern w:val="0"/>
          <w:sz w:val="32"/>
          <w:szCs w:val="32"/>
        </w:rPr>
        <w:t>（一）加强组织领导</w:t>
      </w:r>
    </w:p>
    <w:p>
      <w:pPr>
        <w:shd w:val="clear" w:color="auto" w:fill="FFFFFF"/>
        <w:adjustRightInd w:val="0"/>
        <w:snapToGrid w:val="0"/>
        <w:spacing w:line="560" w:lineRule="exact"/>
        <w:ind w:firstLine="640" w:firstLineChars="200"/>
        <w:rPr>
          <w:rFonts w:ascii="方正仿宋_GBK" w:hAnsi="___WRD_EMBED_SUB_43" w:eastAsia="方正仿宋_GBK" w:cs="___WRD_EMBED_SUB_43"/>
          <w:kern w:val="0"/>
          <w:sz w:val="32"/>
          <w:szCs w:val="32"/>
        </w:rPr>
      </w:pPr>
      <w:r>
        <w:rPr>
          <w:rFonts w:hint="eastAsia" w:ascii="方正仿宋_GBK" w:hAnsi="Times New Roman" w:eastAsia="方正仿宋_GBK"/>
          <w:sz w:val="32"/>
          <w:szCs w:val="32"/>
        </w:rPr>
        <w:t>搭建培育新时代建筑企业自有工人市级工作专班，指导解决企业在自有工人培训、市场主体登记注册、资质升级、工程建设等方面遇到的困难。各区县要成立培</w:t>
      </w:r>
      <w:r>
        <w:rPr>
          <w:rFonts w:hint="eastAsia" w:ascii="方正仿宋_GBK" w:hAnsi="宋体" w:eastAsia="方正仿宋_GBK" w:cs="宋体"/>
          <w:sz w:val="32"/>
          <w:szCs w:val="32"/>
        </w:rPr>
        <w:t>育</w:t>
      </w:r>
      <w:r>
        <w:rPr>
          <w:rFonts w:hint="eastAsia" w:ascii="方正仿宋_GBK" w:hAnsi="Times New Roman" w:eastAsia="方正仿宋_GBK"/>
          <w:sz w:val="32"/>
          <w:szCs w:val="32"/>
        </w:rPr>
        <w:t>建筑企业自有工人组织</w:t>
      </w:r>
      <w:r>
        <w:rPr>
          <w:rFonts w:hint="eastAsia" w:ascii="方正仿宋_GBK" w:hAnsi="宋体" w:eastAsia="方正仿宋_GBK" w:cs="宋体"/>
          <w:sz w:val="32"/>
          <w:szCs w:val="32"/>
        </w:rPr>
        <w:t>机构</w:t>
      </w:r>
      <w:r>
        <w:rPr>
          <w:rFonts w:hint="eastAsia" w:ascii="方正仿宋_GBK" w:hAnsi="___WRD_EMBED_SUB_43" w:eastAsia="方正仿宋_GBK" w:cs="___WRD_EMBED_SUB_43"/>
          <w:sz w:val="32"/>
          <w:szCs w:val="32"/>
        </w:rPr>
        <w:t>，加强组织领导，</w:t>
      </w:r>
      <w:r>
        <w:rPr>
          <w:rFonts w:hint="eastAsia" w:ascii="方正仿宋_GBK" w:hAnsi="宋体" w:eastAsia="方正仿宋_GBK" w:cs="宋体"/>
          <w:sz w:val="32"/>
          <w:szCs w:val="32"/>
        </w:rPr>
        <w:t>统筹</w:t>
      </w:r>
      <w:r>
        <w:rPr>
          <w:rFonts w:hint="eastAsia" w:ascii="方正仿宋_GBK" w:hAnsi="___WRD_EMBED_SUB_43" w:eastAsia="方正仿宋_GBK" w:cs="___WRD_EMBED_SUB_43"/>
          <w:sz w:val="32"/>
          <w:szCs w:val="32"/>
        </w:rPr>
        <w:t>协调住房城乡、市场监管、人力社保、财政、税务、国有资产管理、工会等部门，</w:t>
      </w:r>
      <w:r>
        <w:rPr>
          <w:rFonts w:hint="eastAsia" w:ascii="方正仿宋_GBK" w:hAnsi="宋体" w:eastAsia="方正仿宋_GBK" w:cs="宋体"/>
          <w:sz w:val="32"/>
          <w:szCs w:val="32"/>
        </w:rPr>
        <w:t>研究解决</w:t>
      </w:r>
      <w:r>
        <w:rPr>
          <w:rFonts w:hint="eastAsia" w:ascii="方正仿宋_GBK" w:hAnsi="___WRD_EMBED_SUB_43" w:eastAsia="方正仿宋_GBK" w:cs="___WRD_EMBED_SUB_43"/>
          <w:sz w:val="32"/>
          <w:szCs w:val="32"/>
        </w:rPr>
        <w:t>重大</w:t>
      </w:r>
      <w:r>
        <w:rPr>
          <w:rFonts w:hint="eastAsia" w:ascii="方正仿宋_GBK" w:hAnsi="宋体" w:eastAsia="方正仿宋_GBK" w:cs="宋体"/>
          <w:sz w:val="32"/>
          <w:szCs w:val="32"/>
        </w:rPr>
        <w:t>问题</w:t>
      </w:r>
      <w:r>
        <w:rPr>
          <w:rFonts w:hint="eastAsia" w:ascii="方正仿宋_GBK" w:hAnsi="___WRD_EMBED_SUB_43" w:eastAsia="方正仿宋_GBK" w:cs="___WRD_EMBED_SUB_43"/>
          <w:sz w:val="32"/>
          <w:szCs w:val="32"/>
        </w:rPr>
        <w:t>，</w:t>
      </w:r>
      <w:r>
        <w:rPr>
          <w:rFonts w:hint="eastAsia" w:ascii="方正仿宋_GBK" w:hAnsi="宋体" w:eastAsia="方正仿宋_GBK" w:cs="宋体"/>
          <w:sz w:val="32"/>
          <w:szCs w:val="32"/>
        </w:rPr>
        <w:t>指</w:t>
      </w:r>
      <w:r>
        <w:rPr>
          <w:rFonts w:hint="eastAsia" w:ascii="方正仿宋_GBK" w:hAnsi="___WRD_EMBED_SUB_43" w:eastAsia="方正仿宋_GBK" w:cs="___WRD_EMBED_SUB_43"/>
          <w:sz w:val="32"/>
          <w:szCs w:val="32"/>
        </w:rPr>
        <w:t>导各项试点工作有序开</w:t>
      </w:r>
      <w:r>
        <w:rPr>
          <w:rFonts w:hint="eastAsia" w:ascii="方正仿宋_GBK" w:hAnsi="宋体" w:eastAsia="方正仿宋_GBK" w:cs="宋体"/>
          <w:sz w:val="32"/>
          <w:szCs w:val="32"/>
        </w:rPr>
        <w:t>展</w:t>
      </w:r>
      <w:r>
        <w:rPr>
          <w:rFonts w:hint="eastAsia" w:ascii="方正仿宋_GBK" w:hAnsi="___WRD_EMBED_SUB_43" w:eastAsia="方正仿宋_GBK" w:cs="___WRD_EMBED_SUB_43"/>
          <w:sz w:val="32"/>
          <w:szCs w:val="32"/>
        </w:rPr>
        <w:t>。各</w:t>
      </w:r>
      <w:r>
        <w:rPr>
          <w:rFonts w:hint="eastAsia" w:ascii="方正仿宋_GBK" w:hAnsi="宋体" w:eastAsia="方正仿宋_GBK" w:cs="宋体"/>
          <w:sz w:val="32"/>
          <w:szCs w:val="32"/>
        </w:rPr>
        <w:t>职</w:t>
      </w:r>
      <w:r>
        <w:rPr>
          <w:rFonts w:hint="eastAsia" w:ascii="方正仿宋_GBK" w:hAnsi="___WRD_EMBED_SUB_43" w:eastAsia="方正仿宋_GBK" w:cs="___WRD_EMBED_SUB_43"/>
          <w:sz w:val="32"/>
          <w:szCs w:val="32"/>
        </w:rPr>
        <w:t>能部门要各</w:t>
      </w:r>
      <w:r>
        <w:rPr>
          <w:rFonts w:hint="eastAsia" w:ascii="方正仿宋_GBK" w:hAnsi="宋体" w:eastAsia="方正仿宋_GBK" w:cs="宋体"/>
          <w:sz w:val="32"/>
          <w:szCs w:val="32"/>
        </w:rPr>
        <w:t>负</w:t>
      </w:r>
      <w:r>
        <w:rPr>
          <w:rFonts w:hint="eastAsia" w:ascii="方正仿宋_GBK" w:hAnsi="___WRD_EMBED_SUB_43" w:eastAsia="方正仿宋_GBK" w:cs="___WRD_EMBED_SUB_43"/>
          <w:sz w:val="32"/>
          <w:szCs w:val="32"/>
        </w:rPr>
        <w:t>其责，制定</w:t>
      </w:r>
      <w:r>
        <w:rPr>
          <w:rFonts w:hint="eastAsia" w:ascii="方正仿宋_GBK" w:hAnsi="宋体" w:eastAsia="方正仿宋_GBK" w:cs="宋体"/>
          <w:sz w:val="32"/>
          <w:szCs w:val="32"/>
        </w:rPr>
        <w:t>完善</w:t>
      </w:r>
      <w:r>
        <w:rPr>
          <w:rFonts w:hint="eastAsia" w:ascii="方正仿宋_GBK" w:hAnsi="___WRD_EMBED_SUB_43" w:eastAsia="方正仿宋_GBK" w:cs="___WRD_EMBED_SUB_43"/>
          <w:sz w:val="32"/>
          <w:szCs w:val="32"/>
        </w:rPr>
        <w:t>具体政策</w:t>
      </w:r>
      <w:r>
        <w:rPr>
          <w:rFonts w:hint="eastAsia" w:ascii="方正仿宋_GBK" w:hAnsi="宋体" w:eastAsia="方正仿宋_GBK" w:cs="宋体"/>
          <w:sz w:val="32"/>
          <w:szCs w:val="32"/>
        </w:rPr>
        <w:t>措</w:t>
      </w:r>
      <w:r>
        <w:rPr>
          <w:rFonts w:hint="eastAsia" w:ascii="方正仿宋_GBK" w:hAnsi="___WRD_EMBED_SUB_43" w:eastAsia="方正仿宋_GBK" w:cs="___WRD_EMBED_SUB_43"/>
          <w:sz w:val="32"/>
          <w:szCs w:val="32"/>
        </w:rPr>
        <w:t>施，</w:t>
      </w:r>
      <w:r>
        <w:rPr>
          <w:rFonts w:hint="eastAsia" w:ascii="方正仿宋_GBK" w:hAnsi="宋体" w:eastAsia="方正仿宋_GBK" w:cs="宋体"/>
          <w:sz w:val="32"/>
          <w:szCs w:val="32"/>
        </w:rPr>
        <w:t>密切</w:t>
      </w:r>
      <w:r>
        <w:rPr>
          <w:rFonts w:hint="eastAsia" w:ascii="方正仿宋_GBK" w:hAnsi="___WRD_EMBED_SUB_43" w:eastAsia="方正仿宋_GBK" w:cs="___WRD_EMBED_SUB_43"/>
          <w:sz w:val="32"/>
          <w:szCs w:val="32"/>
        </w:rPr>
        <w:t>配合，</w:t>
      </w:r>
      <w:r>
        <w:rPr>
          <w:rFonts w:hint="eastAsia" w:ascii="方正仿宋_GBK" w:hAnsi="宋体" w:eastAsia="方正仿宋_GBK" w:cs="宋体"/>
          <w:sz w:val="32"/>
          <w:szCs w:val="32"/>
        </w:rPr>
        <w:t>形</w:t>
      </w:r>
      <w:r>
        <w:rPr>
          <w:rFonts w:hint="eastAsia" w:ascii="方正仿宋_GBK" w:hAnsi="___WRD_EMBED_SUB_43" w:eastAsia="方正仿宋_GBK" w:cs="___WRD_EMBED_SUB_43"/>
          <w:sz w:val="32"/>
          <w:szCs w:val="32"/>
        </w:rPr>
        <w:t>成合力，</w:t>
      </w:r>
      <w:r>
        <w:rPr>
          <w:rFonts w:hint="eastAsia" w:ascii="方正仿宋_GBK" w:hAnsi="宋体" w:eastAsia="方正仿宋_GBK" w:cs="宋体"/>
          <w:sz w:val="32"/>
          <w:szCs w:val="32"/>
        </w:rPr>
        <w:t>抓好</w:t>
      </w:r>
      <w:r>
        <w:rPr>
          <w:rFonts w:hint="eastAsia" w:ascii="方正仿宋_GBK" w:hAnsi="___WRD_EMBED_SUB_43" w:eastAsia="方正仿宋_GBK" w:cs="___WRD_EMBED_SUB_43"/>
          <w:sz w:val="32"/>
          <w:szCs w:val="32"/>
        </w:rPr>
        <w:t>组织实施，</w:t>
      </w:r>
      <w:r>
        <w:rPr>
          <w:rFonts w:hint="eastAsia" w:ascii="方正仿宋_GBK" w:hAnsi="宋体" w:eastAsia="方正仿宋_GBK" w:cs="宋体"/>
          <w:sz w:val="32"/>
          <w:szCs w:val="32"/>
        </w:rPr>
        <w:t>确</w:t>
      </w:r>
      <w:r>
        <w:rPr>
          <w:rFonts w:hint="eastAsia" w:ascii="方正仿宋_GBK" w:hAnsi="___WRD_EMBED_SUB_43" w:eastAsia="方正仿宋_GBK" w:cs="___WRD_EMBED_SUB_43"/>
          <w:sz w:val="32"/>
          <w:szCs w:val="32"/>
        </w:rPr>
        <w:t>保试点政策</w:t>
      </w:r>
      <w:r>
        <w:rPr>
          <w:rFonts w:hint="eastAsia" w:ascii="方正仿宋_GBK" w:hAnsi="Times New Roman" w:eastAsia="方正仿宋_GBK"/>
          <w:sz w:val="32"/>
          <w:szCs w:val="32"/>
        </w:rPr>
        <w:t>落地</w:t>
      </w:r>
      <w:r>
        <w:rPr>
          <w:rFonts w:hint="eastAsia" w:ascii="方正仿宋_GBK" w:hAnsi="宋体" w:eastAsia="方正仿宋_GBK" w:cs="宋体"/>
          <w:sz w:val="32"/>
          <w:szCs w:val="32"/>
        </w:rPr>
        <w:t>见效</w:t>
      </w:r>
      <w:r>
        <w:rPr>
          <w:rFonts w:hint="eastAsia" w:ascii="方正仿宋_GBK" w:hAnsi="___WRD_EMBED_SUB_43" w:eastAsia="方正仿宋_GBK" w:cs="___WRD_EMBED_SUB_43"/>
          <w:sz w:val="32"/>
          <w:szCs w:val="32"/>
        </w:rPr>
        <w:t>。要建立</w:t>
      </w:r>
      <w:r>
        <w:rPr>
          <w:rFonts w:hint="eastAsia" w:ascii="方正仿宋_GBK" w:hAnsi="Times New Roman" w:eastAsia="方正仿宋_GBK"/>
          <w:sz w:val="32"/>
          <w:szCs w:val="32"/>
          <w:shd w:val="clear" w:color="auto" w:fill="FFFFFF"/>
        </w:rPr>
        <w:t>容</w:t>
      </w:r>
      <w:r>
        <w:rPr>
          <w:rFonts w:hint="eastAsia" w:ascii="方正仿宋_GBK" w:hAnsi="宋体" w:eastAsia="方正仿宋_GBK" w:cs="宋体"/>
          <w:sz w:val="32"/>
          <w:szCs w:val="32"/>
          <w:shd w:val="clear" w:color="auto" w:fill="FFFFFF"/>
        </w:rPr>
        <w:t>错纠错机</w:t>
      </w:r>
      <w:r>
        <w:rPr>
          <w:rFonts w:hint="eastAsia" w:ascii="方正仿宋_GBK" w:hAnsi="___WRD_EMBED_SUB_43" w:eastAsia="方正仿宋_GBK" w:cs="___WRD_EMBED_SUB_43"/>
          <w:sz w:val="32"/>
          <w:szCs w:val="32"/>
          <w:shd w:val="clear" w:color="auto" w:fill="FFFFFF"/>
        </w:rPr>
        <w:t>制，消</w:t>
      </w:r>
      <w:r>
        <w:rPr>
          <w:rFonts w:hint="eastAsia" w:ascii="方正仿宋_GBK" w:hAnsi="宋体" w:eastAsia="方正仿宋_GBK" w:cs="宋体"/>
          <w:sz w:val="32"/>
          <w:szCs w:val="32"/>
          <w:shd w:val="clear" w:color="auto" w:fill="FFFFFF"/>
        </w:rPr>
        <w:t>除改革</w:t>
      </w:r>
      <w:r>
        <w:rPr>
          <w:rFonts w:hint="eastAsia" w:ascii="方正仿宋_GBK" w:hAnsi="___WRD_EMBED_SUB_43" w:eastAsia="方正仿宋_GBK" w:cs="___WRD_EMBED_SUB_43"/>
          <w:sz w:val="32"/>
          <w:szCs w:val="32"/>
          <w:shd w:val="clear" w:color="auto" w:fill="FFFFFF"/>
        </w:rPr>
        <w:t>创新</w:t>
      </w:r>
      <w:r>
        <w:rPr>
          <w:rFonts w:hint="eastAsia" w:ascii="方正仿宋_GBK" w:hAnsi="宋体" w:eastAsia="方正仿宋_GBK" w:cs="宋体"/>
          <w:sz w:val="32"/>
          <w:szCs w:val="32"/>
          <w:shd w:val="clear" w:color="auto" w:fill="FFFFFF"/>
        </w:rPr>
        <w:t>顾虑</w:t>
      </w:r>
      <w:r>
        <w:rPr>
          <w:rFonts w:hint="eastAsia" w:ascii="方正仿宋_GBK" w:hAnsi="___WRD_EMBED_SUB_43" w:eastAsia="方正仿宋_GBK" w:cs="___WRD_EMBED_SUB_43"/>
          <w:sz w:val="32"/>
          <w:szCs w:val="32"/>
        </w:rPr>
        <w:t>。各区县住房城乡建委要积极支持和高度关注试点项目及试点企业的进展情况，帮助协调解决企业在试点工作中遇到的困难，及时总结、宣传、推广试点企业的先进经验和做法。</w:t>
      </w:r>
    </w:p>
    <w:p>
      <w:pPr>
        <w:shd w:val="clear" w:color="auto" w:fill="FFFFFF"/>
        <w:adjustRightInd w:val="0"/>
        <w:snapToGrid w:val="0"/>
        <w:spacing w:line="560" w:lineRule="exact"/>
        <w:ind w:firstLine="640" w:firstLineChars="200"/>
        <w:jc w:val="left"/>
        <w:rPr>
          <w:rFonts w:ascii="方正楷体_GBK" w:hAnsi="___WRD_EMBED_SUB_43" w:eastAsia="方正楷体_GBK" w:cs="___WRD_EMBED_SUB_43"/>
          <w:kern w:val="0"/>
          <w:sz w:val="32"/>
          <w:szCs w:val="32"/>
        </w:rPr>
      </w:pPr>
      <w:r>
        <w:rPr>
          <w:rFonts w:hint="eastAsia" w:ascii="方正楷体_GBK" w:hAnsi="___WRD_EMBED_SUB_43" w:eastAsia="方正楷体_GBK" w:cs="___WRD_EMBED_SUB_43"/>
          <w:kern w:val="0"/>
          <w:sz w:val="32"/>
          <w:szCs w:val="32"/>
        </w:rPr>
        <w:t>（二）压实企业主体责任</w:t>
      </w:r>
    </w:p>
    <w:p>
      <w:pPr>
        <w:shd w:val="clear" w:color="auto" w:fill="FFFFFF"/>
        <w:adjustRightInd w:val="0"/>
        <w:snapToGrid w:val="0"/>
        <w:spacing w:line="560" w:lineRule="exact"/>
        <w:ind w:firstLine="640" w:firstLineChars="200"/>
        <w:jc w:val="left"/>
        <w:rPr>
          <w:rFonts w:ascii="方正仿宋_GBK" w:hAnsi="___WRD_EMBED_SUB_43" w:eastAsia="方正仿宋_GBK" w:cs="___WRD_EMBED_SUB_43"/>
          <w:kern w:val="0"/>
          <w:sz w:val="32"/>
          <w:szCs w:val="32"/>
        </w:rPr>
      </w:pPr>
      <w:r>
        <w:rPr>
          <w:rFonts w:hint="eastAsia" w:ascii="方正仿宋_GBK" w:hAnsi="___WRD_EMBED_SUB_43" w:eastAsia="方正仿宋_GBK" w:cs="___WRD_EMBED_SUB_43"/>
          <w:kern w:val="0"/>
          <w:sz w:val="32"/>
          <w:szCs w:val="32"/>
        </w:rPr>
        <w:t>建设单位作为工程建设活动的总牵头单位，是工程质量第一责任人，依法对工程质量承担全面责任，要主动关心质量、追求质量、创造质量，自觉推动工程质量安全水平的提升。要落实质量安全首要责任，积极支持和大力推进企业自有工人施工方式，对试点项目实行优质优价奖励办法，在招投标文件及合同中给予明确；对于技术复杂项目，按照相关规定采用综合评估法进行评标。</w:t>
      </w:r>
    </w:p>
    <w:p>
      <w:pPr>
        <w:shd w:val="clear" w:color="auto" w:fill="FFFFFF"/>
        <w:adjustRightInd w:val="0"/>
        <w:snapToGrid w:val="0"/>
        <w:spacing w:line="560" w:lineRule="exact"/>
        <w:ind w:firstLine="640" w:firstLineChars="200"/>
        <w:jc w:val="left"/>
        <w:rPr>
          <w:rFonts w:ascii="方正仿宋_GBK" w:hAnsi="Times New Roman" w:eastAsia="方正仿宋_GBK"/>
          <w:kern w:val="0"/>
          <w:sz w:val="32"/>
          <w:szCs w:val="32"/>
        </w:rPr>
      </w:pPr>
      <w:r>
        <w:rPr>
          <w:rFonts w:hint="eastAsia" w:ascii="方正仿宋_GBK" w:hAnsi="___WRD_EMBED_SUB_43" w:eastAsia="方正仿宋_GBK" w:cs="___WRD_EMBED_SUB_43"/>
          <w:kern w:val="0"/>
          <w:sz w:val="32"/>
          <w:szCs w:val="32"/>
        </w:rPr>
        <w:t>企业是改革的执行者，也是改革的受益者。建筑企业要切实增强改革的思想自觉、政治自觉和行动自觉，紧密结合企业实际，把培育自有工人和发展专业作业企业相关工作抓紧抓实抓好。要制定自有工人培</w:t>
      </w:r>
      <w:r>
        <w:rPr>
          <w:rFonts w:hint="eastAsia" w:ascii="方正仿宋_GBK" w:hAnsi="宋体" w:eastAsia="方正仿宋_GBK" w:cs="宋体"/>
          <w:kern w:val="0"/>
          <w:sz w:val="32"/>
          <w:szCs w:val="32"/>
        </w:rPr>
        <w:t>育</w:t>
      </w:r>
      <w:r>
        <w:rPr>
          <w:rFonts w:hint="eastAsia" w:ascii="方正仿宋_GBK" w:hAnsi="___WRD_EMBED_SUB_43" w:eastAsia="方正仿宋_GBK" w:cs="___WRD_EMBED_SUB_43"/>
          <w:kern w:val="0"/>
          <w:sz w:val="32"/>
          <w:szCs w:val="32"/>
        </w:rPr>
        <w:t>计</w:t>
      </w:r>
      <w:r>
        <w:rPr>
          <w:rFonts w:hint="eastAsia" w:ascii="方正仿宋_GBK" w:hAnsi="宋体" w:eastAsia="方正仿宋_GBK" w:cs="宋体"/>
          <w:kern w:val="0"/>
          <w:sz w:val="32"/>
          <w:szCs w:val="32"/>
        </w:rPr>
        <w:t>划</w:t>
      </w:r>
      <w:r>
        <w:rPr>
          <w:rFonts w:hint="eastAsia" w:ascii="方正仿宋_GBK" w:hAnsi="___WRD_EMBED_SUB_43" w:eastAsia="方正仿宋_GBK" w:cs="___WRD_EMBED_SUB_43"/>
          <w:kern w:val="0"/>
          <w:sz w:val="32"/>
          <w:szCs w:val="32"/>
        </w:rPr>
        <w:t>，并</w:t>
      </w:r>
      <w:r>
        <w:rPr>
          <w:rFonts w:hint="eastAsia" w:ascii="方正仿宋_GBK" w:hAnsi="宋体" w:eastAsia="方正仿宋_GBK" w:cs="宋体"/>
          <w:kern w:val="0"/>
          <w:sz w:val="32"/>
          <w:szCs w:val="32"/>
        </w:rPr>
        <w:t>结</w:t>
      </w:r>
      <w:r>
        <w:rPr>
          <w:rFonts w:hint="eastAsia" w:ascii="方正仿宋_GBK" w:hAnsi="___WRD_EMBED_SUB_43" w:eastAsia="方正仿宋_GBK" w:cs="___WRD_EMBED_SUB_43"/>
          <w:kern w:val="0"/>
          <w:sz w:val="32"/>
          <w:szCs w:val="32"/>
        </w:rPr>
        <w:t>合施工现场实</w:t>
      </w:r>
      <w:r>
        <w:rPr>
          <w:rFonts w:hint="eastAsia" w:ascii="方正仿宋_GBK" w:hAnsi="宋体" w:eastAsia="方正仿宋_GBK" w:cs="宋体"/>
          <w:kern w:val="0"/>
          <w:sz w:val="32"/>
          <w:szCs w:val="32"/>
        </w:rPr>
        <w:t>际操</w:t>
      </w:r>
      <w:r>
        <w:rPr>
          <w:rFonts w:hint="eastAsia" w:ascii="方正仿宋_GBK" w:hAnsi="___WRD_EMBED_SUB_43" w:eastAsia="方正仿宋_GBK" w:cs="___WRD_EMBED_SUB_43"/>
          <w:kern w:val="0"/>
          <w:sz w:val="32"/>
          <w:szCs w:val="32"/>
        </w:rPr>
        <w:t>作不断提</w:t>
      </w:r>
      <w:r>
        <w:rPr>
          <w:rFonts w:hint="eastAsia" w:ascii="方正仿宋_GBK" w:hAnsi="宋体" w:eastAsia="方正仿宋_GBK" w:cs="宋体"/>
          <w:kern w:val="0"/>
          <w:sz w:val="32"/>
          <w:szCs w:val="32"/>
        </w:rPr>
        <w:t>高</w:t>
      </w:r>
      <w:r>
        <w:rPr>
          <w:rFonts w:hint="eastAsia" w:ascii="方正仿宋_GBK" w:hAnsi="___WRD_EMBED_SUB_43" w:eastAsia="方正仿宋_GBK" w:cs="___WRD_EMBED_SUB_43"/>
          <w:kern w:val="0"/>
          <w:sz w:val="32"/>
          <w:szCs w:val="32"/>
        </w:rPr>
        <w:t>自有工人技能水平和增强安全生产</w:t>
      </w:r>
      <w:r>
        <w:rPr>
          <w:rFonts w:hint="eastAsia" w:ascii="方正仿宋_GBK" w:hAnsi="宋体" w:eastAsia="方正仿宋_GBK" w:cs="宋体"/>
          <w:kern w:val="0"/>
          <w:sz w:val="32"/>
          <w:szCs w:val="32"/>
        </w:rPr>
        <w:t>意识；</w:t>
      </w:r>
      <w:r>
        <w:rPr>
          <w:rFonts w:hint="eastAsia" w:ascii="方正仿宋_GBK" w:hAnsi="___WRD_EMBED_SUB_43" w:eastAsia="方正仿宋_GBK" w:cs="___WRD_EMBED_SUB_43"/>
          <w:kern w:val="0"/>
          <w:sz w:val="32"/>
          <w:szCs w:val="32"/>
        </w:rPr>
        <w:t>做</w:t>
      </w:r>
      <w:r>
        <w:rPr>
          <w:rFonts w:hint="eastAsia" w:ascii="方正仿宋_GBK" w:hAnsi="宋体" w:eastAsia="方正仿宋_GBK" w:cs="宋体"/>
          <w:kern w:val="0"/>
          <w:sz w:val="32"/>
          <w:szCs w:val="32"/>
        </w:rPr>
        <w:t>好</w:t>
      </w:r>
      <w:r>
        <w:rPr>
          <w:rFonts w:hint="eastAsia" w:ascii="方正仿宋_GBK" w:hAnsi="___WRD_EMBED_SUB_43" w:eastAsia="方正仿宋_GBK" w:cs="___WRD_EMBED_SUB_43"/>
          <w:kern w:val="0"/>
          <w:sz w:val="32"/>
          <w:szCs w:val="32"/>
        </w:rPr>
        <w:t>建筑工人各项保</w:t>
      </w:r>
      <w:r>
        <w:rPr>
          <w:rFonts w:hint="eastAsia" w:ascii="方正仿宋_GBK" w:hAnsi="宋体" w:eastAsia="方正仿宋_GBK" w:cs="宋体"/>
          <w:kern w:val="0"/>
          <w:sz w:val="32"/>
          <w:szCs w:val="32"/>
        </w:rPr>
        <w:t>障</w:t>
      </w:r>
      <w:r>
        <w:rPr>
          <w:rFonts w:hint="eastAsia" w:ascii="方正仿宋_GBK" w:hAnsi="___WRD_EMBED_SUB_43" w:eastAsia="方正仿宋_GBK" w:cs="___WRD_EMBED_SUB_43"/>
          <w:kern w:val="0"/>
          <w:sz w:val="32"/>
          <w:szCs w:val="32"/>
        </w:rPr>
        <w:t>工作，降低建筑工人的流动性，增强建筑工人的职业性和归属感；要充分发挥工会组织作用，不断提升建筑工人入会率。</w:t>
      </w:r>
    </w:p>
    <w:p>
      <w:pPr>
        <w:adjustRightInd w:val="0"/>
        <w:snapToGrid w:val="0"/>
        <w:spacing w:line="56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（三）明确时间节点</w:t>
      </w:r>
    </w:p>
    <w:p>
      <w:pPr>
        <w:pStyle w:val="3"/>
        <w:spacing w:line="560" w:lineRule="exact"/>
        <w:ind w:left="0" w:leftChars="0" w:firstLine="640" w:firstLineChars="200"/>
        <w:rPr>
          <w:rFonts w:ascii="方正仿宋_GBK" w:hAnsi="___WRD_EMBED_SUB_43" w:cs="___WRD_EMBED_SUB_43"/>
          <w:szCs w:val="32"/>
        </w:rPr>
      </w:pPr>
      <w:r>
        <w:rPr>
          <w:rFonts w:ascii="方正仿宋_GBK"/>
        </w:rPr>
        <w:t>2022</w:t>
      </w:r>
      <w:r>
        <w:rPr>
          <w:rFonts w:hint="eastAsia" w:ascii="方正仿宋_GBK"/>
          <w:szCs w:val="32"/>
        </w:rPr>
        <w:t>年9月1日</w:t>
      </w:r>
      <w:r>
        <w:rPr>
          <w:rFonts w:hint="eastAsia" w:ascii="方正仿宋_GBK" w:hAnsi="宋体" w:cs="宋体"/>
          <w:szCs w:val="32"/>
        </w:rPr>
        <w:t>前</w:t>
      </w:r>
      <w:r>
        <w:rPr>
          <w:rFonts w:hint="eastAsia" w:ascii="方正仿宋_GBK" w:hAnsi="___WRD_EMBED_SUB_43" w:cs="___WRD_EMBED_SUB_43"/>
          <w:szCs w:val="32"/>
        </w:rPr>
        <w:t>，各区县应具备新设立专业作业企业登记注册、</w:t>
      </w:r>
      <w:r>
        <w:rPr>
          <w:rFonts w:hint="eastAsia" w:ascii="方正仿宋_GBK" w:hAnsi="宋体" w:cs="宋体"/>
          <w:szCs w:val="32"/>
        </w:rPr>
        <w:t>登</w:t>
      </w:r>
      <w:r>
        <w:rPr>
          <w:rFonts w:hint="eastAsia" w:ascii="方正仿宋_GBK" w:hAnsi="___WRD_EMBED_SUB_43" w:cs="___WRD_EMBED_SUB_43"/>
          <w:szCs w:val="32"/>
        </w:rPr>
        <w:t>记备案条件。有试点项目、试点企业的各</w:t>
      </w:r>
      <w:r>
        <w:rPr>
          <w:rFonts w:hint="eastAsia" w:ascii="方正仿宋_GBK"/>
          <w:szCs w:val="32"/>
        </w:rPr>
        <w:t>区县住房城乡建委请于</w:t>
      </w:r>
      <w:r>
        <w:rPr>
          <w:rFonts w:hint="eastAsia" w:ascii="方正仿宋_GBK" w:hAnsi="宋体" w:cs="宋体"/>
          <w:szCs w:val="32"/>
        </w:rPr>
        <w:t>每</w:t>
      </w:r>
      <w:r>
        <w:rPr>
          <w:rFonts w:hint="eastAsia" w:ascii="方正仿宋_GBK" w:hAnsi="___WRD_EMBED_SUB_43" w:cs="___WRD_EMBED_SUB_43"/>
          <w:szCs w:val="32"/>
        </w:rPr>
        <w:t>月</w:t>
      </w:r>
      <w:r>
        <w:rPr>
          <w:rFonts w:hint="eastAsia" w:ascii="方正仿宋_GBK"/>
          <w:szCs w:val="32"/>
        </w:rPr>
        <w:t>25日</w:t>
      </w:r>
      <w:r>
        <w:rPr>
          <w:rFonts w:hint="eastAsia" w:ascii="方正仿宋_GBK" w:hAnsi="宋体" w:cs="宋体"/>
          <w:szCs w:val="32"/>
        </w:rPr>
        <w:t>前报</w:t>
      </w:r>
      <w:r>
        <w:rPr>
          <w:rFonts w:hint="eastAsia" w:ascii="方正仿宋_GBK" w:hAnsi="___WRD_EMBED_SUB_43" w:cs="___WRD_EMBED_SUB_43"/>
          <w:szCs w:val="32"/>
        </w:rPr>
        <w:t>送上月相关试点工作推进情况，总</w:t>
      </w:r>
      <w:r>
        <w:rPr>
          <w:rFonts w:hint="eastAsia" w:ascii="方正仿宋_GBK" w:hAnsi="宋体" w:cs="宋体"/>
          <w:szCs w:val="32"/>
        </w:rPr>
        <w:t>结</w:t>
      </w:r>
      <w:r>
        <w:rPr>
          <w:rFonts w:hint="eastAsia" w:ascii="方正仿宋_GBK" w:hAnsi="___WRD_EMBED_SUB_43" w:cs="___WRD_EMBED_SUB_43"/>
          <w:szCs w:val="32"/>
        </w:rPr>
        <w:t>经验，</w:t>
      </w:r>
      <w:r>
        <w:rPr>
          <w:rFonts w:hint="eastAsia" w:ascii="方正仿宋_GBK" w:hAnsi="宋体" w:cs="宋体"/>
          <w:szCs w:val="32"/>
        </w:rPr>
        <w:t>梳</w:t>
      </w:r>
      <w:r>
        <w:rPr>
          <w:rFonts w:hint="eastAsia" w:ascii="方正仿宋_GBK" w:hAnsi="___WRD_EMBED_SUB_43" w:cs="___WRD_EMBED_SUB_43"/>
          <w:szCs w:val="32"/>
        </w:rPr>
        <w:t>理</w:t>
      </w:r>
      <w:r>
        <w:rPr>
          <w:rFonts w:hint="eastAsia" w:ascii="方正仿宋_GBK" w:hAnsi="宋体" w:cs="宋体"/>
          <w:szCs w:val="32"/>
        </w:rPr>
        <w:t>问题</w:t>
      </w:r>
      <w:r>
        <w:rPr>
          <w:rFonts w:hint="eastAsia" w:ascii="方正仿宋_GBK" w:hAnsi="___WRD_EMBED_SUB_43" w:cs="___WRD_EMBED_SUB_43"/>
          <w:szCs w:val="32"/>
        </w:rPr>
        <w:t>，提出相关工作建</w:t>
      </w:r>
      <w:r>
        <w:rPr>
          <w:rFonts w:hint="eastAsia" w:ascii="方正仿宋_GBK" w:hAnsi="宋体" w:cs="宋体"/>
          <w:szCs w:val="32"/>
        </w:rPr>
        <w:t>议</w:t>
      </w:r>
      <w:r>
        <w:rPr>
          <w:rFonts w:hint="eastAsia" w:ascii="方正仿宋_GBK" w:hAnsi="___WRD_EMBED_SUB_43" w:cs="___WRD_EMBED_SUB_43"/>
          <w:szCs w:val="32"/>
        </w:rPr>
        <w:t>，并</w:t>
      </w:r>
      <w:r>
        <w:rPr>
          <w:rFonts w:hint="eastAsia" w:ascii="方正仿宋_GBK"/>
          <w:szCs w:val="32"/>
        </w:rPr>
        <w:t>持</w:t>
      </w:r>
      <w:r>
        <w:rPr>
          <w:rFonts w:hint="eastAsia" w:ascii="方正仿宋_GBK" w:hAnsi="宋体" w:cs="宋体"/>
          <w:szCs w:val="32"/>
        </w:rPr>
        <w:t>续跟踪</w:t>
      </w:r>
      <w:r>
        <w:rPr>
          <w:rFonts w:hint="eastAsia" w:ascii="方正仿宋_GBK" w:hAnsi="___WRD_EMBED_SUB_43" w:cs="___WRD_EMBED_SUB_43"/>
          <w:szCs w:val="32"/>
        </w:rPr>
        <w:t>试点项目、试点企业实施情况。</w:t>
      </w:r>
    </w:p>
    <w:p>
      <w:pPr>
        <w:pStyle w:val="2"/>
        <w:spacing w:line="560" w:lineRule="exact"/>
        <w:ind w:firstLine="640" w:firstLineChars="200"/>
        <w:jc w:val="both"/>
        <w:rPr>
          <w:rFonts w:ascii="方正仿宋_GBK" w:eastAsia="方正仿宋_GBK"/>
          <w:color w:val="FF0000"/>
          <w:sz w:val="32"/>
          <w:szCs w:val="32"/>
        </w:rPr>
      </w:pPr>
      <w:r>
        <w:rPr>
          <w:rFonts w:hint="eastAsia" w:ascii="方正仿宋_GBK" w:eastAsia="方正仿宋_GBK"/>
          <w:sz w:val="32"/>
          <w:szCs w:val="32"/>
        </w:rPr>
        <w:t>自2022年12月1日起，纳入试点范围的试点项目，全面推行自有工人施工试点，总承包、专业承包企业在承建项目上企业自有工人人数在试点第一年、第二年、第三年应分别达到施工现场总人数的10%、25%、50%以上。在试点前已开工或已招投标的项目，可以根据项目情况、合同签订情况分阶段、分步骤实施，逐步以自有工人或自有专业作业企业替换原劳务资质企业。</w:t>
      </w:r>
    </w:p>
    <w:p>
      <w:pPr>
        <w:pStyle w:val="3"/>
        <w:spacing w:line="560" w:lineRule="exact"/>
        <w:ind w:left="0" w:leftChars="0" w:firstLine="640" w:firstLineChars="200"/>
        <w:rPr>
          <w:rFonts w:ascii="方正仿宋_GBK"/>
          <w:szCs w:val="32"/>
        </w:rPr>
      </w:pPr>
      <w:r>
        <w:rPr>
          <w:rFonts w:hint="eastAsia" w:ascii="方正仿宋_GBK"/>
        </w:rPr>
        <w:t>各试点企业</w:t>
      </w:r>
      <w:r>
        <w:rPr>
          <w:rFonts w:hint="eastAsia" w:ascii="方正仿宋_GBK" w:hAnsi="宋体" w:cs="宋体"/>
        </w:rPr>
        <w:t>在所承建项目上全面推行自有工人或自有专业作业企业施工试点。在</w:t>
      </w:r>
      <w:r>
        <w:rPr>
          <w:rFonts w:hint="eastAsia"/>
        </w:rPr>
        <w:t>试点第一年、第二年企业自有工人数量应分别达到《试点企业自有工人配备数量》（详见附件2，以下简称《自有工人配备数量》）总人数的25%、70%以上，第三年应符合《自有工人配备数量》相关要求。</w:t>
      </w:r>
    </w:p>
    <w:p>
      <w:pPr>
        <w:pStyle w:val="3"/>
        <w:spacing w:line="560" w:lineRule="exact"/>
        <w:ind w:left="0" w:leftChars="0" w:firstLine="640" w:firstLineChars="200"/>
        <w:rPr>
          <w:rFonts w:ascii="方正仿宋_GBK"/>
          <w:szCs w:val="32"/>
        </w:rPr>
      </w:pPr>
      <w:r>
        <w:rPr>
          <w:rFonts w:hint="eastAsia" w:ascii="方正仿宋_GBK" w:hAnsi="宋体" w:cs="宋体"/>
          <w:szCs w:val="32"/>
        </w:rPr>
        <w:t>积极支持和鼓励非</w:t>
      </w:r>
      <w:r>
        <w:rPr>
          <w:rFonts w:hint="eastAsia" w:ascii="方正仿宋_GBK"/>
          <w:szCs w:val="32"/>
        </w:rPr>
        <w:t>试点企业大力培育企业自有工人，开展自有工人或自有专业作业企业施工。各区县住房城乡建委在现场检查时，应按本方案试点工作要求予以大力支持。非试点企业</w:t>
      </w:r>
      <w:r>
        <w:rPr>
          <w:rFonts w:hint="eastAsia" w:ascii="方正仿宋_GBK" w:hAnsi="宋体" w:cs="宋体"/>
          <w:szCs w:val="32"/>
        </w:rPr>
        <w:t>自有工人数量达到</w:t>
      </w:r>
      <w:r>
        <w:rPr>
          <w:rFonts w:hint="eastAsia" w:ascii="方正仿宋_GBK"/>
          <w:szCs w:val="32"/>
        </w:rPr>
        <w:t>《自有工人配备数量》的，可享受试点企业相关优惠政策。有意愿加入试点的企业，可以向市住房城乡建委提出申请，逐步扩大试点范围，直至全市全面实施。</w:t>
      </w:r>
    </w:p>
    <w:p>
      <w:pPr>
        <w:adjustRightInd w:val="0"/>
        <w:snapToGrid w:val="0"/>
        <w:spacing w:line="560" w:lineRule="exact"/>
        <w:ind w:firstLine="640" w:firstLineChars="200"/>
        <w:rPr>
          <w:rFonts w:ascii="方正楷体_GBK" w:eastAsia="方正楷体_GBK"/>
          <w:sz w:val="32"/>
          <w:szCs w:val="32"/>
        </w:rPr>
      </w:pPr>
      <w:r>
        <w:rPr>
          <w:rFonts w:hint="eastAsia" w:ascii="方正楷体_GBK" w:hAnsi="Times New Roman" w:eastAsia="方正楷体_GBK"/>
          <w:kern w:val="0"/>
          <w:sz w:val="32"/>
          <w:szCs w:val="32"/>
        </w:rPr>
        <w:t>（四）</w:t>
      </w:r>
      <w:r>
        <w:rPr>
          <w:rFonts w:hint="eastAsia" w:ascii="方正楷体_GBK" w:eastAsia="方正楷体_GBK"/>
          <w:sz w:val="32"/>
          <w:szCs w:val="32"/>
        </w:rPr>
        <w:t>积极实施创新激励措施</w:t>
      </w:r>
    </w:p>
    <w:p>
      <w:pPr>
        <w:adjustRightInd w:val="0"/>
        <w:snapToGrid w:val="0"/>
        <w:spacing w:line="560" w:lineRule="exact"/>
        <w:ind w:firstLine="640" w:firstLineChars="200"/>
        <w:jc w:val="left"/>
        <w:rPr>
          <w:rFonts w:ascii="方正仿宋_GBK" w:hAnsi="Times New Roman" w:eastAsia="方正仿宋_GBK"/>
          <w:sz w:val="32"/>
          <w:szCs w:val="32"/>
        </w:rPr>
      </w:pPr>
      <w:r>
        <w:rPr>
          <w:rFonts w:hint="eastAsia" w:ascii="方正仿宋_GBK" w:eastAsia="方正仿宋_GBK"/>
          <w:sz w:val="32"/>
          <w:szCs w:val="32"/>
        </w:rPr>
        <w:t>1．施工总承包、专业承包企业出资成立的专业作业企业或控股、参股的专业作业企业，</w:t>
      </w:r>
      <w:r>
        <w:rPr>
          <w:rFonts w:ascii="方正仿宋_GBK" w:hAnsi="Times New Roman" w:eastAsia="方正仿宋_GBK"/>
          <w:sz w:val="32"/>
          <w:szCs w:val="32"/>
        </w:rPr>
        <w:t>在分包该总承包企业</w:t>
      </w:r>
      <w:r>
        <w:rPr>
          <w:rFonts w:hint="eastAsia" w:ascii="方正仿宋_GBK" w:hAnsi="Times New Roman" w:eastAsia="方正仿宋_GBK"/>
          <w:sz w:val="32"/>
          <w:szCs w:val="32"/>
        </w:rPr>
        <w:t>、专业承包企业的</w:t>
      </w:r>
      <w:r>
        <w:rPr>
          <w:rFonts w:ascii="方正仿宋_GBK" w:hAnsi="Times New Roman" w:eastAsia="方正仿宋_GBK"/>
          <w:sz w:val="32"/>
          <w:szCs w:val="32"/>
        </w:rPr>
        <w:t>自有工程项目</w:t>
      </w:r>
      <w:r>
        <w:rPr>
          <w:rFonts w:hint="eastAsia" w:ascii="方正仿宋_GBK" w:hAnsi="Times New Roman" w:eastAsia="方正仿宋_GBK"/>
          <w:sz w:val="32"/>
          <w:szCs w:val="32"/>
        </w:rPr>
        <w:t>作业任务</w:t>
      </w:r>
      <w:r>
        <w:rPr>
          <w:rFonts w:ascii="方正仿宋_GBK" w:hAnsi="Times New Roman" w:eastAsia="方正仿宋_GBK"/>
          <w:sz w:val="32"/>
          <w:szCs w:val="32"/>
        </w:rPr>
        <w:t>时，不受专业作业企业最多</w:t>
      </w:r>
      <w:r>
        <w:rPr>
          <w:rFonts w:hint="eastAsia" w:ascii="方正仿宋_GBK" w:hAnsi="Times New Roman" w:eastAsia="方正仿宋_GBK"/>
          <w:sz w:val="32"/>
          <w:szCs w:val="32"/>
        </w:rPr>
        <w:t>5</w:t>
      </w:r>
      <w:r>
        <w:rPr>
          <w:rFonts w:ascii="方正仿宋_GBK" w:hAnsi="Times New Roman" w:eastAsia="方正仿宋_GBK"/>
          <w:sz w:val="32"/>
          <w:szCs w:val="32"/>
        </w:rPr>
        <w:t>个专业的限制</w:t>
      </w:r>
      <w:r>
        <w:rPr>
          <w:rFonts w:hint="eastAsia" w:ascii="方正仿宋_GBK" w:hAnsi="Times New Roman" w:eastAsia="方正仿宋_GBK"/>
          <w:sz w:val="32"/>
          <w:szCs w:val="32"/>
        </w:rPr>
        <w:t>要求。</w:t>
      </w:r>
    </w:p>
    <w:p>
      <w:pPr>
        <w:pStyle w:val="2"/>
        <w:spacing w:line="560" w:lineRule="exact"/>
        <w:ind w:firstLine="640" w:firstLineChars="200"/>
        <w:jc w:val="both"/>
        <w:rPr>
          <w:rFonts w:ascii="方正仿宋_GBK" w:eastAsia="方正仿宋_GBK"/>
          <w:sz w:val="32"/>
          <w:szCs w:val="32"/>
        </w:rPr>
      </w:pPr>
      <w:r>
        <w:rPr>
          <w:rFonts w:hint="eastAsia" w:ascii="方正仿宋_GBK" w:eastAsia="方正仿宋_GBK"/>
          <w:sz w:val="32"/>
          <w:szCs w:val="32"/>
        </w:rPr>
        <w:t>2．试点企业自有工人符合《自有工人配备数量》要求，近2年内未发生质量安全一般事故，技术负责人满足资质标准，不考核业绩，可直接申请市级权限内的建筑工程、市政工程总承包资质或不高于其总承包资质的相关专业承包资质。</w:t>
      </w:r>
    </w:p>
    <w:p>
      <w:pPr>
        <w:pStyle w:val="2"/>
        <w:spacing w:line="560" w:lineRule="exact"/>
        <w:ind w:firstLine="640" w:firstLineChars="200"/>
        <w:jc w:val="both"/>
      </w:pPr>
      <w:r>
        <w:rPr>
          <w:rFonts w:hint="eastAsia" w:ascii="方正仿宋_GBK" w:hAnsi="Times New Roman" w:eastAsia="方正仿宋_GBK"/>
          <w:sz w:val="32"/>
          <w:szCs w:val="32"/>
        </w:rPr>
        <w:t>3．诚信综合评价排名前300名的市内总承包企业，</w:t>
      </w:r>
      <w:r>
        <w:rPr>
          <w:rFonts w:ascii="方正仿宋_GBK" w:hAnsi="Times New Roman" w:eastAsia="方正仿宋_GBK"/>
          <w:sz w:val="32"/>
          <w:szCs w:val="32"/>
        </w:rPr>
        <w:t>自有工人</w:t>
      </w:r>
      <w:r>
        <w:rPr>
          <w:rFonts w:hint="eastAsia" w:ascii="方正仿宋_GBK" w:hAnsi="Times New Roman" w:eastAsia="方正仿宋_GBK"/>
          <w:sz w:val="32"/>
          <w:szCs w:val="32"/>
        </w:rPr>
        <w:t>符合《自有工人配备数量》要求，近2年内未发生质量安全一般事故，技术负责人满足资质标准，不考核业绩，可直接申请市级权限内不高于其总承包资质的相关专业承包资质。</w:t>
      </w:r>
    </w:p>
    <w:p>
      <w:pPr>
        <w:adjustRightInd w:val="0"/>
        <w:snapToGrid w:val="0"/>
        <w:spacing w:line="560" w:lineRule="exact"/>
        <w:ind w:firstLine="640" w:firstLineChars="200"/>
        <w:rPr>
          <w:rFonts w:ascii="方正仿宋_GBK" w:hAnsi="宋体" w:eastAsia="方正仿宋_GBK" w:cs="宋体"/>
          <w:sz w:val="32"/>
          <w:szCs w:val="32"/>
        </w:rPr>
      </w:pPr>
      <w:r>
        <w:rPr>
          <w:rFonts w:hint="eastAsia" w:ascii="方正仿宋_GBK" w:hAnsi="宋体" w:eastAsia="方正仿宋_GBK"/>
          <w:sz w:val="32"/>
          <w:szCs w:val="32"/>
        </w:rPr>
        <w:t>4．对试点企业和诚信综合评价排名前300名的企业下放自有工人培训考核权限。企业建立完善自有工人培训考核体系后，</w:t>
      </w:r>
      <w:r>
        <w:rPr>
          <w:rFonts w:hint="eastAsia" w:ascii="方正仿宋_GBK" w:hAnsi="宋体" w:eastAsia="方正仿宋_GBK" w:cs="宋体"/>
          <w:sz w:val="32"/>
          <w:szCs w:val="32"/>
        </w:rPr>
        <w:t>可以自主开展自有工人培训考核，考核结果统一录入重庆市住房城乡建设教育管理系统。</w:t>
      </w:r>
    </w:p>
    <w:p>
      <w:pPr>
        <w:adjustRightInd w:val="0"/>
        <w:snapToGrid w:val="0"/>
        <w:spacing w:line="560" w:lineRule="exact"/>
        <w:ind w:firstLine="640" w:firstLineChars="200"/>
        <w:rPr>
          <w:rFonts w:ascii="方正仿宋_GBK" w:hAnsi="Times New Roman" w:eastAsia="方正仿宋_GBK"/>
          <w:sz w:val="32"/>
          <w:szCs w:val="32"/>
        </w:rPr>
      </w:pPr>
      <w:r>
        <w:rPr>
          <w:rFonts w:hint="eastAsia" w:ascii="方正仿宋_GBK" w:hAnsi="Times New Roman" w:eastAsia="方正仿宋_GBK"/>
          <w:sz w:val="32"/>
        </w:rPr>
        <w:t>5．推行工程款支付担保制度，建设单位要求施工单位提供履约保证金的，应向施工企业提供相应的工程款支付担保，运用经济手段来解决工程款支付不及时的问题。</w:t>
      </w:r>
    </w:p>
    <w:p>
      <w:pPr>
        <w:pStyle w:val="3"/>
        <w:spacing w:line="560" w:lineRule="exact"/>
        <w:ind w:left="0" w:leftChars="0" w:firstLine="640" w:firstLineChars="200"/>
        <w:rPr>
          <w:rFonts w:ascii="方正仿宋_GBK"/>
          <w:szCs w:val="32"/>
        </w:rPr>
      </w:pPr>
      <w:r>
        <w:rPr>
          <w:rFonts w:hint="eastAsia" w:ascii="方正仿宋_GBK"/>
          <w:szCs w:val="32"/>
        </w:rPr>
        <w:t>6．在评选安全文明工地、优质工程奖等各类评优评先时，将企业自有工人队伍建设情况作为各种评选、评优的重要考核内容，优先考虑采用自有工人施工的项目和培育自有工人的试点企业。</w:t>
      </w:r>
    </w:p>
    <w:p>
      <w:pPr>
        <w:spacing w:line="560" w:lineRule="exact"/>
        <w:ind w:firstLine="640" w:firstLineChars="200"/>
        <w:rPr>
          <w:rFonts w:ascii="方正仿宋_GBK" w:eastAsia="方正仿宋_GBK"/>
          <w:sz w:val="32"/>
          <w:szCs w:val="32"/>
        </w:rPr>
      </w:pPr>
      <w:r>
        <w:rPr>
          <w:rFonts w:hint="eastAsia" w:ascii="方正仿宋_GBK" w:eastAsia="方正仿宋_GBK"/>
          <w:sz w:val="32"/>
          <w:szCs w:val="32"/>
        </w:rPr>
        <w:t>7．加强与市场监管、经济信息、税务部门的协作，对于符合条件的建筑企业以及专业作业企业，继续落实在税收、行政事业性收费等方面的相关减税降费政策。</w:t>
      </w:r>
    </w:p>
    <w:p>
      <w:pPr>
        <w:widowControl/>
        <w:shd w:val="clear" w:color="auto" w:fill="FFFFFF"/>
        <w:adjustRightInd w:val="0"/>
        <w:snapToGrid w:val="0"/>
        <w:spacing w:line="560" w:lineRule="exact"/>
        <w:ind w:firstLine="640" w:firstLineChars="200"/>
        <w:rPr>
          <w:rFonts w:ascii="方正楷体_GBK" w:hAnsi="Times New Roman" w:eastAsia="方正楷体_GBK"/>
          <w:kern w:val="0"/>
          <w:sz w:val="32"/>
          <w:szCs w:val="32"/>
        </w:rPr>
      </w:pPr>
      <w:r>
        <w:rPr>
          <w:rFonts w:hint="eastAsia" w:ascii="方正楷体_GBK" w:hAnsi="Times New Roman" w:eastAsia="方正楷体_GBK"/>
          <w:kern w:val="0"/>
          <w:sz w:val="32"/>
          <w:szCs w:val="32"/>
        </w:rPr>
        <w:t>（五）做好宣传服务</w:t>
      </w:r>
    </w:p>
    <w:p>
      <w:pPr>
        <w:adjustRightInd w:val="0"/>
        <w:snapToGrid w:val="0"/>
        <w:spacing w:line="560" w:lineRule="exact"/>
        <w:ind w:firstLine="640" w:firstLineChars="200"/>
      </w:pPr>
      <w:r>
        <w:rPr>
          <w:rFonts w:hint="eastAsia" w:ascii="方正仿宋_GBK" w:hAnsi="Times New Roman" w:eastAsia="方正仿宋_GBK"/>
          <w:sz w:val="32"/>
          <w:szCs w:val="32"/>
        </w:rPr>
        <w:t>人才队伍建设是行业发展的基石。培</w:t>
      </w:r>
      <w:r>
        <w:rPr>
          <w:rFonts w:hint="eastAsia" w:ascii="方正仿宋_GBK" w:hAnsi="宋体" w:eastAsia="方正仿宋_GBK" w:cs="宋体"/>
          <w:sz w:val="32"/>
          <w:szCs w:val="32"/>
        </w:rPr>
        <w:t>育</w:t>
      </w:r>
      <w:r>
        <w:rPr>
          <w:rFonts w:hint="eastAsia" w:ascii="方正仿宋_GBK" w:hAnsi="___WRD_EMBED_SUB_43" w:eastAsia="方正仿宋_GBK" w:cs="___WRD_EMBED_SUB_43"/>
          <w:sz w:val="32"/>
          <w:szCs w:val="32"/>
        </w:rPr>
        <w:t>建筑</w:t>
      </w:r>
      <w:r>
        <w:rPr>
          <w:rFonts w:hint="eastAsia" w:ascii="方正仿宋_GBK" w:hAnsi="Times New Roman" w:eastAsia="方正仿宋_GBK"/>
          <w:sz w:val="32"/>
          <w:szCs w:val="32"/>
        </w:rPr>
        <w:t>企业自有工人</w:t>
      </w:r>
      <w:r>
        <w:rPr>
          <w:rFonts w:hint="eastAsia" w:ascii="方正仿宋_GBK" w:hAnsi="___WRD_EMBED_SUB_43" w:eastAsia="方正仿宋_GBK" w:cs="___WRD_EMBED_SUB_43"/>
          <w:sz w:val="32"/>
          <w:szCs w:val="32"/>
        </w:rPr>
        <w:t>是</w:t>
      </w:r>
      <w:r>
        <w:rPr>
          <w:rFonts w:hint="eastAsia" w:ascii="方正仿宋_GBK" w:hAnsi="宋体" w:eastAsia="方正仿宋_GBK" w:cs="宋体"/>
          <w:sz w:val="32"/>
          <w:szCs w:val="32"/>
        </w:rPr>
        <w:t>贯彻</w:t>
      </w:r>
      <w:r>
        <w:rPr>
          <w:rFonts w:hint="eastAsia" w:ascii="方正仿宋_GBK" w:hAnsi="___WRD_EMBED_SUB_43" w:eastAsia="方正仿宋_GBK" w:cs="___WRD_EMBED_SUB_43"/>
          <w:sz w:val="32"/>
          <w:szCs w:val="32"/>
        </w:rPr>
        <w:t>落实</w:t>
      </w:r>
      <w:r>
        <w:rPr>
          <w:rFonts w:hint="eastAsia" w:ascii="方正仿宋_GBK" w:hAnsi="宋体" w:eastAsia="方正仿宋_GBK" w:cs="宋体"/>
          <w:sz w:val="32"/>
          <w:szCs w:val="32"/>
        </w:rPr>
        <w:t>党</w:t>
      </w:r>
      <w:r>
        <w:rPr>
          <w:rFonts w:hint="eastAsia" w:ascii="方正仿宋_GBK" w:hAnsi="___WRD_EMBED_SUB_43" w:eastAsia="方正仿宋_GBK" w:cs="___WRD_EMBED_SUB_43"/>
          <w:sz w:val="32"/>
          <w:szCs w:val="32"/>
        </w:rPr>
        <w:t>中</w:t>
      </w:r>
      <w:r>
        <w:rPr>
          <w:rFonts w:hint="eastAsia" w:ascii="方正仿宋_GBK" w:hAnsi="宋体" w:eastAsia="方正仿宋_GBK" w:cs="宋体"/>
          <w:sz w:val="32"/>
          <w:szCs w:val="32"/>
        </w:rPr>
        <w:t>央</w:t>
      </w:r>
      <w:r>
        <w:rPr>
          <w:rFonts w:hint="eastAsia" w:ascii="方正仿宋_GBK" w:hAnsi="___WRD_EMBED_SUB_43" w:eastAsia="方正仿宋_GBK" w:cs="___WRD_EMBED_SUB_43"/>
          <w:sz w:val="32"/>
          <w:szCs w:val="32"/>
        </w:rPr>
        <w:t>、</w:t>
      </w:r>
      <w:r>
        <w:rPr>
          <w:rFonts w:hint="eastAsia" w:ascii="方正仿宋_GBK" w:hAnsi="宋体" w:eastAsia="方正仿宋_GBK" w:cs="宋体"/>
          <w:sz w:val="32"/>
          <w:szCs w:val="32"/>
        </w:rPr>
        <w:t>国</w:t>
      </w:r>
      <w:r>
        <w:rPr>
          <w:rFonts w:hint="eastAsia" w:ascii="方正仿宋_GBK" w:hAnsi="___WRD_EMBED_SUB_43" w:eastAsia="方正仿宋_GBK" w:cs="___WRD_EMBED_SUB_43"/>
          <w:sz w:val="32"/>
          <w:szCs w:val="32"/>
        </w:rPr>
        <w:t>务</w:t>
      </w:r>
      <w:r>
        <w:rPr>
          <w:rFonts w:hint="eastAsia" w:ascii="方正仿宋_GBK" w:hAnsi="宋体" w:eastAsia="方正仿宋_GBK" w:cs="宋体"/>
          <w:sz w:val="32"/>
          <w:szCs w:val="32"/>
        </w:rPr>
        <w:t>院</w:t>
      </w:r>
      <w:r>
        <w:rPr>
          <w:rFonts w:hint="eastAsia" w:ascii="方正仿宋_GBK" w:hAnsi="___WRD_EMBED_SUB_43" w:eastAsia="方正仿宋_GBK" w:cs="___WRD_EMBED_SUB_43"/>
          <w:sz w:val="32"/>
          <w:szCs w:val="32"/>
        </w:rPr>
        <w:t>把产业工人队伍</w:t>
      </w:r>
      <w:r>
        <w:rPr>
          <w:rFonts w:hint="eastAsia" w:ascii="方正仿宋_GBK" w:hAnsi="宋体" w:eastAsia="方正仿宋_GBK" w:cs="宋体"/>
          <w:sz w:val="32"/>
          <w:szCs w:val="32"/>
        </w:rPr>
        <w:t>建设作为实施科教兴国、人才强国、创新驱动发展战略</w:t>
      </w:r>
      <w:r>
        <w:rPr>
          <w:rFonts w:hint="eastAsia" w:ascii="方正仿宋_GBK" w:hAnsi="___WRD_EMBED_SUB_43" w:eastAsia="方正仿宋_GBK" w:cs="___WRD_EMBED_SUB_43"/>
          <w:sz w:val="32"/>
          <w:szCs w:val="32"/>
        </w:rPr>
        <w:t>的实</w:t>
      </w:r>
      <w:r>
        <w:rPr>
          <w:rFonts w:hint="eastAsia" w:ascii="方正仿宋_GBK" w:hAnsi="宋体" w:eastAsia="方正仿宋_GBK" w:cs="宋体"/>
          <w:sz w:val="32"/>
          <w:szCs w:val="32"/>
        </w:rPr>
        <w:t>际</w:t>
      </w:r>
      <w:r>
        <w:rPr>
          <w:rFonts w:hint="eastAsia" w:ascii="方正仿宋_GBK" w:hAnsi="___WRD_EMBED_SUB_43" w:eastAsia="方正仿宋_GBK" w:cs="___WRD_EMBED_SUB_43"/>
          <w:sz w:val="32"/>
          <w:szCs w:val="32"/>
        </w:rPr>
        <w:t>行动，</w:t>
      </w:r>
      <w:r>
        <w:rPr>
          <w:rFonts w:hint="eastAsia" w:ascii="方正仿宋_GBK" w:hAnsi="Times New Roman" w:eastAsia="方正仿宋_GBK"/>
          <w:sz w:val="32"/>
          <w:szCs w:val="32"/>
        </w:rPr>
        <w:t>是建筑行业一项新的</w:t>
      </w:r>
      <w:r>
        <w:rPr>
          <w:rFonts w:hint="eastAsia" w:ascii="方正仿宋_GBK" w:hAnsi="宋体" w:eastAsia="方正仿宋_GBK" w:cs="宋体"/>
          <w:sz w:val="32"/>
          <w:szCs w:val="32"/>
        </w:rPr>
        <w:t>改革举措，</w:t>
      </w:r>
      <w:r>
        <w:rPr>
          <w:rFonts w:hint="eastAsia" w:ascii="方正仿宋_GBK" w:hAnsi="___WRD_EMBED_SUB_43" w:eastAsia="方正仿宋_GBK" w:cs="___WRD_EMBED_SUB_43"/>
          <w:sz w:val="32"/>
          <w:szCs w:val="32"/>
        </w:rPr>
        <w:t>是一项系统工程，各</w:t>
      </w:r>
      <w:r>
        <w:rPr>
          <w:rFonts w:hint="eastAsia" w:ascii="方正仿宋_GBK" w:hAnsi="Times New Roman" w:eastAsia="方正仿宋_GBK"/>
          <w:sz w:val="32"/>
          <w:szCs w:val="32"/>
        </w:rPr>
        <w:t>区县、各单位、企业要提</w:t>
      </w:r>
      <w:r>
        <w:rPr>
          <w:rFonts w:hint="eastAsia" w:ascii="方正仿宋_GBK" w:hAnsi="宋体" w:eastAsia="方正仿宋_GBK" w:cs="宋体"/>
          <w:sz w:val="32"/>
          <w:szCs w:val="32"/>
        </w:rPr>
        <w:t>高</w:t>
      </w:r>
      <w:r>
        <w:rPr>
          <w:rFonts w:hint="eastAsia" w:ascii="方正仿宋_GBK" w:hAnsi="___WRD_EMBED_SUB_43" w:eastAsia="方正仿宋_GBK" w:cs="___WRD_EMBED_SUB_43"/>
          <w:sz w:val="32"/>
          <w:szCs w:val="32"/>
        </w:rPr>
        <w:t>政治站位，</w:t>
      </w:r>
      <w:r>
        <w:rPr>
          <w:rFonts w:hint="eastAsia" w:ascii="方正仿宋_GBK" w:hAnsi="Times New Roman" w:eastAsia="方正仿宋_GBK"/>
          <w:sz w:val="32"/>
          <w:szCs w:val="32"/>
        </w:rPr>
        <w:t>要充分认识培育建筑企业自有工人的重要性和紧迫性，要</w:t>
      </w:r>
      <w:r>
        <w:rPr>
          <w:rFonts w:hint="eastAsia" w:ascii="方正仿宋_GBK" w:hAnsi="___WRD_EMBED_SUB_43" w:eastAsia="方正仿宋_GBK" w:cs="___WRD_EMBED_SUB_43"/>
          <w:sz w:val="32"/>
          <w:szCs w:val="32"/>
        </w:rPr>
        <w:t>加强</w:t>
      </w:r>
      <w:r>
        <w:rPr>
          <w:rFonts w:hint="eastAsia" w:ascii="方正仿宋_GBK" w:hAnsi="宋体" w:eastAsia="方正仿宋_GBK" w:cs="宋体"/>
          <w:sz w:val="32"/>
          <w:szCs w:val="32"/>
        </w:rPr>
        <w:t>宣传</w:t>
      </w:r>
      <w:r>
        <w:rPr>
          <w:rFonts w:hint="eastAsia" w:ascii="方正仿宋_GBK" w:hAnsi="___WRD_EMBED_SUB_43" w:eastAsia="方正仿宋_GBK" w:cs="___WRD_EMBED_SUB_43"/>
          <w:sz w:val="32"/>
          <w:szCs w:val="32"/>
        </w:rPr>
        <w:t>引导，</w:t>
      </w:r>
      <w:r>
        <w:rPr>
          <w:rFonts w:hint="eastAsia" w:ascii="方正仿宋_GBK" w:hAnsi="Times New Roman" w:eastAsia="方正仿宋_GBK"/>
          <w:sz w:val="32"/>
          <w:szCs w:val="32"/>
          <w:shd w:val="clear" w:color="FFFFFF" w:fill="FFFFFF"/>
        </w:rPr>
        <w:t>及时总结和推广培育自有工人的好经验、好做法</w:t>
      </w:r>
      <w:r>
        <w:rPr>
          <w:rFonts w:hint="eastAsia" w:ascii="方正仿宋_GBK" w:hAnsi="___WRD_EMBED_SUB_43" w:eastAsia="方正仿宋_GBK" w:cs="___WRD_EMBED_SUB_43"/>
          <w:sz w:val="32"/>
          <w:szCs w:val="32"/>
          <w:shd w:val="clear" w:color="FFFFFF" w:fill="FFFFFF"/>
        </w:rPr>
        <w:t>。要加大普法力度，激发企业推进改革的内生动力，督促企业合法用工，及时协调解决建筑工人实际困难和问题，</w:t>
      </w:r>
      <w:r>
        <w:rPr>
          <w:rFonts w:hint="eastAsia" w:ascii="方正仿宋_GBK" w:hAnsi="宋体" w:eastAsia="方正仿宋_GBK" w:cs="宋体"/>
          <w:sz w:val="32"/>
          <w:szCs w:val="32"/>
          <w:shd w:val="clear" w:color="FFFFFF" w:fill="FFFFFF"/>
        </w:rPr>
        <w:t>促</w:t>
      </w:r>
      <w:r>
        <w:rPr>
          <w:rFonts w:hint="eastAsia" w:ascii="方正仿宋_GBK" w:hAnsi="___WRD_EMBED_SUB_43" w:eastAsia="方正仿宋_GBK" w:cs="___WRD_EMBED_SUB_43"/>
          <w:sz w:val="32"/>
          <w:szCs w:val="32"/>
          <w:shd w:val="clear" w:color="FFFFFF" w:fill="FFFFFF"/>
        </w:rPr>
        <w:t>进</w:t>
      </w:r>
      <w:r>
        <w:rPr>
          <w:rFonts w:hint="eastAsia" w:ascii="方正仿宋_GBK" w:hAnsi="Times New Roman" w:eastAsia="方正仿宋_GBK"/>
          <w:sz w:val="32"/>
          <w:szCs w:val="32"/>
          <w:shd w:val="clear" w:color="FFFFFF" w:fill="FFFFFF"/>
        </w:rPr>
        <w:t>建筑企业自有工人队伍健康发</w:t>
      </w:r>
      <w:r>
        <w:rPr>
          <w:rFonts w:hint="eastAsia" w:ascii="方正仿宋_GBK" w:hAnsi="宋体" w:eastAsia="方正仿宋_GBK" w:cs="宋体"/>
          <w:sz w:val="32"/>
          <w:szCs w:val="32"/>
          <w:shd w:val="clear" w:color="FFFFFF" w:fill="FFFFFF"/>
        </w:rPr>
        <w:t>展</w:t>
      </w:r>
      <w:r>
        <w:rPr>
          <w:rFonts w:hint="eastAsia" w:ascii="方正仿宋_GBK" w:hAnsi="Times New Roman" w:eastAsia="方正仿宋_GBK"/>
          <w:sz w:val="32"/>
          <w:szCs w:val="32"/>
        </w:rPr>
        <w:t>。</w:t>
      </w:r>
    </w:p>
    <w:p>
      <w:pPr>
        <w:pStyle w:val="3"/>
        <w:spacing w:line="560" w:lineRule="exact"/>
      </w:pPr>
    </w:p>
    <w:p>
      <w:pPr>
        <w:spacing w:line="560" w:lineRule="exact"/>
      </w:pPr>
    </w:p>
    <w:p>
      <w:pPr>
        <w:pStyle w:val="2"/>
      </w:pPr>
    </w:p>
    <w:p>
      <w:pPr>
        <w:pStyle w:val="3"/>
      </w:pPr>
    </w:p>
    <w:p/>
    <w:p>
      <w:pPr>
        <w:pStyle w:val="2"/>
      </w:pPr>
    </w:p>
    <w:p>
      <w:pPr>
        <w:pStyle w:val="3"/>
      </w:pPr>
    </w:p>
    <w:p/>
    <w:p>
      <w:pPr>
        <w:pStyle w:val="2"/>
        <w:spacing w:line="500" w:lineRule="exact"/>
        <w:jc w:val="left"/>
        <w:rPr>
          <w:rFonts w:ascii="方正黑体_GBK" w:eastAsia="方正黑体_GBK"/>
          <w:sz w:val="32"/>
          <w:szCs w:val="32"/>
        </w:rPr>
      </w:pPr>
      <w:r>
        <w:rPr>
          <w:rFonts w:hint="eastAsia" w:ascii="方正黑体_GBK" w:eastAsia="方正黑体_GBK"/>
          <w:sz w:val="32"/>
          <w:szCs w:val="32"/>
        </w:rPr>
        <w:t>附件1</w:t>
      </w:r>
    </w:p>
    <w:p>
      <w:pPr>
        <w:spacing w:line="500" w:lineRule="exact"/>
        <w:jc w:val="center"/>
        <w:rPr>
          <w:sz w:val="36"/>
          <w:szCs w:val="36"/>
        </w:rPr>
      </w:pPr>
      <w:r>
        <w:rPr>
          <w:rFonts w:hint="eastAsia" w:ascii="方正小标宋_GBK" w:hAnsi="方正小标宋_GBK" w:eastAsia="方正小标宋_GBK" w:cs="方正小标宋_GBK"/>
          <w:sz w:val="36"/>
          <w:szCs w:val="36"/>
        </w:rPr>
        <w:t>重庆市培育建筑企业自有工人第一批试点企业名单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60"/>
        <w:gridCol w:w="1701"/>
        <w:gridCol w:w="1843"/>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959" w:type="dxa"/>
          </w:tcPr>
          <w:p>
            <w:pPr>
              <w:pStyle w:val="2"/>
              <w:spacing w:line="280" w:lineRule="exact"/>
              <w:rPr>
                <w:rFonts w:ascii="方正黑体_GBK" w:eastAsia="方正黑体_GBK"/>
              </w:rPr>
            </w:pPr>
            <w:r>
              <w:rPr>
                <w:rFonts w:hint="eastAsia" w:ascii="方正黑体_GBK" w:hAnsi="方正仿宋_GBK" w:eastAsia="方正黑体_GBK" w:cs="方正仿宋_GBK"/>
                <w:sz w:val="32"/>
                <w:szCs w:val="32"/>
              </w:rPr>
              <w:t>序号</w:t>
            </w:r>
          </w:p>
        </w:tc>
        <w:tc>
          <w:tcPr>
            <w:tcW w:w="3260" w:type="dxa"/>
          </w:tcPr>
          <w:p>
            <w:pPr>
              <w:pStyle w:val="2"/>
              <w:spacing w:line="280" w:lineRule="exact"/>
              <w:rPr>
                <w:rFonts w:ascii="方正黑体_GBK" w:eastAsia="方正黑体_GBK"/>
              </w:rPr>
            </w:pPr>
            <w:r>
              <w:rPr>
                <w:rFonts w:hint="eastAsia" w:ascii="方正黑体_GBK" w:hAnsi="方正仿宋_GBK" w:eastAsia="方正黑体_GBK" w:cs="方正仿宋_GBK"/>
                <w:sz w:val="32"/>
                <w:szCs w:val="32"/>
              </w:rPr>
              <w:t>企业名称</w:t>
            </w:r>
          </w:p>
        </w:tc>
        <w:tc>
          <w:tcPr>
            <w:tcW w:w="1701" w:type="dxa"/>
          </w:tcPr>
          <w:p>
            <w:pPr>
              <w:pStyle w:val="2"/>
              <w:spacing w:line="280" w:lineRule="exact"/>
              <w:rPr>
                <w:rFonts w:ascii="方正黑体_GBK" w:eastAsia="方正黑体_GBK"/>
              </w:rPr>
            </w:pPr>
            <w:r>
              <w:rPr>
                <w:rFonts w:hint="eastAsia" w:ascii="方正黑体_GBK" w:hAnsi="方正仿宋_GBK" w:eastAsia="方正黑体_GBK" w:cs="方正仿宋_GBK"/>
                <w:sz w:val="32"/>
                <w:szCs w:val="32"/>
              </w:rPr>
              <w:t>资质</w:t>
            </w:r>
          </w:p>
        </w:tc>
        <w:tc>
          <w:tcPr>
            <w:tcW w:w="1843" w:type="dxa"/>
          </w:tcPr>
          <w:p>
            <w:pPr>
              <w:pStyle w:val="2"/>
              <w:spacing w:line="280" w:lineRule="exact"/>
              <w:jc w:val="both"/>
              <w:rPr>
                <w:rFonts w:ascii="方正黑体_GBK" w:eastAsia="方正黑体_GBK"/>
              </w:rPr>
            </w:pPr>
            <w:r>
              <w:rPr>
                <w:rFonts w:hint="eastAsia" w:ascii="方正黑体_GBK" w:hAnsi="方正仿宋_GBK" w:eastAsia="方正黑体_GBK" w:cs="方正仿宋_GBK"/>
                <w:sz w:val="32"/>
                <w:szCs w:val="32"/>
              </w:rPr>
              <w:t>企业注册地</w:t>
            </w:r>
          </w:p>
        </w:tc>
        <w:tc>
          <w:tcPr>
            <w:tcW w:w="1417" w:type="dxa"/>
          </w:tcPr>
          <w:p>
            <w:pPr>
              <w:pStyle w:val="2"/>
              <w:spacing w:line="280" w:lineRule="exact"/>
              <w:rPr>
                <w:rFonts w:ascii="方正黑体_GBK" w:eastAsia="方正黑体_GBK"/>
              </w:rPr>
            </w:pPr>
            <w:r>
              <w:rPr>
                <w:rFonts w:hint="eastAsia" w:ascii="方正黑体_GBK" w:hAnsi="方正仿宋_GBK" w:eastAsia="方正黑体_GBK" w:cs="方正仿宋_GBK"/>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59"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1</w:t>
            </w:r>
          </w:p>
        </w:tc>
        <w:tc>
          <w:tcPr>
            <w:tcW w:w="3260"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中冶建工集团有限公司</w:t>
            </w:r>
          </w:p>
        </w:tc>
        <w:tc>
          <w:tcPr>
            <w:tcW w:w="1701"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总承包特级</w:t>
            </w:r>
          </w:p>
        </w:tc>
        <w:tc>
          <w:tcPr>
            <w:tcW w:w="1843"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大渡口区</w:t>
            </w:r>
          </w:p>
        </w:tc>
        <w:tc>
          <w:tcPr>
            <w:tcW w:w="1417"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2</w:t>
            </w:r>
          </w:p>
        </w:tc>
        <w:tc>
          <w:tcPr>
            <w:tcW w:w="3260"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渝建实业集团股份有限公司</w:t>
            </w:r>
          </w:p>
        </w:tc>
        <w:tc>
          <w:tcPr>
            <w:tcW w:w="1701"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总承包特级</w:t>
            </w:r>
          </w:p>
        </w:tc>
        <w:tc>
          <w:tcPr>
            <w:tcW w:w="1843"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南岸区</w:t>
            </w:r>
          </w:p>
        </w:tc>
        <w:tc>
          <w:tcPr>
            <w:tcW w:w="1417"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3</w:t>
            </w:r>
          </w:p>
        </w:tc>
        <w:tc>
          <w:tcPr>
            <w:tcW w:w="3260"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远海建工（集团）有限公司</w:t>
            </w:r>
          </w:p>
        </w:tc>
        <w:tc>
          <w:tcPr>
            <w:tcW w:w="1701"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总承包特级</w:t>
            </w:r>
          </w:p>
        </w:tc>
        <w:tc>
          <w:tcPr>
            <w:tcW w:w="1843"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两江新区</w:t>
            </w:r>
          </w:p>
        </w:tc>
        <w:tc>
          <w:tcPr>
            <w:tcW w:w="1417"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4</w:t>
            </w:r>
          </w:p>
        </w:tc>
        <w:tc>
          <w:tcPr>
            <w:tcW w:w="3260"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重庆建工第三建设有限责任公司</w:t>
            </w:r>
          </w:p>
        </w:tc>
        <w:tc>
          <w:tcPr>
            <w:tcW w:w="1701"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总承包一级</w:t>
            </w:r>
          </w:p>
        </w:tc>
        <w:tc>
          <w:tcPr>
            <w:tcW w:w="1843"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渝中区</w:t>
            </w:r>
          </w:p>
        </w:tc>
        <w:tc>
          <w:tcPr>
            <w:tcW w:w="1417"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5</w:t>
            </w:r>
          </w:p>
        </w:tc>
        <w:tc>
          <w:tcPr>
            <w:tcW w:w="3260"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重庆市渝海建设（集团）有限公司</w:t>
            </w:r>
          </w:p>
        </w:tc>
        <w:tc>
          <w:tcPr>
            <w:tcW w:w="1701"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总承包一级</w:t>
            </w:r>
          </w:p>
        </w:tc>
        <w:tc>
          <w:tcPr>
            <w:tcW w:w="1843"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万州区</w:t>
            </w:r>
          </w:p>
        </w:tc>
        <w:tc>
          <w:tcPr>
            <w:tcW w:w="1417"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6</w:t>
            </w:r>
          </w:p>
        </w:tc>
        <w:tc>
          <w:tcPr>
            <w:tcW w:w="3260"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重庆博云建工集团有限公司</w:t>
            </w:r>
          </w:p>
        </w:tc>
        <w:tc>
          <w:tcPr>
            <w:tcW w:w="1701"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总承包一级</w:t>
            </w:r>
          </w:p>
        </w:tc>
        <w:tc>
          <w:tcPr>
            <w:tcW w:w="1843"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万州区</w:t>
            </w:r>
          </w:p>
        </w:tc>
        <w:tc>
          <w:tcPr>
            <w:tcW w:w="1417"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7</w:t>
            </w:r>
          </w:p>
        </w:tc>
        <w:tc>
          <w:tcPr>
            <w:tcW w:w="3260" w:type="dxa"/>
            <w:vAlign w:val="center"/>
          </w:tcPr>
          <w:p>
            <w:pPr>
              <w:pStyle w:val="2"/>
              <w:spacing w:line="2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重庆万泰建设（集团）有限公司</w:t>
            </w:r>
          </w:p>
        </w:tc>
        <w:tc>
          <w:tcPr>
            <w:tcW w:w="1701" w:type="dxa"/>
            <w:vAlign w:val="center"/>
          </w:tcPr>
          <w:p>
            <w:pPr>
              <w:pStyle w:val="2"/>
              <w:spacing w:line="2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总承包一级</w:t>
            </w:r>
          </w:p>
        </w:tc>
        <w:tc>
          <w:tcPr>
            <w:tcW w:w="1843" w:type="dxa"/>
            <w:vAlign w:val="center"/>
          </w:tcPr>
          <w:p>
            <w:pPr>
              <w:pStyle w:val="2"/>
              <w:spacing w:line="2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渝北区</w:t>
            </w:r>
          </w:p>
        </w:tc>
        <w:tc>
          <w:tcPr>
            <w:tcW w:w="1417"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8</w:t>
            </w:r>
          </w:p>
        </w:tc>
        <w:tc>
          <w:tcPr>
            <w:tcW w:w="3260"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重庆光鸿建筑工程有限公司</w:t>
            </w:r>
          </w:p>
        </w:tc>
        <w:tc>
          <w:tcPr>
            <w:tcW w:w="1701"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总承包一级</w:t>
            </w:r>
          </w:p>
        </w:tc>
        <w:tc>
          <w:tcPr>
            <w:tcW w:w="1843"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高新区</w:t>
            </w:r>
          </w:p>
        </w:tc>
        <w:tc>
          <w:tcPr>
            <w:tcW w:w="1417"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9</w:t>
            </w:r>
          </w:p>
        </w:tc>
        <w:tc>
          <w:tcPr>
            <w:tcW w:w="3260" w:type="dxa"/>
            <w:vAlign w:val="center"/>
          </w:tcPr>
          <w:p>
            <w:pPr>
              <w:pStyle w:val="2"/>
              <w:spacing w:line="280" w:lineRule="exact"/>
              <w:rPr>
                <w:rFonts w:ascii="方正仿宋_GBK" w:eastAsia="方正仿宋_GBK"/>
                <w:sz w:val="28"/>
                <w:szCs w:val="28"/>
              </w:rPr>
            </w:pPr>
            <w:r>
              <w:rPr>
                <w:rFonts w:hint="eastAsia" w:ascii="方正仿宋_GBK" w:hAnsi="Times New Roman" w:eastAsia="方正仿宋_GBK"/>
                <w:sz w:val="28"/>
                <w:szCs w:val="28"/>
              </w:rPr>
              <w:t>重庆宝宇建设集团有限公司</w:t>
            </w:r>
          </w:p>
        </w:tc>
        <w:tc>
          <w:tcPr>
            <w:tcW w:w="1701"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总承包一级</w:t>
            </w:r>
          </w:p>
        </w:tc>
        <w:tc>
          <w:tcPr>
            <w:tcW w:w="1843" w:type="dxa"/>
            <w:vAlign w:val="center"/>
          </w:tcPr>
          <w:p>
            <w:pPr>
              <w:pStyle w:val="2"/>
              <w:spacing w:line="280" w:lineRule="exact"/>
              <w:rPr>
                <w:rFonts w:ascii="方正仿宋_GBK" w:eastAsia="方正仿宋_GBK"/>
                <w:sz w:val="28"/>
                <w:szCs w:val="28"/>
              </w:rPr>
            </w:pPr>
            <w:r>
              <w:rPr>
                <w:rFonts w:hint="eastAsia" w:ascii="方正仿宋_GBK" w:hAnsi="Times New Roman" w:eastAsia="方正仿宋_GBK"/>
                <w:sz w:val="28"/>
                <w:szCs w:val="28"/>
              </w:rPr>
              <w:t>奉节县</w:t>
            </w:r>
          </w:p>
        </w:tc>
        <w:tc>
          <w:tcPr>
            <w:tcW w:w="1417"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10</w:t>
            </w:r>
          </w:p>
        </w:tc>
        <w:tc>
          <w:tcPr>
            <w:tcW w:w="3260"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重庆津北贵福建设集团有限公司</w:t>
            </w:r>
          </w:p>
        </w:tc>
        <w:tc>
          <w:tcPr>
            <w:tcW w:w="1701"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总承包一级</w:t>
            </w:r>
          </w:p>
        </w:tc>
        <w:tc>
          <w:tcPr>
            <w:tcW w:w="1843"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江津区</w:t>
            </w:r>
          </w:p>
        </w:tc>
        <w:tc>
          <w:tcPr>
            <w:tcW w:w="1417"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11</w:t>
            </w:r>
          </w:p>
        </w:tc>
        <w:tc>
          <w:tcPr>
            <w:tcW w:w="3260" w:type="dxa"/>
            <w:vAlign w:val="center"/>
          </w:tcPr>
          <w:p>
            <w:pPr>
              <w:pStyle w:val="2"/>
              <w:spacing w:line="2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重庆单轨交通工程</w:t>
            </w:r>
            <w:r>
              <w:rPr>
                <w:rFonts w:hint="eastAsia" w:ascii="方正仿宋_GBK" w:hAnsi="方正仿宋_GBK" w:eastAsia="方正仿宋_GBK" w:cs="方正仿宋_GBK"/>
                <w:sz w:val="28"/>
                <w:szCs w:val="28"/>
                <w:lang w:val="en-US" w:eastAsia="zh-CN"/>
              </w:rPr>
              <w:t>有</w:t>
            </w:r>
            <w:bookmarkStart w:id="0" w:name="_GoBack"/>
            <w:bookmarkEnd w:id="0"/>
            <w:r>
              <w:rPr>
                <w:rFonts w:hint="eastAsia" w:ascii="方正仿宋_GBK" w:hAnsi="方正仿宋_GBK" w:eastAsia="方正仿宋_GBK" w:cs="方正仿宋_GBK"/>
                <w:sz w:val="28"/>
                <w:szCs w:val="28"/>
              </w:rPr>
              <w:t>限责任公司</w:t>
            </w:r>
          </w:p>
        </w:tc>
        <w:tc>
          <w:tcPr>
            <w:tcW w:w="1701" w:type="dxa"/>
            <w:vAlign w:val="center"/>
          </w:tcPr>
          <w:p>
            <w:pPr>
              <w:pStyle w:val="2"/>
              <w:spacing w:line="2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总承包一级</w:t>
            </w:r>
          </w:p>
        </w:tc>
        <w:tc>
          <w:tcPr>
            <w:tcW w:w="1843" w:type="dxa"/>
            <w:vAlign w:val="center"/>
          </w:tcPr>
          <w:p>
            <w:pPr>
              <w:pStyle w:val="2"/>
              <w:spacing w:line="2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大渡口区</w:t>
            </w:r>
          </w:p>
        </w:tc>
        <w:tc>
          <w:tcPr>
            <w:tcW w:w="1417" w:type="dxa"/>
            <w:vAlign w:val="center"/>
          </w:tcPr>
          <w:p>
            <w:pPr>
              <w:pStyle w:val="2"/>
              <w:spacing w:line="280" w:lineRule="exact"/>
              <w:rPr>
                <w:rFonts w:ascii="方正仿宋_GBK" w:eastAsia="方正仿宋_GBK"/>
                <w:sz w:val="21"/>
                <w:szCs w:val="21"/>
              </w:rPr>
            </w:pPr>
            <w:r>
              <w:rPr>
                <w:rFonts w:hint="eastAsia" w:ascii="方正仿宋_GBK" w:eastAsia="方正仿宋_GBK"/>
                <w:sz w:val="21"/>
                <w:szCs w:val="21"/>
              </w:rPr>
              <w:t>合资企业（国有控股）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12</w:t>
            </w:r>
          </w:p>
        </w:tc>
        <w:tc>
          <w:tcPr>
            <w:tcW w:w="3260"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重庆玉晟建筑有限责任公司</w:t>
            </w:r>
          </w:p>
        </w:tc>
        <w:tc>
          <w:tcPr>
            <w:tcW w:w="1701"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总承包二级</w:t>
            </w:r>
          </w:p>
        </w:tc>
        <w:tc>
          <w:tcPr>
            <w:tcW w:w="1843"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渝中区</w:t>
            </w:r>
          </w:p>
        </w:tc>
        <w:tc>
          <w:tcPr>
            <w:tcW w:w="1417"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13</w:t>
            </w:r>
          </w:p>
        </w:tc>
        <w:tc>
          <w:tcPr>
            <w:tcW w:w="3260"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重庆利他建设工程有限公司</w:t>
            </w:r>
          </w:p>
        </w:tc>
        <w:tc>
          <w:tcPr>
            <w:tcW w:w="1701"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总承包二级</w:t>
            </w:r>
          </w:p>
        </w:tc>
        <w:tc>
          <w:tcPr>
            <w:tcW w:w="1843"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垫江县</w:t>
            </w:r>
          </w:p>
        </w:tc>
        <w:tc>
          <w:tcPr>
            <w:tcW w:w="1417"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14</w:t>
            </w:r>
          </w:p>
        </w:tc>
        <w:tc>
          <w:tcPr>
            <w:tcW w:w="3260"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重庆顺翔建筑工程有限公司</w:t>
            </w:r>
          </w:p>
        </w:tc>
        <w:tc>
          <w:tcPr>
            <w:tcW w:w="1701"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总承包二级</w:t>
            </w:r>
          </w:p>
        </w:tc>
        <w:tc>
          <w:tcPr>
            <w:tcW w:w="1843"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两江新区</w:t>
            </w:r>
          </w:p>
        </w:tc>
        <w:tc>
          <w:tcPr>
            <w:tcW w:w="1417"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15</w:t>
            </w:r>
          </w:p>
        </w:tc>
        <w:tc>
          <w:tcPr>
            <w:tcW w:w="3260"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重庆贵焰建筑工程有限公司</w:t>
            </w:r>
          </w:p>
        </w:tc>
        <w:tc>
          <w:tcPr>
            <w:tcW w:w="1701"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总承包二级</w:t>
            </w:r>
          </w:p>
        </w:tc>
        <w:tc>
          <w:tcPr>
            <w:tcW w:w="1843"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涪陵区</w:t>
            </w:r>
          </w:p>
        </w:tc>
        <w:tc>
          <w:tcPr>
            <w:tcW w:w="1417"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16</w:t>
            </w:r>
          </w:p>
        </w:tc>
        <w:tc>
          <w:tcPr>
            <w:tcW w:w="3260"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重庆乾和建筑工程有限公司</w:t>
            </w:r>
          </w:p>
        </w:tc>
        <w:tc>
          <w:tcPr>
            <w:tcW w:w="1701"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总承包二级</w:t>
            </w:r>
          </w:p>
        </w:tc>
        <w:tc>
          <w:tcPr>
            <w:tcW w:w="1843"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万州区</w:t>
            </w:r>
          </w:p>
        </w:tc>
        <w:tc>
          <w:tcPr>
            <w:tcW w:w="1417"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17</w:t>
            </w:r>
          </w:p>
        </w:tc>
        <w:tc>
          <w:tcPr>
            <w:tcW w:w="3260" w:type="dxa"/>
            <w:vAlign w:val="center"/>
          </w:tcPr>
          <w:p>
            <w:pPr>
              <w:pStyle w:val="2"/>
              <w:spacing w:line="2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重庆远胜建筑工程有限公司</w:t>
            </w:r>
          </w:p>
        </w:tc>
        <w:tc>
          <w:tcPr>
            <w:tcW w:w="1701" w:type="dxa"/>
            <w:vAlign w:val="center"/>
          </w:tcPr>
          <w:p>
            <w:pPr>
              <w:pStyle w:val="2"/>
              <w:spacing w:line="2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总承包二级</w:t>
            </w:r>
          </w:p>
        </w:tc>
        <w:tc>
          <w:tcPr>
            <w:tcW w:w="1843" w:type="dxa"/>
            <w:vAlign w:val="center"/>
          </w:tcPr>
          <w:p>
            <w:pPr>
              <w:pStyle w:val="2"/>
              <w:spacing w:line="2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巫山县</w:t>
            </w:r>
          </w:p>
        </w:tc>
        <w:tc>
          <w:tcPr>
            <w:tcW w:w="1417"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18</w:t>
            </w:r>
          </w:p>
        </w:tc>
        <w:tc>
          <w:tcPr>
            <w:tcW w:w="3260" w:type="dxa"/>
            <w:vAlign w:val="center"/>
          </w:tcPr>
          <w:p>
            <w:pPr>
              <w:pStyle w:val="2"/>
              <w:spacing w:line="2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重庆陶阳建筑工程有限公司</w:t>
            </w:r>
          </w:p>
        </w:tc>
        <w:tc>
          <w:tcPr>
            <w:tcW w:w="1701" w:type="dxa"/>
            <w:vAlign w:val="center"/>
          </w:tcPr>
          <w:p>
            <w:pPr>
              <w:pStyle w:val="2"/>
              <w:spacing w:line="2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总承包二级</w:t>
            </w:r>
          </w:p>
        </w:tc>
        <w:tc>
          <w:tcPr>
            <w:tcW w:w="1843" w:type="dxa"/>
            <w:vAlign w:val="center"/>
          </w:tcPr>
          <w:p>
            <w:pPr>
              <w:pStyle w:val="2"/>
              <w:spacing w:line="2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永川区</w:t>
            </w:r>
          </w:p>
        </w:tc>
        <w:tc>
          <w:tcPr>
            <w:tcW w:w="1417"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959"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19</w:t>
            </w:r>
          </w:p>
        </w:tc>
        <w:tc>
          <w:tcPr>
            <w:tcW w:w="3260"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重庆丰功建筑工程有限公司</w:t>
            </w:r>
          </w:p>
        </w:tc>
        <w:tc>
          <w:tcPr>
            <w:tcW w:w="1701"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总承包三级</w:t>
            </w:r>
          </w:p>
        </w:tc>
        <w:tc>
          <w:tcPr>
            <w:tcW w:w="1843" w:type="dxa"/>
            <w:vAlign w:val="center"/>
          </w:tcPr>
          <w:p>
            <w:pPr>
              <w:pStyle w:val="2"/>
              <w:spacing w:line="280" w:lineRule="exact"/>
              <w:rPr>
                <w:rFonts w:ascii="方正仿宋_GBK" w:eastAsia="方正仿宋_GBK"/>
                <w:sz w:val="28"/>
                <w:szCs w:val="28"/>
              </w:rPr>
            </w:pPr>
            <w:r>
              <w:rPr>
                <w:rFonts w:hint="eastAsia" w:ascii="方正仿宋_GBK" w:hAnsi="方正仿宋_GBK" w:eastAsia="方正仿宋_GBK" w:cs="方正仿宋_GBK"/>
                <w:sz w:val="28"/>
                <w:szCs w:val="28"/>
              </w:rPr>
              <w:t>渝北区</w:t>
            </w:r>
          </w:p>
        </w:tc>
        <w:tc>
          <w:tcPr>
            <w:tcW w:w="1417"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59"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20</w:t>
            </w:r>
          </w:p>
        </w:tc>
        <w:tc>
          <w:tcPr>
            <w:tcW w:w="3260" w:type="dxa"/>
            <w:vAlign w:val="center"/>
          </w:tcPr>
          <w:p>
            <w:pPr>
              <w:pStyle w:val="2"/>
              <w:spacing w:line="2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重庆永昂实业有限公司</w:t>
            </w:r>
          </w:p>
        </w:tc>
        <w:tc>
          <w:tcPr>
            <w:tcW w:w="1701" w:type="dxa"/>
            <w:vAlign w:val="center"/>
          </w:tcPr>
          <w:p>
            <w:pPr>
              <w:pStyle w:val="2"/>
              <w:spacing w:line="2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总承包三级</w:t>
            </w:r>
          </w:p>
        </w:tc>
        <w:tc>
          <w:tcPr>
            <w:tcW w:w="1843" w:type="dxa"/>
            <w:vAlign w:val="center"/>
          </w:tcPr>
          <w:p>
            <w:pPr>
              <w:pStyle w:val="2"/>
              <w:spacing w:line="2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渝中区</w:t>
            </w:r>
          </w:p>
        </w:tc>
        <w:tc>
          <w:tcPr>
            <w:tcW w:w="1417"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59"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21</w:t>
            </w:r>
          </w:p>
        </w:tc>
        <w:tc>
          <w:tcPr>
            <w:tcW w:w="3260" w:type="dxa"/>
            <w:vAlign w:val="center"/>
          </w:tcPr>
          <w:p>
            <w:pPr>
              <w:pStyle w:val="2"/>
              <w:spacing w:line="2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重庆建杰建筑工程有限公司</w:t>
            </w:r>
          </w:p>
        </w:tc>
        <w:tc>
          <w:tcPr>
            <w:tcW w:w="1701" w:type="dxa"/>
            <w:vAlign w:val="center"/>
          </w:tcPr>
          <w:p>
            <w:pPr>
              <w:pStyle w:val="2"/>
              <w:spacing w:line="2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专业承包一级（钢结构）</w:t>
            </w:r>
          </w:p>
        </w:tc>
        <w:tc>
          <w:tcPr>
            <w:tcW w:w="1843" w:type="dxa"/>
            <w:vAlign w:val="center"/>
          </w:tcPr>
          <w:p>
            <w:pPr>
              <w:pStyle w:val="2"/>
              <w:spacing w:line="280" w:lineRule="exact"/>
              <w:rPr>
                <w:rFonts w:ascii="方正仿宋_GBK" w:eastAsia="方正仿宋_GBK" w:cs="宋体"/>
                <w:sz w:val="28"/>
                <w:szCs w:val="28"/>
              </w:rPr>
            </w:pPr>
            <w:r>
              <w:rPr>
                <w:rFonts w:hint="eastAsia" w:ascii="方正仿宋_GBK" w:eastAsia="方正仿宋_GBK" w:cs="宋体"/>
                <w:sz w:val="28"/>
                <w:szCs w:val="28"/>
              </w:rPr>
              <w:t>綦江区</w:t>
            </w:r>
          </w:p>
        </w:tc>
        <w:tc>
          <w:tcPr>
            <w:tcW w:w="1417"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民营企业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rPr>
        <w:tc>
          <w:tcPr>
            <w:tcW w:w="959"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22</w:t>
            </w:r>
          </w:p>
        </w:tc>
        <w:tc>
          <w:tcPr>
            <w:tcW w:w="3260" w:type="dxa"/>
            <w:vAlign w:val="center"/>
          </w:tcPr>
          <w:p>
            <w:pPr>
              <w:pStyle w:val="2"/>
              <w:spacing w:line="2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重庆永能实业（集团）有限公司</w:t>
            </w:r>
          </w:p>
        </w:tc>
        <w:tc>
          <w:tcPr>
            <w:tcW w:w="1701" w:type="dxa"/>
            <w:vAlign w:val="center"/>
          </w:tcPr>
          <w:p>
            <w:pPr>
              <w:pStyle w:val="2"/>
              <w:spacing w:line="280" w:lineRule="exac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专业承包二级（电力）</w:t>
            </w:r>
          </w:p>
        </w:tc>
        <w:tc>
          <w:tcPr>
            <w:tcW w:w="1843" w:type="dxa"/>
            <w:vAlign w:val="center"/>
          </w:tcPr>
          <w:p>
            <w:pPr>
              <w:pStyle w:val="2"/>
              <w:spacing w:line="280" w:lineRule="exact"/>
              <w:rPr>
                <w:rFonts w:ascii="方正仿宋_GBK" w:eastAsia="方正仿宋_GBK" w:cs="宋体"/>
                <w:sz w:val="28"/>
                <w:szCs w:val="28"/>
              </w:rPr>
            </w:pPr>
            <w:r>
              <w:rPr>
                <w:rFonts w:hint="eastAsia" w:ascii="方正仿宋_GBK" w:eastAsia="方正仿宋_GBK" w:cs="宋体"/>
                <w:sz w:val="28"/>
                <w:szCs w:val="28"/>
              </w:rPr>
              <w:t>永川区</w:t>
            </w:r>
          </w:p>
        </w:tc>
        <w:tc>
          <w:tcPr>
            <w:tcW w:w="1417" w:type="dxa"/>
            <w:vAlign w:val="center"/>
          </w:tcPr>
          <w:p>
            <w:pPr>
              <w:pStyle w:val="2"/>
              <w:spacing w:line="280" w:lineRule="exact"/>
              <w:rPr>
                <w:rFonts w:ascii="方正仿宋_GBK" w:eastAsia="方正仿宋_GBK"/>
                <w:sz w:val="28"/>
                <w:szCs w:val="28"/>
              </w:rPr>
            </w:pPr>
            <w:r>
              <w:rPr>
                <w:rFonts w:hint="eastAsia" w:ascii="方正仿宋_GBK" w:eastAsia="方正仿宋_GBK"/>
                <w:sz w:val="28"/>
                <w:szCs w:val="28"/>
              </w:rPr>
              <w:t>民营企业</w:t>
            </w:r>
          </w:p>
        </w:tc>
      </w:tr>
    </w:tbl>
    <w:p>
      <w:pPr>
        <w:rPr>
          <w:rFonts w:ascii="方正黑体_GBK" w:eastAsia="方正黑体_GBK"/>
          <w:sz w:val="32"/>
          <w:szCs w:val="32"/>
        </w:rPr>
      </w:pPr>
      <w:r>
        <w:rPr>
          <w:rFonts w:hint="eastAsia" w:ascii="方正黑体_GBK" w:eastAsia="方正黑体_GBK"/>
          <w:sz w:val="32"/>
          <w:szCs w:val="32"/>
        </w:rPr>
        <w:t xml:space="preserve">附件2 </w:t>
      </w:r>
    </w:p>
    <w:p>
      <w:pPr>
        <w:jc w:val="center"/>
        <w:rPr>
          <w:rFonts w:ascii="宋体" w:hAnsi="宋体" w:cs="宋体"/>
          <w:kern w:val="0"/>
          <w:sz w:val="24"/>
          <w:szCs w:val="20"/>
        </w:rPr>
      </w:pPr>
      <w:r>
        <w:rPr>
          <w:rFonts w:hint="eastAsia" w:ascii="方正黑体_GBK" w:eastAsia="方正黑体_GBK"/>
          <w:sz w:val="32"/>
          <w:szCs w:val="32"/>
        </w:rPr>
        <w:t>试点企业自有工人配备数量(施工总承包企业)</w:t>
      </w:r>
    </w:p>
    <w:tbl>
      <w:tblPr>
        <w:tblStyle w:val="9"/>
        <w:tblW w:w="47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2410"/>
        <w:gridCol w:w="1773"/>
        <w:gridCol w:w="170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jc w:val="center"/>
        </w:trPr>
        <w:tc>
          <w:tcPr>
            <w:tcW w:w="3664" w:type="dxa"/>
            <w:gridSpan w:val="2"/>
            <w:tcBorders>
              <w:top w:val="single" w:color="auto" w:sz="4" w:space="0"/>
              <w:left w:val="single" w:color="auto" w:sz="4" w:space="0"/>
              <w:bottom w:val="single" w:color="auto" w:sz="4" w:space="0"/>
              <w:right w:val="single" w:color="auto" w:sz="4" w:space="0"/>
              <w:tl2br w:val="single" w:color="auto" w:sz="4" w:space="0"/>
            </w:tcBorders>
          </w:tcPr>
          <w:p>
            <w:pPr>
              <w:spacing w:line="300" w:lineRule="exact"/>
              <w:ind w:right="-90" w:rightChars="-43" w:firstLine="1476" w:firstLineChars="700"/>
              <w:jc w:val="right"/>
              <w:rPr>
                <w:rFonts w:ascii="方正仿宋_GBK" w:hAnsi="宋体" w:eastAsia="方正仿宋_GBK"/>
                <w:b/>
                <w:bCs/>
                <w:szCs w:val="21"/>
                <w:lang w:bidi="ar"/>
              </w:rPr>
            </w:pPr>
          </w:p>
          <w:p>
            <w:pPr>
              <w:spacing w:line="300" w:lineRule="exact"/>
              <w:ind w:firstLine="2108" w:firstLineChars="1000"/>
              <w:rPr>
                <w:rFonts w:ascii="方正仿宋_GBK" w:hAnsi="宋体" w:eastAsia="方正仿宋_GBK"/>
                <w:b/>
                <w:bCs/>
                <w:szCs w:val="21"/>
                <w:lang w:bidi="ar"/>
              </w:rPr>
            </w:pPr>
            <w:r>
              <w:rPr>
                <w:rFonts w:hint="eastAsia" w:ascii="方正仿宋_GBK" w:hAnsi="宋体" w:eastAsia="方正仿宋_GBK"/>
                <w:b/>
                <w:bCs/>
                <w:szCs w:val="21"/>
                <w:lang w:bidi="ar"/>
              </w:rPr>
              <w:t>自有工人数量</w:t>
            </w:r>
          </w:p>
          <w:p>
            <w:pPr>
              <w:spacing w:line="300" w:lineRule="exact"/>
              <w:rPr>
                <w:rFonts w:ascii="方正仿宋_GBK" w:hAnsi="宋体" w:eastAsia="方正仿宋_GBK"/>
                <w:b/>
                <w:bCs/>
                <w:sz w:val="20"/>
              </w:rPr>
            </w:pPr>
            <w:r>
              <w:rPr>
                <w:rFonts w:hint="eastAsia" w:ascii="方正仿宋_GBK" w:hAnsi="宋体" w:eastAsia="方正仿宋_GBK"/>
                <w:b/>
                <w:bCs/>
                <w:szCs w:val="21"/>
                <w:lang w:bidi="ar"/>
              </w:rPr>
              <w:t>企业资质及规模</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b/>
                <w:bCs/>
                <w:szCs w:val="21"/>
                <w:lang w:bidi="ar"/>
              </w:rPr>
            </w:pPr>
            <w:r>
              <w:rPr>
                <w:rFonts w:hint="eastAsia" w:ascii="方正仿宋_GBK" w:hAnsi="宋体" w:eastAsia="方正仿宋_GBK"/>
                <w:b/>
                <w:bCs/>
                <w:szCs w:val="21"/>
                <w:lang w:bidi="ar"/>
              </w:rPr>
              <w:t>中级工占比</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b/>
                <w:bCs/>
                <w:szCs w:val="21"/>
                <w:lang w:bidi="ar"/>
              </w:rPr>
            </w:pPr>
            <w:r>
              <w:rPr>
                <w:rFonts w:hint="eastAsia" w:ascii="方正仿宋_GBK" w:hAnsi="宋体" w:eastAsia="方正仿宋_GBK"/>
                <w:b/>
                <w:bCs/>
                <w:szCs w:val="21"/>
                <w:lang w:bidi="ar"/>
              </w:rPr>
              <w:t>高级工及以上工人占比</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ind w:right="-56"/>
              <w:jc w:val="center"/>
              <w:rPr>
                <w:rFonts w:ascii="方正仿宋_GBK" w:hAnsi="宋体" w:eastAsia="方正仿宋_GBK"/>
                <w:b/>
                <w:bCs/>
                <w:szCs w:val="21"/>
                <w:lang w:bidi="ar"/>
              </w:rPr>
            </w:pPr>
            <w:r>
              <w:rPr>
                <w:rFonts w:hint="eastAsia" w:ascii="方正仿宋_GBK" w:hAnsi="宋体" w:eastAsia="方正仿宋_GBK"/>
                <w:b/>
                <w:bCs/>
                <w:szCs w:val="21"/>
                <w:lang w:bidi="ar"/>
              </w:rPr>
              <w:t>小计</w:t>
            </w:r>
          </w:p>
          <w:p>
            <w:pPr>
              <w:spacing w:line="300" w:lineRule="exact"/>
              <w:ind w:right="-56"/>
              <w:jc w:val="center"/>
              <w:rPr>
                <w:rFonts w:ascii="方正仿宋_GBK" w:hAnsi="宋体" w:eastAsia="方正仿宋_GBK"/>
                <w:b/>
                <w:bCs/>
                <w:szCs w:val="21"/>
                <w:lang w:bidi="ar"/>
              </w:rPr>
            </w:pPr>
            <w:r>
              <w:rPr>
                <w:rFonts w:hint="eastAsia" w:ascii="方正仿宋_GBK" w:hAnsi="宋体" w:eastAsia="方正仿宋_GBK"/>
                <w:b/>
                <w:bCs/>
                <w:szCs w:val="21"/>
                <w:lang w:bidi="ar"/>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54"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rPr>
              <w:t>特级企业</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rPr>
              <w:t>&lt;20亿元营业收入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lang w:bidi="ar"/>
              </w:rPr>
              <w:t>20-30亿元营业收入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30-50亿元营业收入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50－100亿元营业收入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100－200亿元营业收入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54"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lang w:bidi="ar"/>
              </w:rPr>
              <w:t>200亿营业收入以上</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50%</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254" w:type="dxa"/>
            <w:vMerge w:val="restart"/>
            <w:tcBorders>
              <w:top w:val="single" w:color="auto" w:sz="4" w:space="0"/>
              <w:left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rPr>
              <w:t>一级企业</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&lt;10亿元营业收入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45%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254" w:type="dxa"/>
            <w:vMerge w:val="continue"/>
            <w:tcBorders>
              <w:left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10－20亿元营业收入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45%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254" w:type="dxa"/>
            <w:vMerge w:val="continue"/>
            <w:tcBorders>
              <w:left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lang w:bidi="ar"/>
              </w:rPr>
              <w:t>20－30亿元营业收入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45%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1254" w:type="dxa"/>
            <w:vMerge w:val="continue"/>
            <w:tcBorders>
              <w:left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lang w:bidi="ar"/>
              </w:rPr>
              <w:t>30－50亿元营业收入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45%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54" w:type="dxa"/>
            <w:vMerge w:val="continue"/>
            <w:tcBorders>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lang w:bidi="ar"/>
              </w:rPr>
              <w:t>50亿元营业收入以上</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45%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254" w:type="dxa"/>
            <w:vMerge w:val="restart"/>
            <w:tcBorders>
              <w:left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rPr>
              <w:t>二级企业</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&lt;2亿元营业收入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254" w:type="dxa"/>
            <w:vMerge w:val="continue"/>
            <w:tcBorders>
              <w:left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2－5亿元营业收入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254" w:type="dxa"/>
            <w:vMerge w:val="continue"/>
            <w:tcBorders>
              <w:left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5－10亿元营业收入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1254" w:type="dxa"/>
            <w:vMerge w:val="continue"/>
            <w:tcBorders>
              <w:left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10亿元营业收入以上</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4%</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254" w:type="dxa"/>
            <w:vMerge w:val="restart"/>
            <w:tcBorders>
              <w:left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rPr>
              <w:t>三级企业</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&lt;1亿元营业收入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25%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254" w:type="dxa"/>
            <w:vMerge w:val="continue"/>
            <w:tcBorders>
              <w:left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1－2亿元营业收入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25%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254" w:type="dxa"/>
            <w:vMerge w:val="continue"/>
            <w:tcBorders>
              <w:left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2－5亿元营业收入</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25%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254" w:type="dxa"/>
            <w:vMerge w:val="continue"/>
            <w:tcBorders>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5亿营业收入以上</w:t>
            </w:r>
          </w:p>
        </w:tc>
        <w:tc>
          <w:tcPr>
            <w:tcW w:w="1773"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25%</w:t>
            </w:r>
          </w:p>
        </w:tc>
        <w:tc>
          <w:tcPr>
            <w:tcW w:w="170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300</w:t>
            </w:r>
          </w:p>
        </w:tc>
      </w:tr>
    </w:tbl>
    <w:p>
      <w:pPr>
        <w:autoSpaceDE w:val="0"/>
        <w:autoSpaceDN w:val="0"/>
        <w:adjustRightInd w:val="0"/>
        <w:spacing w:line="300" w:lineRule="exact"/>
        <w:jc w:val="left"/>
        <w:rPr>
          <w:rFonts w:ascii="宋体" w:hAnsi="宋体"/>
          <w:b/>
          <w:sz w:val="24"/>
        </w:rPr>
      </w:pPr>
    </w:p>
    <w:p>
      <w:pPr>
        <w:autoSpaceDE w:val="0"/>
        <w:autoSpaceDN w:val="0"/>
        <w:adjustRightInd w:val="0"/>
        <w:spacing w:line="360" w:lineRule="auto"/>
        <w:jc w:val="center"/>
        <w:rPr>
          <w:rFonts w:ascii="方正黑体_GBK" w:hAnsi="宋体" w:eastAsia="方正黑体_GBK" w:cs="宋体"/>
          <w:kern w:val="0"/>
          <w:sz w:val="32"/>
          <w:szCs w:val="32"/>
        </w:rPr>
      </w:pPr>
      <w:r>
        <w:rPr>
          <w:rFonts w:hint="eastAsia" w:ascii="方正黑体_GBK" w:hAnsi="宋体" w:eastAsia="方正黑体_GBK"/>
          <w:sz w:val="32"/>
          <w:szCs w:val="32"/>
        </w:rPr>
        <w:t>试点企业自有工人配备数量(专业承包企业)</w:t>
      </w:r>
    </w:p>
    <w:tbl>
      <w:tblPr>
        <w:tblStyle w:val="9"/>
        <w:tblW w:w="45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2268"/>
        <w:gridCol w:w="1694"/>
        <w:gridCol w:w="1700"/>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3550" w:type="dxa"/>
            <w:gridSpan w:val="2"/>
            <w:tcBorders>
              <w:top w:val="single" w:color="auto" w:sz="4" w:space="0"/>
              <w:left w:val="single" w:color="auto" w:sz="4" w:space="0"/>
              <w:bottom w:val="single" w:color="auto" w:sz="4" w:space="0"/>
              <w:right w:val="single" w:color="auto" w:sz="4" w:space="0"/>
              <w:tl2br w:val="single" w:color="auto" w:sz="4" w:space="0"/>
            </w:tcBorders>
          </w:tcPr>
          <w:p>
            <w:pPr>
              <w:spacing w:line="320" w:lineRule="exact"/>
              <w:jc w:val="right"/>
              <w:rPr>
                <w:rFonts w:ascii="方正仿宋_GBK" w:hAnsi="宋体" w:eastAsia="方正仿宋_GBK"/>
                <w:b/>
                <w:bCs/>
                <w:szCs w:val="21"/>
                <w:lang w:bidi="ar"/>
              </w:rPr>
            </w:pPr>
            <w:r>
              <w:rPr>
                <w:rFonts w:hint="eastAsia" w:ascii="方正仿宋_GBK" w:hAnsi="宋体" w:eastAsia="方正仿宋_GBK"/>
                <w:b/>
                <w:bCs/>
                <w:szCs w:val="21"/>
                <w:lang w:bidi="ar"/>
              </w:rPr>
              <w:t>自有工人数量</w:t>
            </w:r>
          </w:p>
          <w:p>
            <w:pPr>
              <w:spacing w:line="320" w:lineRule="exact"/>
              <w:rPr>
                <w:rFonts w:ascii="方正仿宋_GBK" w:hAnsi="宋体" w:eastAsia="方正仿宋_GBK"/>
                <w:b/>
                <w:bCs/>
                <w:sz w:val="20"/>
              </w:rPr>
            </w:pPr>
            <w:r>
              <w:rPr>
                <w:rFonts w:hint="eastAsia" w:ascii="方正仿宋_GBK" w:hAnsi="宋体" w:eastAsia="方正仿宋_GBK"/>
                <w:b/>
                <w:bCs/>
                <w:szCs w:val="21"/>
                <w:lang w:bidi="ar"/>
              </w:rPr>
              <w:t>企业资质及规模</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hAnsi="宋体" w:eastAsia="方正仿宋_GBK"/>
                <w:b/>
                <w:bCs/>
                <w:szCs w:val="21"/>
                <w:lang w:bidi="ar"/>
              </w:rPr>
            </w:pPr>
            <w:r>
              <w:rPr>
                <w:rFonts w:hint="eastAsia" w:ascii="方正仿宋_GBK" w:hAnsi="宋体" w:eastAsia="方正仿宋_GBK"/>
                <w:b/>
                <w:bCs/>
                <w:szCs w:val="21"/>
                <w:lang w:bidi="ar"/>
              </w:rPr>
              <w:t>中级工占比</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方正仿宋_GBK" w:hAnsi="宋体" w:eastAsia="方正仿宋_GBK"/>
                <w:b/>
                <w:bCs/>
                <w:szCs w:val="21"/>
                <w:lang w:bidi="ar"/>
              </w:rPr>
            </w:pPr>
            <w:r>
              <w:rPr>
                <w:rFonts w:hint="eastAsia" w:ascii="方正仿宋_GBK" w:hAnsi="宋体" w:eastAsia="方正仿宋_GBK"/>
                <w:b/>
                <w:bCs/>
                <w:szCs w:val="21"/>
                <w:lang w:bidi="ar"/>
              </w:rPr>
              <w:t>高级工及以上工人占比</w:t>
            </w:r>
          </w:p>
        </w:tc>
        <w:tc>
          <w:tcPr>
            <w:tcW w:w="1525" w:type="dxa"/>
            <w:tcBorders>
              <w:top w:val="single" w:color="auto" w:sz="4" w:space="0"/>
              <w:left w:val="single" w:color="auto" w:sz="4" w:space="0"/>
              <w:bottom w:val="single" w:color="auto" w:sz="4" w:space="0"/>
              <w:right w:val="single" w:color="auto" w:sz="4" w:space="0"/>
            </w:tcBorders>
            <w:vAlign w:val="center"/>
          </w:tcPr>
          <w:p>
            <w:pPr>
              <w:spacing w:line="320" w:lineRule="exact"/>
              <w:ind w:right="-56"/>
              <w:jc w:val="center"/>
              <w:rPr>
                <w:rFonts w:ascii="方正仿宋_GBK" w:hAnsi="宋体" w:eastAsia="方正仿宋_GBK"/>
                <w:b/>
                <w:bCs/>
                <w:szCs w:val="21"/>
                <w:lang w:bidi="ar"/>
              </w:rPr>
            </w:pPr>
            <w:r>
              <w:rPr>
                <w:rFonts w:hint="eastAsia" w:ascii="方正仿宋_GBK" w:hAnsi="宋体" w:eastAsia="方正仿宋_GBK"/>
                <w:b/>
                <w:bCs/>
                <w:szCs w:val="21"/>
                <w:lang w:bidi="ar"/>
              </w:rPr>
              <w:t>小计</w:t>
            </w:r>
          </w:p>
          <w:p>
            <w:pPr>
              <w:spacing w:line="320" w:lineRule="exact"/>
              <w:ind w:right="-56"/>
              <w:jc w:val="center"/>
              <w:rPr>
                <w:rFonts w:ascii="方正仿宋_GBK" w:hAnsi="宋体" w:eastAsia="方正仿宋_GBK"/>
                <w:b/>
                <w:bCs/>
                <w:szCs w:val="21"/>
                <w:lang w:bidi="ar"/>
              </w:rPr>
            </w:pPr>
            <w:r>
              <w:rPr>
                <w:rFonts w:hint="eastAsia" w:ascii="方正仿宋_GBK" w:hAnsi="宋体" w:eastAsia="方正仿宋_GBK"/>
                <w:b/>
                <w:bCs/>
                <w:szCs w:val="21"/>
                <w:lang w:bidi="ar"/>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jc w:val="center"/>
        </w:trPr>
        <w:tc>
          <w:tcPr>
            <w:tcW w:w="1282" w:type="dxa"/>
            <w:vMerge w:val="restar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rPr>
              <w:t>一级企业</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lang w:bidi="ar"/>
              </w:rPr>
              <w:t>&lt;0.5亿元营业收入</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 w:val="22"/>
                <w:szCs w:val="22"/>
              </w:rPr>
              <w:t>60%</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 w:val="22"/>
                <w:szCs w:val="22"/>
              </w:rPr>
              <w:t>3%</w:t>
            </w:r>
          </w:p>
        </w:tc>
        <w:tc>
          <w:tcPr>
            <w:tcW w:w="1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28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0.5－1亿元营业收入</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60%</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w:t>
            </w:r>
          </w:p>
        </w:tc>
        <w:tc>
          <w:tcPr>
            <w:tcW w:w="1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1282" w:type="dxa"/>
            <w:vMerge w:val="continue"/>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lang w:bidi="ar"/>
              </w:rPr>
              <w:t>1亿元营业收入以上</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 w:val="22"/>
                <w:szCs w:val="22"/>
              </w:rPr>
              <w:t>60%</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 w:val="22"/>
                <w:szCs w:val="22"/>
              </w:rPr>
              <w:t>3%</w:t>
            </w:r>
          </w:p>
        </w:tc>
        <w:tc>
          <w:tcPr>
            <w:tcW w:w="1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1282" w:type="dxa"/>
            <w:vMerge w:val="restart"/>
            <w:tcBorders>
              <w:top w:val="single" w:color="auto" w:sz="4" w:space="0"/>
              <w:left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rPr>
              <w:t>二级企业</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&lt;0.5亿营业收入</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 w:val="22"/>
                <w:szCs w:val="22"/>
              </w:rPr>
              <w:t>50%</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 w:val="22"/>
                <w:szCs w:val="22"/>
              </w:rPr>
              <w:t>3%</w:t>
            </w:r>
          </w:p>
        </w:tc>
        <w:tc>
          <w:tcPr>
            <w:tcW w:w="1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282" w:type="dxa"/>
            <w:vMerge w:val="continue"/>
            <w:tcBorders>
              <w:top w:val="single" w:color="auto" w:sz="4" w:space="0"/>
              <w:left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0.5－1亿元营业收入</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50%</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w:t>
            </w:r>
          </w:p>
        </w:tc>
        <w:tc>
          <w:tcPr>
            <w:tcW w:w="1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282" w:type="dxa"/>
            <w:vMerge w:val="continue"/>
            <w:tcBorders>
              <w:left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1亿元营业收入以上</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 w:val="22"/>
                <w:szCs w:val="22"/>
              </w:rPr>
              <w:t>50%</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 w:val="22"/>
                <w:szCs w:val="22"/>
              </w:rPr>
              <w:t>3%</w:t>
            </w:r>
          </w:p>
        </w:tc>
        <w:tc>
          <w:tcPr>
            <w:tcW w:w="1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1282" w:type="dxa"/>
            <w:vMerge w:val="restart"/>
            <w:tcBorders>
              <w:left w:val="single" w:color="auto" w:sz="4" w:space="0"/>
              <w:right w:val="single" w:color="auto" w:sz="4" w:space="0"/>
            </w:tcBorders>
            <w:vAlign w:val="center"/>
          </w:tcPr>
          <w:p>
            <w:pPr>
              <w:spacing w:line="300" w:lineRule="exact"/>
              <w:rPr>
                <w:rFonts w:ascii="方正仿宋_GBK" w:hAnsi="宋体" w:eastAsia="方正仿宋_GBK"/>
                <w:szCs w:val="21"/>
              </w:rPr>
            </w:pPr>
            <w:r>
              <w:rPr>
                <w:rFonts w:hint="eastAsia" w:ascii="方正仿宋_GBK" w:hAnsi="宋体" w:eastAsia="方正仿宋_GBK"/>
                <w:szCs w:val="21"/>
              </w:rPr>
              <w:t>三级或不分等级企业</w:t>
            </w: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0.5&lt;亿元营业收入</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 w:val="22"/>
                <w:szCs w:val="22"/>
              </w:rPr>
              <w:t>40%</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rPr>
              <w:t>－</w:t>
            </w:r>
          </w:p>
        </w:tc>
        <w:tc>
          <w:tcPr>
            <w:tcW w:w="1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jc w:val="center"/>
        </w:trPr>
        <w:tc>
          <w:tcPr>
            <w:tcW w:w="1282" w:type="dxa"/>
            <w:vMerge w:val="continue"/>
            <w:tcBorders>
              <w:left w:val="single" w:color="auto" w:sz="4" w:space="0"/>
              <w:right w:val="single" w:color="auto" w:sz="4" w:space="0"/>
            </w:tcBorders>
            <w:vAlign w:val="center"/>
          </w:tcPr>
          <w:p>
            <w:pPr>
              <w:spacing w:line="300" w:lineRule="exact"/>
              <w:jc w:val="center"/>
              <w:rPr>
                <w:rFonts w:ascii="方正仿宋_GBK" w:hAnsi="宋体" w:eastAsia="方正仿宋_GBK"/>
                <w:szCs w:val="21"/>
              </w:rPr>
            </w:pPr>
          </w:p>
        </w:tc>
        <w:tc>
          <w:tcPr>
            <w:tcW w:w="226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lang w:bidi="ar"/>
              </w:rPr>
            </w:pPr>
            <w:r>
              <w:rPr>
                <w:rFonts w:hint="eastAsia" w:ascii="方正仿宋_GBK" w:hAnsi="宋体" w:eastAsia="方正仿宋_GBK"/>
                <w:szCs w:val="21"/>
                <w:lang w:bidi="ar"/>
              </w:rPr>
              <w:t>0.5亿元营业收入以上</w:t>
            </w:r>
          </w:p>
        </w:tc>
        <w:tc>
          <w:tcPr>
            <w:tcW w:w="169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 w:val="22"/>
                <w:szCs w:val="22"/>
              </w:rPr>
              <w:t>40%</w:t>
            </w:r>
          </w:p>
        </w:tc>
        <w:tc>
          <w:tcPr>
            <w:tcW w:w="1700"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Cs w:val="21"/>
              </w:rPr>
            </w:pPr>
            <w:r>
              <w:rPr>
                <w:rFonts w:hint="eastAsia" w:ascii="方正仿宋_GBK" w:hAnsi="宋体" w:eastAsia="方正仿宋_GBK"/>
                <w:szCs w:val="21"/>
              </w:rPr>
              <w:t>－</w:t>
            </w:r>
          </w:p>
        </w:tc>
        <w:tc>
          <w:tcPr>
            <w:tcW w:w="1525"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方正仿宋_GBK" w:hAnsi="宋体" w:eastAsia="方正仿宋_GBK"/>
                <w:sz w:val="22"/>
                <w:szCs w:val="22"/>
              </w:rPr>
            </w:pPr>
            <w:r>
              <w:rPr>
                <w:rFonts w:hint="eastAsia" w:ascii="方正仿宋_GBK" w:hAnsi="宋体" w:eastAsia="方正仿宋_GBK"/>
                <w:sz w:val="22"/>
                <w:szCs w:val="22"/>
              </w:rPr>
              <w:t>50</w:t>
            </w:r>
          </w:p>
        </w:tc>
      </w:tr>
    </w:tbl>
    <w:p>
      <w:pPr>
        <w:spacing w:line="320" w:lineRule="exact"/>
        <w:rPr>
          <w:rFonts w:ascii="宋体" w:hAnsi="宋体" w:cs="宋体"/>
        </w:rPr>
      </w:pPr>
      <w:r>
        <w:rPr>
          <w:rFonts w:hint="eastAsia" w:ascii="方正仿宋_GBK" w:eastAsia="方正仿宋_GBK"/>
        </w:rPr>
        <w:t>　备注：1、表中“以上”包含本数，其余不包含本数。如“5－10”</w:t>
      </w:r>
      <w:r>
        <w:rPr>
          <w:rFonts w:hint="eastAsia" w:ascii="宋体" w:hAnsi="宋体" w:cs="宋体"/>
        </w:rPr>
        <w:t>即“》5且〈10”。</w:t>
      </w:r>
    </w:p>
    <w:p>
      <w:pPr>
        <w:pStyle w:val="2"/>
        <w:spacing w:line="320" w:lineRule="exact"/>
        <w:ind w:left="1155" w:hanging="1155" w:hangingChars="550"/>
        <w:jc w:val="both"/>
        <w:rPr>
          <w:rFonts w:ascii="方正仿宋_GBK" w:eastAsia="方正仿宋_GBK"/>
          <w:sz w:val="21"/>
          <w:szCs w:val="21"/>
        </w:rPr>
      </w:pPr>
      <w:r>
        <w:rPr>
          <w:rFonts w:hint="eastAsia" w:ascii="方正仿宋_GBK" w:eastAsia="方正仿宋_GBK"/>
          <w:sz w:val="21"/>
          <w:szCs w:val="21"/>
        </w:rPr>
        <w:t>　　　　2、表中“营业收入”为企业上年度财务报表数据，包含市内、市外营业收入。</w:t>
      </w:r>
    </w:p>
    <w:p>
      <w:pPr>
        <w:pStyle w:val="2"/>
        <w:spacing w:line="320" w:lineRule="exact"/>
        <w:ind w:firstLine="840" w:firstLineChars="400"/>
        <w:jc w:val="both"/>
        <w:rPr>
          <w:rFonts w:ascii="方正仿宋_GBK" w:eastAsia="方正仿宋_GBK"/>
          <w:sz w:val="21"/>
          <w:szCs w:val="21"/>
        </w:rPr>
      </w:pPr>
      <w:r>
        <w:rPr>
          <w:rFonts w:hint="eastAsia" w:ascii="方正仿宋_GBK" w:eastAsia="方正仿宋_GBK"/>
          <w:sz w:val="21"/>
          <w:szCs w:val="21"/>
        </w:rPr>
        <w:t>3、机械化程度高的市政、公路、钢结构等施工企业，上述自有工人配备数量相应下降10%。</w:t>
      </w:r>
    </w:p>
    <w:p>
      <w:pPr>
        <w:pStyle w:val="3"/>
        <w:spacing w:line="320" w:lineRule="exact"/>
        <w:ind w:left="0" w:leftChars="0"/>
        <w:rPr>
          <w:rFonts w:ascii="宋体"/>
          <w:b/>
          <w:sz w:val="24"/>
        </w:rPr>
      </w:pPr>
      <w:r>
        <w:rPr>
          <w:rFonts w:hint="eastAsia" w:ascii="方正仿宋_GBK"/>
          <w:sz w:val="21"/>
          <w:szCs w:val="21"/>
        </w:rPr>
        <w:t xml:space="preserve">        4、在试点第一年、第二年企业自有工人数量应分别达到《自有工人配备数量》总人数的25%以上、70%以上，第三年应符合《自有工人配备数量》相关要求。</w:t>
      </w:r>
    </w:p>
    <w:sectPr>
      <w:footerReference r:id="rId3" w:type="default"/>
      <w:pgSz w:w="11906" w:h="16838"/>
      <w:pgMar w:top="1418" w:right="1440" w:bottom="1418"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2C914C-FCC6-4F82-BA28-4309BBBCED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大标宋简体">
    <w:altName w:val="微软雅黑"/>
    <w:panose1 w:val="00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K">
    <w:panose1 w:val="03000509000000000000"/>
    <w:charset w:val="86"/>
    <w:family w:val="script"/>
    <w:pitch w:val="default"/>
    <w:sig w:usb0="00000001" w:usb1="080E0000" w:usb2="00000000" w:usb3="00000000" w:csb0="00040000" w:csb1="00000000"/>
    <w:embedRegular r:id="rId2" w:fontKey="{1B0A6CB0-DDBB-49F0-BA8A-271B729572BB}"/>
  </w:font>
  <w:font w:name="方正黑体_GBK">
    <w:panose1 w:val="03000509000000000000"/>
    <w:charset w:val="86"/>
    <w:family w:val="script"/>
    <w:pitch w:val="default"/>
    <w:sig w:usb0="00000001" w:usb1="080E0000" w:usb2="00000000" w:usb3="00000000" w:csb0="00040000" w:csb1="00000000"/>
    <w:embedRegular r:id="rId3" w:fontKey="{C7ACED10-A2C1-4DA6-B11B-68A49C98B220}"/>
  </w:font>
  <w:font w:name="方正小标宋_GBK">
    <w:panose1 w:val="03000509000000000000"/>
    <w:charset w:val="86"/>
    <w:family w:val="script"/>
    <w:pitch w:val="default"/>
    <w:sig w:usb0="00000001" w:usb1="080E0000" w:usb2="00000000" w:usb3="00000000" w:csb0="00040000" w:csb1="00000000"/>
    <w:embedRegular r:id="rId4" w:fontKey="{0539722B-B216-4F89-8715-123F3EFDACE8}"/>
  </w:font>
  <w:font w:name="方正楷体_GBK">
    <w:panose1 w:val="03000509000000000000"/>
    <w:charset w:val="86"/>
    <w:family w:val="script"/>
    <w:pitch w:val="default"/>
    <w:sig w:usb0="00000001" w:usb1="080E0000" w:usb2="00000000" w:usb3="00000000" w:csb0="00040000" w:csb1="00000000"/>
    <w:embedRegular r:id="rId5" w:fontKey="{923FBDE5-4A46-4E13-8E72-690EFCA6E441}"/>
  </w:font>
  <w:font w:name="___WRD_EMBED_SUB_43">
    <w:altName w:val="宋体"/>
    <w:panose1 w:val="02010600030101010101"/>
    <w:charset w:val="86"/>
    <w:family w:val="modern"/>
    <w:pitch w:val="default"/>
    <w:sig w:usb0="00000000" w:usb1="00000000" w:usb2="00000010" w:usb3="00000000" w:csb0="00040000" w:csb1="00000000"/>
    <w:embedRegular r:id="rId6" w:fontKey="{4D57CC38-B2A4-44F3-B1D8-1D2BF48471E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89161"/>
    </w:sdtPr>
    <w:sdtContent>
      <w:p>
        <w:pPr>
          <w:pStyle w:val="6"/>
          <w:jc w:val="center"/>
        </w:pPr>
        <w:r>
          <w:fldChar w:fldCharType="begin"/>
        </w:r>
        <w:r>
          <w:instrText xml:space="preserve">PAGE   \* MERGEFORMAT</w:instrText>
        </w:r>
        <w:r>
          <w:fldChar w:fldCharType="separate"/>
        </w:r>
        <w:r>
          <w:rPr>
            <w:lang w:val="zh-CN"/>
          </w:rPr>
          <w:t>1</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TrueTypeFonts/>
  <w:saveSubset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393"/>
    <w:rsid w:val="000004BF"/>
    <w:rsid w:val="00001074"/>
    <w:rsid w:val="00002051"/>
    <w:rsid w:val="00002ADB"/>
    <w:rsid w:val="00005207"/>
    <w:rsid w:val="0000765E"/>
    <w:rsid w:val="000102DF"/>
    <w:rsid w:val="00010A70"/>
    <w:rsid w:val="00012CA2"/>
    <w:rsid w:val="00015016"/>
    <w:rsid w:val="0002414B"/>
    <w:rsid w:val="0002540C"/>
    <w:rsid w:val="00025727"/>
    <w:rsid w:val="00034375"/>
    <w:rsid w:val="00034727"/>
    <w:rsid w:val="00035D3B"/>
    <w:rsid w:val="00035D61"/>
    <w:rsid w:val="00036F05"/>
    <w:rsid w:val="00056C70"/>
    <w:rsid w:val="00057542"/>
    <w:rsid w:val="0006077C"/>
    <w:rsid w:val="0006190F"/>
    <w:rsid w:val="00063601"/>
    <w:rsid w:val="00065E52"/>
    <w:rsid w:val="00066C48"/>
    <w:rsid w:val="00067B65"/>
    <w:rsid w:val="00070AB2"/>
    <w:rsid w:val="00070C5A"/>
    <w:rsid w:val="00077980"/>
    <w:rsid w:val="000850E0"/>
    <w:rsid w:val="00087ADA"/>
    <w:rsid w:val="000957EC"/>
    <w:rsid w:val="000A2974"/>
    <w:rsid w:val="000A2A85"/>
    <w:rsid w:val="000A54C6"/>
    <w:rsid w:val="000C1CD1"/>
    <w:rsid w:val="000C2171"/>
    <w:rsid w:val="000C3134"/>
    <w:rsid w:val="000C32C8"/>
    <w:rsid w:val="000C5BA0"/>
    <w:rsid w:val="000D0EAF"/>
    <w:rsid w:val="000D5AE8"/>
    <w:rsid w:val="000E1673"/>
    <w:rsid w:val="000E6A4E"/>
    <w:rsid w:val="000E753D"/>
    <w:rsid w:val="000E7A66"/>
    <w:rsid w:val="000F05A7"/>
    <w:rsid w:val="000F0C02"/>
    <w:rsid w:val="000F35F7"/>
    <w:rsid w:val="0010159A"/>
    <w:rsid w:val="001027B8"/>
    <w:rsid w:val="00105BDD"/>
    <w:rsid w:val="00112A7B"/>
    <w:rsid w:val="00114F72"/>
    <w:rsid w:val="00115277"/>
    <w:rsid w:val="0012133E"/>
    <w:rsid w:val="001216DA"/>
    <w:rsid w:val="00132C91"/>
    <w:rsid w:val="00137BCE"/>
    <w:rsid w:val="00142C3C"/>
    <w:rsid w:val="0014396E"/>
    <w:rsid w:val="00143A53"/>
    <w:rsid w:val="001514D7"/>
    <w:rsid w:val="001528DB"/>
    <w:rsid w:val="00162640"/>
    <w:rsid w:val="00164027"/>
    <w:rsid w:val="00166564"/>
    <w:rsid w:val="00166BC3"/>
    <w:rsid w:val="001706B2"/>
    <w:rsid w:val="00171A74"/>
    <w:rsid w:val="00171CED"/>
    <w:rsid w:val="001747F8"/>
    <w:rsid w:val="00174921"/>
    <w:rsid w:val="00184AB0"/>
    <w:rsid w:val="001869C7"/>
    <w:rsid w:val="00191070"/>
    <w:rsid w:val="00191801"/>
    <w:rsid w:val="00191CE3"/>
    <w:rsid w:val="00196E8E"/>
    <w:rsid w:val="001A1C20"/>
    <w:rsid w:val="001A28DB"/>
    <w:rsid w:val="001A542F"/>
    <w:rsid w:val="001B1499"/>
    <w:rsid w:val="001B288F"/>
    <w:rsid w:val="001C1815"/>
    <w:rsid w:val="001C2CC8"/>
    <w:rsid w:val="001C6E6A"/>
    <w:rsid w:val="001D03AA"/>
    <w:rsid w:val="001E288A"/>
    <w:rsid w:val="001E2BE5"/>
    <w:rsid w:val="001E31A9"/>
    <w:rsid w:val="001E65A7"/>
    <w:rsid w:val="001F0B83"/>
    <w:rsid w:val="001F201C"/>
    <w:rsid w:val="001F24FF"/>
    <w:rsid w:val="001F2879"/>
    <w:rsid w:val="00201B1D"/>
    <w:rsid w:val="0020497C"/>
    <w:rsid w:val="002051C1"/>
    <w:rsid w:val="00211026"/>
    <w:rsid w:val="002122FA"/>
    <w:rsid w:val="00221EC2"/>
    <w:rsid w:val="00225CBD"/>
    <w:rsid w:val="00225CF3"/>
    <w:rsid w:val="0022729B"/>
    <w:rsid w:val="00235238"/>
    <w:rsid w:val="0023632E"/>
    <w:rsid w:val="00241893"/>
    <w:rsid w:val="002472EF"/>
    <w:rsid w:val="0024798D"/>
    <w:rsid w:val="002502AD"/>
    <w:rsid w:val="002544CF"/>
    <w:rsid w:val="0025552C"/>
    <w:rsid w:val="002567B7"/>
    <w:rsid w:val="0026051D"/>
    <w:rsid w:val="00262199"/>
    <w:rsid w:val="002649D3"/>
    <w:rsid w:val="0026548C"/>
    <w:rsid w:val="00270D7F"/>
    <w:rsid w:val="00280368"/>
    <w:rsid w:val="002826FF"/>
    <w:rsid w:val="0028538C"/>
    <w:rsid w:val="002A07C9"/>
    <w:rsid w:val="002A4027"/>
    <w:rsid w:val="002B1647"/>
    <w:rsid w:val="002B3D87"/>
    <w:rsid w:val="002B4DED"/>
    <w:rsid w:val="002B605A"/>
    <w:rsid w:val="002B6726"/>
    <w:rsid w:val="002B7C9C"/>
    <w:rsid w:val="002C2726"/>
    <w:rsid w:val="002C425F"/>
    <w:rsid w:val="002C6641"/>
    <w:rsid w:val="002C6AD2"/>
    <w:rsid w:val="002C7DF2"/>
    <w:rsid w:val="002D23F8"/>
    <w:rsid w:val="002D3744"/>
    <w:rsid w:val="002D3980"/>
    <w:rsid w:val="002D5D35"/>
    <w:rsid w:val="002E1CE8"/>
    <w:rsid w:val="002E6B9E"/>
    <w:rsid w:val="002F1CF5"/>
    <w:rsid w:val="00300C76"/>
    <w:rsid w:val="00303279"/>
    <w:rsid w:val="00303EB2"/>
    <w:rsid w:val="00304196"/>
    <w:rsid w:val="003062D4"/>
    <w:rsid w:val="0030766E"/>
    <w:rsid w:val="003119FF"/>
    <w:rsid w:val="003120AE"/>
    <w:rsid w:val="003123C2"/>
    <w:rsid w:val="00315116"/>
    <w:rsid w:val="00321BAE"/>
    <w:rsid w:val="003225E8"/>
    <w:rsid w:val="00322D92"/>
    <w:rsid w:val="0032632D"/>
    <w:rsid w:val="00332C47"/>
    <w:rsid w:val="0033669B"/>
    <w:rsid w:val="00340323"/>
    <w:rsid w:val="00340AF4"/>
    <w:rsid w:val="00345C26"/>
    <w:rsid w:val="00345FCB"/>
    <w:rsid w:val="003462B0"/>
    <w:rsid w:val="00353D89"/>
    <w:rsid w:val="003540D7"/>
    <w:rsid w:val="00357C58"/>
    <w:rsid w:val="00357EC2"/>
    <w:rsid w:val="00360644"/>
    <w:rsid w:val="003632AB"/>
    <w:rsid w:val="0037135B"/>
    <w:rsid w:val="0037151A"/>
    <w:rsid w:val="00372B91"/>
    <w:rsid w:val="003764D5"/>
    <w:rsid w:val="0038226D"/>
    <w:rsid w:val="003856F1"/>
    <w:rsid w:val="00385982"/>
    <w:rsid w:val="00386896"/>
    <w:rsid w:val="0039264B"/>
    <w:rsid w:val="00393D88"/>
    <w:rsid w:val="00394605"/>
    <w:rsid w:val="00396255"/>
    <w:rsid w:val="003A0623"/>
    <w:rsid w:val="003B1CFF"/>
    <w:rsid w:val="003B38BA"/>
    <w:rsid w:val="003B3FBA"/>
    <w:rsid w:val="003B4BC4"/>
    <w:rsid w:val="003B6ABA"/>
    <w:rsid w:val="003B6D4E"/>
    <w:rsid w:val="003C2406"/>
    <w:rsid w:val="003C587C"/>
    <w:rsid w:val="003D1F99"/>
    <w:rsid w:val="003D66DF"/>
    <w:rsid w:val="003E2407"/>
    <w:rsid w:val="003E728F"/>
    <w:rsid w:val="003F2D4A"/>
    <w:rsid w:val="003F550F"/>
    <w:rsid w:val="003F5C75"/>
    <w:rsid w:val="004058CE"/>
    <w:rsid w:val="004076D9"/>
    <w:rsid w:val="0041002A"/>
    <w:rsid w:val="004106D0"/>
    <w:rsid w:val="00411702"/>
    <w:rsid w:val="00412B3E"/>
    <w:rsid w:val="00415722"/>
    <w:rsid w:val="00416BE5"/>
    <w:rsid w:val="004176F0"/>
    <w:rsid w:val="0041792C"/>
    <w:rsid w:val="004211D5"/>
    <w:rsid w:val="00425145"/>
    <w:rsid w:val="004264AD"/>
    <w:rsid w:val="0042749C"/>
    <w:rsid w:val="004274BC"/>
    <w:rsid w:val="00430A6E"/>
    <w:rsid w:val="00433919"/>
    <w:rsid w:val="00442025"/>
    <w:rsid w:val="0044432E"/>
    <w:rsid w:val="004501B6"/>
    <w:rsid w:val="00451959"/>
    <w:rsid w:val="0045599A"/>
    <w:rsid w:val="0046659F"/>
    <w:rsid w:val="00466808"/>
    <w:rsid w:val="0046784E"/>
    <w:rsid w:val="00471D0F"/>
    <w:rsid w:val="00473F36"/>
    <w:rsid w:val="004765F6"/>
    <w:rsid w:val="00485182"/>
    <w:rsid w:val="0049051F"/>
    <w:rsid w:val="004909D9"/>
    <w:rsid w:val="00491C23"/>
    <w:rsid w:val="004A2967"/>
    <w:rsid w:val="004A468C"/>
    <w:rsid w:val="004A4EDA"/>
    <w:rsid w:val="004A789D"/>
    <w:rsid w:val="004B18E4"/>
    <w:rsid w:val="004B44FB"/>
    <w:rsid w:val="004B79E0"/>
    <w:rsid w:val="004C2028"/>
    <w:rsid w:val="004C3705"/>
    <w:rsid w:val="004C3769"/>
    <w:rsid w:val="004C7C16"/>
    <w:rsid w:val="004D1A46"/>
    <w:rsid w:val="004D3310"/>
    <w:rsid w:val="004D5203"/>
    <w:rsid w:val="004D582F"/>
    <w:rsid w:val="004F44D4"/>
    <w:rsid w:val="004F4DBC"/>
    <w:rsid w:val="004F6E92"/>
    <w:rsid w:val="0050119F"/>
    <w:rsid w:val="00501B94"/>
    <w:rsid w:val="00506988"/>
    <w:rsid w:val="00506E5D"/>
    <w:rsid w:val="005103A7"/>
    <w:rsid w:val="00512FF9"/>
    <w:rsid w:val="00516DDE"/>
    <w:rsid w:val="00526989"/>
    <w:rsid w:val="00531795"/>
    <w:rsid w:val="00532D2F"/>
    <w:rsid w:val="00550379"/>
    <w:rsid w:val="00551051"/>
    <w:rsid w:val="00557D5D"/>
    <w:rsid w:val="00560A26"/>
    <w:rsid w:val="00567F89"/>
    <w:rsid w:val="00574C97"/>
    <w:rsid w:val="00582A2A"/>
    <w:rsid w:val="00583FCF"/>
    <w:rsid w:val="00591070"/>
    <w:rsid w:val="00591078"/>
    <w:rsid w:val="00592262"/>
    <w:rsid w:val="00592621"/>
    <w:rsid w:val="00593200"/>
    <w:rsid w:val="00595A02"/>
    <w:rsid w:val="00597C92"/>
    <w:rsid w:val="005A0D43"/>
    <w:rsid w:val="005A1E1B"/>
    <w:rsid w:val="005A5088"/>
    <w:rsid w:val="005A68A8"/>
    <w:rsid w:val="005B3FAD"/>
    <w:rsid w:val="005B5B58"/>
    <w:rsid w:val="005B72A0"/>
    <w:rsid w:val="005C7CAA"/>
    <w:rsid w:val="005D08AB"/>
    <w:rsid w:val="005D18A2"/>
    <w:rsid w:val="005D2ACD"/>
    <w:rsid w:val="005E0D6B"/>
    <w:rsid w:val="005E5928"/>
    <w:rsid w:val="005E6F04"/>
    <w:rsid w:val="005E737E"/>
    <w:rsid w:val="005F1AF1"/>
    <w:rsid w:val="005F4406"/>
    <w:rsid w:val="005F4F37"/>
    <w:rsid w:val="005F72A7"/>
    <w:rsid w:val="00612C34"/>
    <w:rsid w:val="006150C5"/>
    <w:rsid w:val="00616243"/>
    <w:rsid w:val="00626637"/>
    <w:rsid w:val="00626AAF"/>
    <w:rsid w:val="00627E2A"/>
    <w:rsid w:val="006307C5"/>
    <w:rsid w:val="00631E2D"/>
    <w:rsid w:val="00634803"/>
    <w:rsid w:val="00635D4A"/>
    <w:rsid w:val="00635E05"/>
    <w:rsid w:val="006416DC"/>
    <w:rsid w:val="00642E3F"/>
    <w:rsid w:val="006452FA"/>
    <w:rsid w:val="00651221"/>
    <w:rsid w:val="00652A20"/>
    <w:rsid w:val="00655966"/>
    <w:rsid w:val="00656796"/>
    <w:rsid w:val="00660215"/>
    <w:rsid w:val="006623A6"/>
    <w:rsid w:val="00667675"/>
    <w:rsid w:val="0067267B"/>
    <w:rsid w:val="00672D95"/>
    <w:rsid w:val="00674EC8"/>
    <w:rsid w:val="0068113C"/>
    <w:rsid w:val="00684CAF"/>
    <w:rsid w:val="006852FC"/>
    <w:rsid w:val="00685FA3"/>
    <w:rsid w:val="0069080E"/>
    <w:rsid w:val="006913DF"/>
    <w:rsid w:val="006A0E81"/>
    <w:rsid w:val="006A31D2"/>
    <w:rsid w:val="006A5979"/>
    <w:rsid w:val="006B144B"/>
    <w:rsid w:val="006B5E81"/>
    <w:rsid w:val="006C5875"/>
    <w:rsid w:val="006D36A7"/>
    <w:rsid w:val="006D4E09"/>
    <w:rsid w:val="006D503F"/>
    <w:rsid w:val="006D757B"/>
    <w:rsid w:val="006E1D80"/>
    <w:rsid w:val="006E2C39"/>
    <w:rsid w:val="006E4C5C"/>
    <w:rsid w:val="006E751A"/>
    <w:rsid w:val="006F034E"/>
    <w:rsid w:val="006F519C"/>
    <w:rsid w:val="006F6FBC"/>
    <w:rsid w:val="007037AD"/>
    <w:rsid w:val="00711D5E"/>
    <w:rsid w:val="0072355F"/>
    <w:rsid w:val="007238C6"/>
    <w:rsid w:val="00730A3A"/>
    <w:rsid w:val="00735179"/>
    <w:rsid w:val="00735BFF"/>
    <w:rsid w:val="007437A0"/>
    <w:rsid w:val="00744B1A"/>
    <w:rsid w:val="00745C9B"/>
    <w:rsid w:val="00750AAD"/>
    <w:rsid w:val="007517C1"/>
    <w:rsid w:val="0076137B"/>
    <w:rsid w:val="0076599B"/>
    <w:rsid w:val="007713C5"/>
    <w:rsid w:val="007776D8"/>
    <w:rsid w:val="007803E1"/>
    <w:rsid w:val="00780865"/>
    <w:rsid w:val="00781621"/>
    <w:rsid w:val="00784B0E"/>
    <w:rsid w:val="00784E4E"/>
    <w:rsid w:val="00790602"/>
    <w:rsid w:val="00792043"/>
    <w:rsid w:val="007930B4"/>
    <w:rsid w:val="007957CA"/>
    <w:rsid w:val="007974EC"/>
    <w:rsid w:val="007A3B7A"/>
    <w:rsid w:val="007A4FB7"/>
    <w:rsid w:val="007A6C2D"/>
    <w:rsid w:val="007A6D8E"/>
    <w:rsid w:val="007A7AC5"/>
    <w:rsid w:val="007B0473"/>
    <w:rsid w:val="007B40DC"/>
    <w:rsid w:val="007B47D2"/>
    <w:rsid w:val="007B4A48"/>
    <w:rsid w:val="007B7272"/>
    <w:rsid w:val="007B7478"/>
    <w:rsid w:val="007C0817"/>
    <w:rsid w:val="007C2E42"/>
    <w:rsid w:val="007C2F81"/>
    <w:rsid w:val="007C3C27"/>
    <w:rsid w:val="007D42AB"/>
    <w:rsid w:val="007D7B04"/>
    <w:rsid w:val="007E13C7"/>
    <w:rsid w:val="007E49C7"/>
    <w:rsid w:val="007E57FA"/>
    <w:rsid w:val="007F0D85"/>
    <w:rsid w:val="007F23DF"/>
    <w:rsid w:val="007F43BC"/>
    <w:rsid w:val="007F4C92"/>
    <w:rsid w:val="007F5C86"/>
    <w:rsid w:val="008039B1"/>
    <w:rsid w:val="00803B30"/>
    <w:rsid w:val="0081559A"/>
    <w:rsid w:val="00820172"/>
    <w:rsid w:val="00824921"/>
    <w:rsid w:val="00825FEE"/>
    <w:rsid w:val="00827A61"/>
    <w:rsid w:val="00833297"/>
    <w:rsid w:val="008373D2"/>
    <w:rsid w:val="0084237F"/>
    <w:rsid w:val="00846695"/>
    <w:rsid w:val="008468E4"/>
    <w:rsid w:val="00853BAD"/>
    <w:rsid w:val="00854439"/>
    <w:rsid w:val="00854800"/>
    <w:rsid w:val="00857262"/>
    <w:rsid w:val="00860659"/>
    <w:rsid w:val="008707AB"/>
    <w:rsid w:val="008717FC"/>
    <w:rsid w:val="00882A47"/>
    <w:rsid w:val="00883AA1"/>
    <w:rsid w:val="0088723E"/>
    <w:rsid w:val="008905C0"/>
    <w:rsid w:val="008920B0"/>
    <w:rsid w:val="00892A9D"/>
    <w:rsid w:val="00892D94"/>
    <w:rsid w:val="00893EFD"/>
    <w:rsid w:val="0089626D"/>
    <w:rsid w:val="00896B09"/>
    <w:rsid w:val="00897C3E"/>
    <w:rsid w:val="008A591E"/>
    <w:rsid w:val="008A5E7F"/>
    <w:rsid w:val="008B16F4"/>
    <w:rsid w:val="008B55FA"/>
    <w:rsid w:val="008B64FA"/>
    <w:rsid w:val="008D33C0"/>
    <w:rsid w:val="008E0755"/>
    <w:rsid w:val="008E2954"/>
    <w:rsid w:val="008E4A2B"/>
    <w:rsid w:val="008E4CFE"/>
    <w:rsid w:val="008F1FD3"/>
    <w:rsid w:val="008F319F"/>
    <w:rsid w:val="008F3505"/>
    <w:rsid w:val="008F404B"/>
    <w:rsid w:val="008F4987"/>
    <w:rsid w:val="0090674F"/>
    <w:rsid w:val="00910690"/>
    <w:rsid w:val="00912693"/>
    <w:rsid w:val="00915EB0"/>
    <w:rsid w:val="009176F3"/>
    <w:rsid w:val="00921A38"/>
    <w:rsid w:val="0092540A"/>
    <w:rsid w:val="009353B0"/>
    <w:rsid w:val="009370FF"/>
    <w:rsid w:val="00941D51"/>
    <w:rsid w:val="009425E6"/>
    <w:rsid w:val="00943074"/>
    <w:rsid w:val="009443E2"/>
    <w:rsid w:val="00945ADF"/>
    <w:rsid w:val="00950320"/>
    <w:rsid w:val="009511D9"/>
    <w:rsid w:val="00952EDB"/>
    <w:rsid w:val="0095627B"/>
    <w:rsid w:val="009574BE"/>
    <w:rsid w:val="009622A1"/>
    <w:rsid w:val="00964C6A"/>
    <w:rsid w:val="00965879"/>
    <w:rsid w:val="00973C3E"/>
    <w:rsid w:val="009767C3"/>
    <w:rsid w:val="00980F2D"/>
    <w:rsid w:val="00995F68"/>
    <w:rsid w:val="00996F4C"/>
    <w:rsid w:val="009A16EF"/>
    <w:rsid w:val="009A2354"/>
    <w:rsid w:val="009A239A"/>
    <w:rsid w:val="009A4032"/>
    <w:rsid w:val="009B6A79"/>
    <w:rsid w:val="009C18B7"/>
    <w:rsid w:val="009C34E2"/>
    <w:rsid w:val="009D0774"/>
    <w:rsid w:val="009D41C7"/>
    <w:rsid w:val="009E1775"/>
    <w:rsid w:val="009E2452"/>
    <w:rsid w:val="009E4072"/>
    <w:rsid w:val="009E7780"/>
    <w:rsid w:val="009F4617"/>
    <w:rsid w:val="009F4E72"/>
    <w:rsid w:val="009F6B51"/>
    <w:rsid w:val="00A01749"/>
    <w:rsid w:val="00A036F4"/>
    <w:rsid w:val="00A0457A"/>
    <w:rsid w:val="00A0742F"/>
    <w:rsid w:val="00A126F0"/>
    <w:rsid w:val="00A16514"/>
    <w:rsid w:val="00A20C07"/>
    <w:rsid w:val="00A214EB"/>
    <w:rsid w:val="00A2411D"/>
    <w:rsid w:val="00A27BA7"/>
    <w:rsid w:val="00A30563"/>
    <w:rsid w:val="00A31234"/>
    <w:rsid w:val="00A31A77"/>
    <w:rsid w:val="00A31D7A"/>
    <w:rsid w:val="00A31FD7"/>
    <w:rsid w:val="00A32050"/>
    <w:rsid w:val="00A329E6"/>
    <w:rsid w:val="00A35732"/>
    <w:rsid w:val="00A365C6"/>
    <w:rsid w:val="00A451F2"/>
    <w:rsid w:val="00A47A47"/>
    <w:rsid w:val="00A537DD"/>
    <w:rsid w:val="00A56784"/>
    <w:rsid w:val="00A57D34"/>
    <w:rsid w:val="00A61E90"/>
    <w:rsid w:val="00A6425D"/>
    <w:rsid w:val="00A7172B"/>
    <w:rsid w:val="00A730EF"/>
    <w:rsid w:val="00A77C1C"/>
    <w:rsid w:val="00A873F4"/>
    <w:rsid w:val="00A913DF"/>
    <w:rsid w:val="00AA066D"/>
    <w:rsid w:val="00AB1817"/>
    <w:rsid w:val="00AB1937"/>
    <w:rsid w:val="00AC2055"/>
    <w:rsid w:val="00AC55D4"/>
    <w:rsid w:val="00AD0143"/>
    <w:rsid w:val="00AD1A7A"/>
    <w:rsid w:val="00AD2540"/>
    <w:rsid w:val="00AD43DB"/>
    <w:rsid w:val="00AF18D3"/>
    <w:rsid w:val="00AF351D"/>
    <w:rsid w:val="00AF5E81"/>
    <w:rsid w:val="00B019AF"/>
    <w:rsid w:val="00B03ABC"/>
    <w:rsid w:val="00B04C86"/>
    <w:rsid w:val="00B05839"/>
    <w:rsid w:val="00B12540"/>
    <w:rsid w:val="00B15AE9"/>
    <w:rsid w:val="00B160B4"/>
    <w:rsid w:val="00B16B75"/>
    <w:rsid w:val="00B1785B"/>
    <w:rsid w:val="00B17F33"/>
    <w:rsid w:val="00B2155A"/>
    <w:rsid w:val="00B233CD"/>
    <w:rsid w:val="00B23949"/>
    <w:rsid w:val="00B240D0"/>
    <w:rsid w:val="00B268F2"/>
    <w:rsid w:val="00B3039B"/>
    <w:rsid w:val="00B313F7"/>
    <w:rsid w:val="00B33396"/>
    <w:rsid w:val="00B346D6"/>
    <w:rsid w:val="00B35A1E"/>
    <w:rsid w:val="00B36905"/>
    <w:rsid w:val="00B42360"/>
    <w:rsid w:val="00B44854"/>
    <w:rsid w:val="00B5187F"/>
    <w:rsid w:val="00B53940"/>
    <w:rsid w:val="00B54A41"/>
    <w:rsid w:val="00B55606"/>
    <w:rsid w:val="00B56498"/>
    <w:rsid w:val="00B61BBB"/>
    <w:rsid w:val="00B621E9"/>
    <w:rsid w:val="00B6247F"/>
    <w:rsid w:val="00B65DF6"/>
    <w:rsid w:val="00B66DAC"/>
    <w:rsid w:val="00B70418"/>
    <w:rsid w:val="00B72615"/>
    <w:rsid w:val="00B76103"/>
    <w:rsid w:val="00B77D78"/>
    <w:rsid w:val="00B81098"/>
    <w:rsid w:val="00B81A24"/>
    <w:rsid w:val="00B860BA"/>
    <w:rsid w:val="00B9231A"/>
    <w:rsid w:val="00B92735"/>
    <w:rsid w:val="00B9354C"/>
    <w:rsid w:val="00B961D9"/>
    <w:rsid w:val="00BA001A"/>
    <w:rsid w:val="00BA04BB"/>
    <w:rsid w:val="00BA67FD"/>
    <w:rsid w:val="00BA7509"/>
    <w:rsid w:val="00BB185A"/>
    <w:rsid w:val="00BB2EE3"/>
    <w:rsid w:val="00BB3112"/>
    <w:rsid w:val="00BB3473"/>
    <w:rsid w:val="00BB50D4"/>
    <w:rsid w:val="00BB563B"/>
    <w:rsid w:val="00BB65C6"/>
    <w:rsid w:val="00BD3231"/>
    <w:rsid w:val="00BE196D"/>
    <w:rsid w:val="00BE6E4D"/>
    <w:rsid w:val="00BE70C7"/>
    <w:rsid w:val="00BF500A"/>
    <w:rsid w:val="00C0083F"/>
    <w:rsid w:val="00C016D7"/>
    <w:rsid w:val="00C01C45"/>
    <w:rsid w:val="00C05DDA"/>
    <w:rsid w:val="00C131DA"/>
    <w:rsid w:val="00C1506F"/>
    <w:rsid w:val="00C16008"/>
    <w:rsid w:val="00C235C9"/>
    <w:rsid w:val="00C274F2"/>
    <w:rsid w:val="00C329A3"/>
    <w:rsid w:val="00C32E78"/>
    <w:rsid w:val="00C335CC"/>
    <w:rsid w:val="00C35516"/>
    <w:rsid w:val="00C35DD6"/>
    <w:rsid w:val="00C375C3"/>
    <w:rsid w:val="00C403FC"/>
    <w:rsid w:val="00C41087"/>
    <w:rsid w:val="00C41C1D"/>
    <w:rsid w:val="00C454B3"/>
    <w:rsid w:val="00C47F8D"/>
    <w:rsid w:val="00C5122B"/>
    <w:rsid w:val="00C51411"/>
    <w:rsid w:val="00C55E96"/>
    <w:rsid w:val="00C56958"/>
    <w:rsid w:val="00C56C78"/>
    <w:rsid w:val="00C62B46"/>
    <w:rsid w:val="00C64B3A"/>
    <w:rsid w:val="00C67131"/>
    <w:rsid w:val="00C674BE"/>
    <w:rsid w:val="00C679BA"/>
    <w:rsid w:val="00C71950"/>
    <w:rsid w:val="00C76B29"/>
    <w:rsid w:val="00C85698"/>
    <w:rsid w:val="00C86477"/>
    <w:rsid w:val="00C9029F"/>
    <w:rsid w:val="00C90BAE"/>
    <w:rsid w:val="00C91603"/>
    <w:rsid w:val="00C91B17"/>
    <w:rsid w:val="00C91DF2"/>
    <w:rsid w:val="00C94BBA"/>
    <w:rsid w:val="00C952B2"/>
    <w:rsid w:val="00C97004"/>
    <w:rsid w:val="00C97115"/>
    <w:rsid w:val="00CA17F2"/>
    <w:rsid w:val="00CA3A6B"/>
    <w:rsid w:val="00CB2489"/>
    <w:rsid w:val="00CB3CC7"/>
    <w:rsid w:val="00CB6BD1"/>
    <w:rsid w:val="00CC05DE"/>
    <w:rsid w:val="00CC37ED"/>
    <w:rsid w:val="00CD0997"/>
    <w:rsid w:val="00CD2972"/>
    <w:rsid w:val="00CD5CDB"/>
    <w:rsid w:val="00CE4EC8"/>
    <w:rsid w:val="00CF1B0A"/>
    <w:rsid w:val="00CF48C3"/>
    <w:rsid w:val="00D00393"/>
    <w:rsid w:val="00D069CD"/>
    <w:rsid w:val="00D107C1"/>
    <w:rsid w:val="00D113F5"/>
    <w:rsid w:val="00D22904"/>
    <w:rsid w:val="00D2351F"/>
    <w:rsid w:val="00D264BA"/>
    <w:rsid w:val="00D31DBC"/>
    <w:rsid w:val="00D3285B"/>
    <w:rsid w:val="00D3473C"/>
    <w:rsid w:val="00D41758"/>
    <w:rsid w:val="00D44092"/>
    <w:rsid w:val="00D445AE"/>
    <w:rsid w:val="00D45F73"/>
    <w:rsid w:val="00D55909"/>
    <w:rsid w:val="00D55A69"/>
    <w:rsid w:val="00D56CE6"/>
    <w:rsid w:val="00D6038F"/>
    <w:rsid w:val="00D64A91"/>
    <w:rsid w:val="00D706CE"/>
    <w:rsid w:val="00D7291F"/>
    <w:rsid w:val="00D75A02"/>
    <w:rsid w:val="00D82F82"/>
    <w:rsid w:val="00D83049"/>
    <w:rsid w:val="00D84C57"/>
    <w:rsid w:val="00D85002"/>
    <w:rsid w:val="00D86A90"/>
    <w:rsid w:val="00D872FC"/>
    <w:rsid w:val="00D90CE9"/>
    <w:rsid w:val="00D91ACA"/>
    <w:rsid w:val="00DA2A84"/>
    <w:rsid w:val="00DA5332"/>
    <w:rsid w:val="00DB0D41"/>
    <w:rsid w:val="00DB489A"/>
    <w:rsid w:val="00DB5224"/>
    <w:rsid w:val="00DB559E"/>
    <w:rsid w:val="00DB6832"/>
    <w:rsid w:val="00DC37D1"/>
    <w:rsid w:val="00DC7C5E"/>
    <w:rsid w:val="00DD61A2"/>
    <w:rsid w:val="00DD6D60"/>
    <w:rsid w:val="00DE35C7"/>
    <w:rsid w:val="00DE35EE"/>
    <w:rsid w:val="00DE4B44"/>
    <w:rsid w:val="00DE6EC8"/>
    <w:rsid w:val="00E03B86"/>
    <w:rsid w:val="00E175B3"/>
    <w:rsid w:val="00E17FBD"/>
    <w:rsid w:val="00E2008C"/>
    <w:rsid w:val="00E22572"/>
    <w:rsid w:val="00E24269"/>
    <w:rsid w:val="00E30D28"/>
    <w:rsid w:val="00E33AE1"/>
    <w:rsid w:val="00E34230"/>
    <w:rsid w:val="00E40533"/>
    <w:rsid w:val="00E41936"/>
    <w:rsid w:val="00E47DE2"/>
    <w:rsid w:val="00E57088"/>
    <w:rsid w:val="00E60DB2"/>
    <w:rsid w:val="00E62554"/>
    <w:rsid w:val="00E63397"/>
    <w:rsid w:val="00E67E94"/>
    <w:rsid w:val="00E70CE0"/>
    <w:rsid w:val="00E70F8A"/>
    <w:rsid w:val="00E719D9"/>
    <w:rsid w:val="00E72C55"/>
    <w:rsid w:val="00E73187"/>
    <w:rsid w:val="00E76F98"/>
    <w:rsid w:val="00E8047D"/>
    <w:rsid w:val="00E855EB"/>
    <w:rsid w:val="00E915C3"/>
    <w:rsid w:val="00E97F94"/>
    <w:rsid w:val="00EA28FA"/>
    <w:rsid w:val="00EA47D0"/>
    <w:rsid w:val="00EA5E52"/>
    <w:rsid w:val="00EB1C27"/>
    <w:rsid w:val="00EB4CA1"/>
    <w:rsid w:val="00EC1068"/>
    <w:rsid w:val="00EC269B"/>
    <w:rsid w:val="00EC5F6A"/>
    <w:rsid w:val="00ED1E54"/>
    <w:rsid w:val="00ED29E3"/>
    <w:rsid w:val="00ED43BC"/>
    <w:rsid w:val="00ED6CB0"/>
    <w:rsid w:val="00ED71D1"/>
    <w:rsid w:val="00EE3264"/>
    <w:rsid w:val="00EE356C"/>
    <w:rsid w:val="00EE5467"/>
    <w:rsid w:val="00EE5805"/>
    <w:rsid w:val="00EE5D00"/>
    <w:rsid w:val="00EE7B64"/>
    <w:rsid w:val="00EF1C7A"/>
    <w:rsid w:val="00EF304E"/>
    <w:rsid w:val="00EF5CD6"/>
    <w:rsid w:val="00EF681D"/>
    <w:rsid w:val="00F00211"/>
    <w:rsid w:val="00F071ED"/>
    <w:rsid w:val="00F0792A"/>
    <w:rsid w:val="00F118C6"/>
    <w:rsid w:val="00F13095"/>
    <w:rsid w:val="00F15317"/>
    <w:rsid w:val="00F2387B"/>
    <w:rsid w:val="00F25726"/>
    <w:rsid w:val="00F30F7B"/>
    <w:rsid w:val="00F323D6"/>
    <w:rsid w:val="00F33594"/>
    <w:rsid w:val="00F3519F"/>
    <w:rsid w:val="00F40582"/>
    <w:rsid w:val="00F44993"/>
    <w:rsid w:val="00F44C4D"/>
    <w:rsid w:val="00F4505C"/>
    <w:rsid w:val="00F4559B"/>
    <w:rsid w:val="00F45EC4"/>
    <w:rsid w:val="00F51551"/>
    <w:rsid w:val="00F52770"/>
    <w:rsid w:val="00F55146"/>
    <w:rsid w:val="00F56BB2"/>
    <w:rsid w:val="00F56BDB"/>
    <w:rsid w:val="00F57843"/>
    <w:rsid w:val="00F65B4A"/>
    <w:rsid w:val="00F66E06"/>
    <w:rsid w:val="00F70286"/>
    <w:rsid w:val="00F706EE"/>
    <w:rsid w:val="00F724D5"/>
    <w:rsid w:val="00F74170"/>
    <w:rsid w:val="00F853E3"/>
    <w:rsid w:val="00F8546D"/>
    <w:rsid w:val="00F94AF0"/>
    <w:rsid w:val="00F95515"/>
    <w:rsid w:val="00FA1145"/>
    <w:rsid w:val="00FA2085"/>
    <w:rsid w:val="00FA3AB6"/>
    <w:rsid w:val="00FA6E7B"/>
    <w:rsid w:val="00FB10C1"/>
    <w:rsid w:val="00FB33E4"/>
    <w:rsid w:val="00FB584C"/>
    <w:rsid w:val="00FC1F10"/>
    <w:rsid w:val="00FC1FC8"/>
    <w:rsid w:val="00FC4B10"/>
    <w:rsid w:val="00FC6E33"/>
    <w:rsid w:val="00FC7A4B"/>
    <w:rsid w:val="00FC7DD4"/>
    <w:rsid w:val="00FC7EC5"/>
    <w:rsid w:val="00FD00B5"/>
    <w:rsid w:val="00FD5142"/>
    <w:rsid w:val="00FE02AA"/>
    <w:rsid w:val="00FE0D14"/>
    <w:rsid w:val="00FE12B6"/>
    <w:rsid w:val="00FE463A"/>
    <w:rsid w:val="00FF03AB"/>
    <w:rsid w:val="00FF651B"/>
    <w:rsid w:val="00FF7CF5"/>
    <w:rsid w:val="128E5646"/>
    <w:rsid w:val="159B5E3F"/>
    <w:rsid w:val="2BBD181F"/>
    <w:rsid w:val="60947504"/>
    <w:rsid w:val="69DF2F74"/>
    <w:rsid w:val="7C270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13"/>
    <w:qFormat/>
    <w:uiPriority w:val="0"/>
    <w:pPr>
      <w:jc w:val="center"/>
    </w:pPr>
    <w:rPr>
      <w:rFonts w:ascii="方正大标宋简体" w:hAnsi="宋体" w:eastAsia="方正大标宋简体"/>
      <w:sz w:val="36"/>
      <w:szCs w:val="36"/>
    </w:rPr>
  </w:style>
  <w:style w:type="paragraph" w:styleId="3">
    <w:name w:val="toc 5"/>
    <w:next w:val="1"/>
    <w:qFormat/>
    <w:uiPriority w:val="0"/>
    <w:pPr>
      <w:widowControl w:val="0"/>
      <w:ind w:left="1680" w:leftChars="800"/>
      <w:jc w:val="both"/>
    </w:pPr>
    <w:rPr>
      <w:rFonts w:ascii="Times New Roman" w:hAnsi="Times New Roman" w:eastAsia="方正仿宋_GBK" w:cs="Times New Roman"/>
      <w:kern w:val="2"/>
      <w:sz w:val="32"/>
      <w:szCs w:val="24"/>
      <w:lang w:val="en-US" w:eastAsia="zh-CN" w:bidi="ar-SA"/>
    </w:rPr>
  </w:style>
  <w:style w:type="paragraph" w:styleId="4">
    <w:name w:val="Date"/>
    <w:basedOn w:val="1"/>
    <w:next w:val="1"/>
    <w:link w:val="14"/>
    <w:semiHidden/>
    <w:unhideWhenUsed/>
    <w:qFormat/>
    <w:uiPriority w:val="99"/>
    <w:pPr>
      <w:ind w:left="100" w:leftChars="2500"/>
    </w:pPr>
  </w:style>
  <w:style w:type="paragraph" w:styleId="5">
    <w:name w:val="Balloon Text"/>
    <w:basedOn w:val="1"/>
    <w:link w:val="18"/>
    <w:semiHidden/>
    <w:unhideWhenUsed/>
    <w:uiPriority w:val="99"/>
    <w:rPr>
      <w:sz w:val="18"/>
      <w:szCs w:val="18"/>
    </w:rPr>
  </w:style>
  <w:style w:type="paragraph" w:styleId="6">
    <w:name w:val="footer"/>
    <w:basedOn w:val="1"/>
    <w:link w:val="17"/>
    <w:unhideWhenUsed/>
    <w:uiPriority w:val="99"/>
    <w:pPr>
      <w:tabs>
        <w:tab w:val="center" w:pos="4153"/>
        <w:tab w:val="right" w:pos="8306"/>
      </w:tabs>
      <w:snapToGrid w:val="0"/>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kern w:val="0"/>
      <w:sz w:val="24"/>
    </w:rPr>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bCs/>
    </w:rPr>
  </w:style>
  <w:style w:type="character" w:customStyle="1" w:styleId="13">
    <w:name w:val="正文文本 Char"/>
    <w:basedOn w:val="11"/>
    <w:link w:val="2"/>
    <w:qFormat/>
    <w:uiPriority w:val="0"/>
    <w:rPr>
      <w:rFonts w:ascii="方正大标宋简体" w:hAnsi="宋体" w:eastAsia="方正大标宋简体" w:cs="Times New Roman"/>
      <w:sz w:val="36"/>
      <w:szCs w:val="36"/>
    </w:rPr>
  </w:style>
  <w:style w:type="character" w:customStyle="1" w:styleId="14">
    <w:name w:val="日期 Char"/>
    <w:basedOn w:val="11"/>
    <w:link w:val="4"/>
    <w:semiHidden/>
    <w:qFormat/>
    <w:uiPriority w:val="99"/>
    <w:rPr>
      <w:rFonts w:ascii="Calibri" w:hAnsi="Calibri" w:eastAsia="宋体" w:cs="Times New Roman"/>
      <w:szCs w:val="24"/>
    </w:rPr>
  </w:style>
  <w:style w:type="paragraph" w:styleId="15">
    <w:name w:val="List Paragraph"/>
    <w:basedOn w:val="1"/>
    <w:unhideWhenUsed/>
    <w:qFormat/>
    <w:uiPriority w:val="99"/>
    <w:pPr>
      <w:ind w:firstLine="420" w:firstLineChars="200"/>
    </w:pPr>
  </w:style>
  <w:style w:type="character" w:customStyle="1" w:styleId="16">
    <w:name w:val="页眉 Char"/>
    <w:basedOn w:val="11"/>
    <w:link w:val="7"/>
    <w:qFormat/>
    <w:uiPriority w:val="99"/>
    <w:rPr>
      <w:rFonts w:ascii="Calibri" w:hAnsi="Calibri" w:eastAsia="宋体" w:cs="Times New Roman"/>
      <w:sz w:val="18"/>
      <w:szCs w:val="18"/>
    </w:rPr>
  </w:style>
  <w:style w:type="character" w:customStyle="1" w:styleId="17">
    <w:name w:val="页脚 Char"/>
    <w:basedOn w:val="11"/>
    <w:link w:val="6"/>
    <w:qFormat/>
    <w:uiPriority w:val="99"/>
    <w:rPr>
      <w:rFonts w:ascii="Calibri" w:hAnsi="Calibri" w:eastAsia="宋体" w:cs="Times New Roman"/>
      <w:sz w:val="18"/>
      <w:szCs w:val="18"/>
    </w:rPr>
  </w:style>
  <w:style w:type="character" w:customStyle="1" w:styleId="18">
    <w:name w:val="批注框文本 Char"/>
    <w:basedOn w:val="11"/>
    <w:link w:val="5"/>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86CB1-0DAF-47A3-95AC-02321F1863F6}">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1574</Words>
  <Characters>8974</Characters>
  <Lines>74</Lines>
  <Paragraphs>21</Paragraphs>
  <TotalTime>1</TotalTime>
  <ScaleCrop>false</ScaleCrop>
  <LinksUpToDate>false</LinksUpToDate>
  <CharactersWithSpaces>10527</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2022-07-22T09:41:00Z</dcterms:created>
  <dc:creator>个人用户</dc:creator>
  <cp:lastModifiedBy>ASUS</cp:lastModifiedBy>
  <cp:lastPrinted>2022-07-18T02:44:00Z</cp:lastPrinted>
  <dcterms:modified xsi:type="dcterms:W3CDTF">2023-10-24T06:23:39Z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C2D40A10CA6948A589266D71DDFCE6B1</vt:lpwstr>
  </property>
</Properties>
</file>