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spacing w:line="560" w:lineRule="exact"/>
        <w:rPr>
          <w:rFonts w:hint="eastAsia" w:ascii="黑体" w:hAnsi="黑体" w:eastAsia="黑体" w:cs="黑体"/>
          <w:snapToGrid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sz w:val="32"/>
          <w:szCs w:val="32"/>
        </w:rPr>
        <w:t>附件1</w:t>
      </w:r>
    </w:p>
    <w:p>
      <w:pPr>
        <w:widowControl w:val="0"/>
        <w:spacing w:line="560" w:lineRule="exact"/>
        <w:rPr>
          <w:rFonts w:ascii="仿宋_GB2312" w:eastAsia="仿宋_GB2312"/>
          <w:snapToGrid w:val="0"/>
          <w:sz w:val="32"/>
          <w:szCs w:val="32"/>
        </w:rPr>
      </w:pPr>
    </w:p>
    <w:p>
      <w:pPr>
        <w:overflowPunct/>
        <w:autoSpaceDE/>
        <w:autoSpaceDN/>
        <w:adjustRightInd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sz w:val="44"/>
          <w:szCs w:val="44"/>
        </w:rPr>
        <w:t>采用投入产出法试点的行业扣除标准</w:t>
      </w:r>
    </w:p>
    <w:p>
      <w:pPr>
        <w:spacing w:line="560" w:lineRule="exact"/>
        <w:ind w:firstLine="850" w:firstLineChars="200"/>
        <w:rPr>
          <w:rFonts w:ascii="黑体" w:hAnsi="黑体" w:eastAsia="黑体"/>
          <w:snapToGrid w:val="0"/>
          <w:sz w:val="32"/>
          <w:szCs w:val="32"/>
        </w:rPr>
      </w:pPr>
    </w:p>
    <w:p>
      <w:pPr>
        <w:spacing w:beforeLines="0" w:afterLines="0" w:line="560" w:lineRule="exact"/>
        <w:ind w:firstLine="637" w:firstLineChars="150"/>
        <w:rPr>
          <w:rFonts w:ascii="黑体" w:hAnsi="黑体" w:eastAsia="黑体"/>
          <w:snapToGrid w:val="0"/>
          <w:sz w:val="32"/>
          <w:szCs w:val="32"/>
        </w:rPr>
      </w:pPr>
      <w:r>
        <w:rPr>
          <w:rFonts w:hint="eastAsia" w:ascii="黑体" w:hAnsi="黑体" w:eastAsia="黑体"/>
          <w:snapToGrid w:val="0"/>
          <w:sz w:val="32"/>
          <w:szCs w:val="32"/>
        </w:rPr>
        <w:t>一、</w:t>
      </w:r>
      <w:bookmarkStart w:id="0" w:name="_GoBack"/>
      <w:r>
        <w:rPr>
          <w:rFonts w:hint="eastAsia" w:ascii="黑体" w:hAnsi="黑体" w:eastAsia="黑体"/>
          <w:snapToGrid w:val="0"/>
          <w:sz w:val="32"/>
          <w:szCs w:val="32"/>
        </w:rPr>
        <w:t>乳制品制造（国标行业代码C144）</w:t>
      </w:r>
      <w:bookmarkEnd w:id="0"/>
    </w:p>
    <w:p>
      <w:pPr>
        <w:spacing w:beforeLines="0" w:afterLines="0" w:line="560" w:lineRule="exact"/>
        <w:ind w:firstLine="637" w:firstLineChars="150"/>
        <w:rPr>
          <w:rFonts w:hint="eastAsia" w:ascii="楷体_GB2312" w:eastAsia="楷体_GB2312"/>
          <w:snapToGrid w:val="0"/>
          <w:sz w:val="32"/>
          <w:szCs w:val="32"/>
        </w:rPr>
      </w:pPr>
      <w:r>
        <w:rPr>
          <w:rFonts w:hint="eastAsia" w:ascii="楷体_GB2312" w:eastAsia="楷体_GB2312"/>
          <w:snapToGrid w:val="0"/>
          <w:sz w:val="32"/>
          <w:szCs w:val="32"/>
        </w:rPr>
        <w:t>（一）扣除标准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3786"/>
        <w:gridCol w:w="1339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产品类别</w:t>
            </w:r>
          </w:p>
        </w:tc>
        <w:tc>
          <w:tcPr>
            <w:tcW w:w="3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产品规格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耗用农产品种类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农产品单耗数量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（吨/吨）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0.1吨以下/每吨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0.1～0.2吨/每吨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0.2～0.3吨/每吨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0.2051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0.3～0.4吨/每吨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0.3042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0.4～0.5吨/每吨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0.3836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0.5～0.6吨/每吨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0.6223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0.6～0.7吨/每吨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0.6581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0.7～0.8吨/每吨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0.7577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0.8～0.9吨/每吨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0.8495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0.9～1.0吨/每吨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0.9324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1.0～1.1吨/每吨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1.1～1.2吨/每吨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1.1598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1.2～1.3吨/每吨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1.2285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液体乳（牛乳）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原乳添加量（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</w:rPr>
              <w:t>1.3～1.4吨/每吨</w:t>
            </w: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2"/>
                <w:lang w:bidi="ar"/>
              </w:rPr>
              <w:t>0.9777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7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乳粉（牛乳粉）</w:t>
            </w:r>
          </w:p>
        </w:tc>
        <w:tc>
          <w:tcPr>
            <w:tcW w:w="37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全脂乳粉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生鲜奶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20"/>
                <w:szCs w:val="20"/>
                <w:lang w:bidi="ar"/>
              </w:rPr>
              <w:t>7.6833</w:t>
            </w:r>
          </w:p>
        </w:tc>
      </w:tr>
    </w:tbl>
    <w:p>
      <w:pPr>
        <w:spacing w:beforeLines="0" w:afterLines="0" w:line="560" w:lineRule="exact"/>
        <w:ind w:firstLine="637" w:firstLineChars="150"/>
        <w:rPr>
          <w:rFonts w:ascii="楷体_GB2312" w:hAnsi="Calibri" w:eastAsia="楷体_GB2312"/>
          <w:snapToGrid w:val="0"/>
          <w:sz w:val="32"/>
          <w:szCs w:val="32"/>
        </w:rPr>
      </w:pPr>
      <w:r>
        <w:rPr>
          <w:rFonts w:hint="eastAsia" w:ascii="楷体_GB2312" w:eastAsia="楷体_GB2312"/>
          <w:snapToGrid w:val="0"/>
          <w:sz w:val="32"/>
          <w:szCs w:val="32"/>
        </w:rPr>
        <w:t>（二）液体乳核定扣除标准说明：</w:t>
      </w:r>
    </w:p>
    <w:p>
      <w:pPr>
        <w:spacing w:beforeLines="0" w:afterLines="0" w:line="560" w:lineRule="exact"/>
        <w:ind w:firstLine="637" w:firstLineChars="150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snapToGrid w:val="0"/>
          <w:sz w:val="32"/>
          <w:szCs w:val="32"/>
        </w:rPr>
        <w:t>1.产品规格是按照产品原乳添加量（包括奶粉）进行分类。</w:t>
      </w:r>
    </w:p>
    <w:p>
      <w:pPr>
        <w:spacing w:beforeLines="0" w:afterLines="0" w:line="560" w:lineRule="exact"/>
        <w:ind w:firstLine="619" w:firstLineChars="150"/>
        <w:rPr>
          <w:rFonts w:ascii="仿宋_GB2312" w:eastAsia="仿宋_GB2312"/>
          <w:snapToGrid w:val="0"/>
          <w:spacing w:val="-6"/>
          <w:sz w:val="32"/>
          <w:szCs w:val="32"/>
        </w:rPr>
      </w:pPr>
      <w:r>
        <w:rPr>
          <w:rFonts w:hint="eastAsia" w:ascii="仿宋_GB2312" w:eastAsia="仿宋_GB2312"/>
          <w:snapToGrid w:val="0"/>
          <w:spacing w:val="-6"/>
          <w:sz w:val="32"/>
          <w:szCs w:val="32"/>
        </w:rPr>
        <w:t>2.企业实际计算当期原乳可抵扣进项税额按照如下公式进行：</w:t>
      </w:r>
    </w:p>
    <w:p>
      <w:pPr>
        <w:spacing w:beforeLines="0" w:afterLines="0" w:line="560" w:lineRule="exact"/>
        <w:ind w:firstLine="637" w:firstLineChars="150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sz w:val="32"/>
          <w:szCs w:val="32"/>
        </w:rPr>
        <w:t>（1）</w:t>
      </w:r>
      <w:r>
        <w:rPr>
          <w:rFonts w:hint="eastAsia" w:ascii="仿宋_GB2312" w:eastAsia="仿宋_GB2312"/>
          <w:snapToGrid w:val="0"/>
          <w:sz w:val="32"/>
          <w:szCs w:val="32"/>
        </w:rPr>
        <w:t>当期原乳耗用数量 ＝ 当期产品销售数量 ×</w: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29540" cy="411480"/>
            <wp:effectExtent l="0" t="0" r="3810" b="0"/>
            <wp:docPr id="1" name="图片 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true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separate"/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29540" cy="411480"/>
            <wp:effectExtent l="0" t="0" r="3810" b="0"/>
            <wp:docPr id="2" name="图片 7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true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t xml:space="preserve"> 原乳单耗数量</w:t>
      </w:r>
    </w:p>
    <w:p>
      <w:pPr>
        <w:spacing w:beforeLines="0" w:afterLines="0" w:line="560" w:lineRule="exact"/>
        <w:ind w:firstLine="637" w:firstLineChars="150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sz w:val="32"/>
          <w:szCs w:val="32"/>
        </w:rPr>
        <w:t>（2）</w:t>
      </w:r>
      <w:r>
        <w:rPr>
          <w:rFonts w:hint="eastAsia" w:ascii="仿宋_GB2312" w:eastAsia="仿宋_GB2312"/>
          <w:snapToGrid w:val="0"/>
          <w:sz w:val="32"/>
          <w:szCs w:val="32"/>
        </w:rPr>
        <w:t>当期原乳可抵扣耗用数量 ＝ 当期原乳耗用数量 － 当期结转销售成本奶粉耗用量</w:t>
      </w:r>
    </w:p>
    <w:p>
      <w:pPr>
        <w:spacing w:beforeLines="0" w:afterLines="0" w:line="560" w:lineRule="exact"/>
        <w:ind w:firstLine="637" w:firstLineChars="150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snapToGrid w:val="0"/>
          <w:sz w:val="32"/>
          <w:szCs w:val="32"/>
        </w:rPr>
        <w:t>其中，当期结转销售成本奶粉耗用量，建议采用会计辅助科目进行数量核算，对应奶粉结转的销售成本，核算结转奶粉数量。</w:t>
      </w:r>
    </w:p>
    <w:p>
      <w:pPr>
        <w:spacing w:beforeLines="0" w:afterLines="0" w:line="560" w:lineRule="exact"/>
        <w:ind w:firstLine="637" w:firstLineChars="150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hAnsi="宋体" w:eastAsia="仿宋_GB2312"/>
          <w:snapToGrid w:val="0"/>
          <w:sz w:val="32"/>
          <w:szCs w:val="32"/>
        </w:rPr>
        <w:t>（3）</w:t>
      </w:r>
      <w:r>
        <w:rPr>
          <w:rFonts w:hint="eastAsia" w:ascii="仿宋_GB2312" w:eastAsia="仿宋_GB2312"/>
          <w:snapToGrid w:val="0"/>
          <w:sz w:val="32"/>
          <w:szCs w:val="32"/>
        </w:rPr>
        <w:t xml:space="preserve">当期原乳可抵扣进项税额 ＝ 当期原乳可抵扣耗用数量 × </w: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29540" cy="411480"/>
            <wp:effectExtent l="0" t="0" r="3810" b="0"/>
            <wp:docPr id="3" name="图片 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true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separate"/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29540" cy="411480"/>
            <wp:effectExtent l="0" t="0" r="3810" b="0"/>
            <wp:docPr id="4" name="图片 5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true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t>原乳平均购买单价 ×</w: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29540" cy="411480"/>
            <wp:effectExtent l="0" t="0" r="3810" b="0"/>
            <wp:docPr id="5" name="图片 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true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separate"/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29540" cy="411480"/>
            <wp:effectExtent l="0" t="0" r="3810" b="0"/>
            <wp:docPr id="6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true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t xml:space="preserve"> 扣除率÷</w: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begin"/>
      </w:r>
      <w:r>
        <w:rPr>
          <w:rFonts w:hint="eastAsia" w:ascii="仿宋_GB2312" w:eastAsia="仿宋_GB2312"/>
          <w:snapToGrid w:val="0"/>
          <w:sz w:val="32"/>
          <w:szCs w:val="32"/>
        </w:rPr>
        <w:instrText xml:space="preserve"> QUOTE </w:instrText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52400" cy="411480"/>
            <wp:effectExtent l="0" t="0" r="0" b="0"/>
            <wp:docPr id="7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true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separate"/>
      </w:r>
      <w:r>
        <w:rPr>
          <w:rFonts w:ascii="仿宋_GB2312" w:eastAsia="仿宋_GB2312"/>
          <w:snapToGrid w:val="0"/>
          <w:position w:val="-18"/>
          <w:sz w:val="32"/>
          <w:szCs w:val="32"/>
        </w:rPr>
        <w:drawing>
          <wp:inline distT="0" distB="0" distL="114300" distR="114300">
            <wp:extent cx="152400" cy="411480"/>
            <wp:effectExtent l="0" t="0" r="0" b="0"/>
            <wp:docPr id="8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true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fldChar w:fldCharType="end"/>
      </w:r>
      <w:r>
        <w:rPr>
          <w:rFonts w:hint="eastAsia" w:ascii="仿宋_GB2312" w:eastAsia="仿宋_GB2312"/>
          <w:snapToGrid w:val="0"/>
          <w:sz w:val="32"/>
          <w:szCs w:val="32"/>
        </w:rPr>
        <w:t>( 1 + 扣除率)</w:t>
      </w:r>
    </w:p>
    <w:p>
      <w:pPr>
        <w:spacing w:beforeLines="0" w:afterLines="0" w:line="560" w:lineRule="exact"/>
        <w:ind w:firstLine="637" w:firstLineChars="150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snapToGrid w:val="0"/>
          <w:sz w:val="32"/>
          <w:szCs w:val="32"/>
        </w:rPr>
        <w:t>3.对于巴氏杀菌乳及超高温灭菌乳，采用全国统一扣除标准及扣除方法进行计算当期可抵扣进项税额。</w:t>
      </w:r>
    </w:p>
    <w:p>
      <w:pPr>
        <w:spacing w:beforeLines="0" w:afterLines="0" w:line="560" w:lineRule="exact"/>
        <w:ind w:firstLine="637" w:firstLineChars="150"/>
        <w:rPr>
          <w:rFonts w:ascii="黑体" w:hAnsi="黑体" w:eastAsia="黑体"/>
          <w:snapToGrid w:val="0"/>
          <w:sz w:val="32"/>
          <w:szCs w:val="32"/>
        </w:rPr>
      </w:pPr>
      <w:r>
        <w:rPr>
          <w:rFonts w:hint="eastAsia" w:ascii="黑体" w:hAnsi="黑体" w:eastAsia="黑体"/>
          <w:snapToGrid w:val="0"/>
          <w:sz w:val="32"/>
          <w:szCs w:val="32"/>
        </w:rPr>
        <w:t>二、棉纺纱加工（国标行业代码C1711）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1"/>
        <w:gridCol w:w="2640"/>
        <w:gridCol w:w="2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产品名称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耗用农产品种类</w:t>
            </w:r>
          </w:p>
        </w:tc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农产品单耗数量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（吨/吨）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1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粗梳（普梳）棉纱</w:t>
            </w:r>
          </w:p>
        </w:tc>
        <w:tc>
          <w:tcPr>
            <w:tcW w:w="2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皮棉</w:t>
            </w:r>
          </w:p>
        </w:tc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/>
                <w:snapToGrid w:val="0"/>
                <w:sz w:val="24"/>
                <w:szCs w:val="24"/>
              </w:rPr>
              <w:t>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1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精梳棉纱</w:t>
            </w:r>
          </w:p>
        </w:tc>
        <w:tc>
          <w:tcPr>
            <w:tcW w:w="2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皮棉（二级）</w:t>
            </w:r>
          </w:p>
        </w:tc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/>
                <w:snapToGrid w:val="0"/>
                <w:sz w:val="24"/>
                <w:szCs w:val="24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1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精梳棉纱</w:t>
            </w:r>
          </w:p>
        </w:tc>
        <w:tc>
          <w:tcPr>
            <w:tcW w:w="2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皮棉（一级）</w:t>
            </w:r>
          </w:p>
        </w:tc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/>
                <w:snapToGrid w:val="0"/>
                <w:sz w:val="24"/>
                <w:szCs w:val="24"/>
              </w:rPr>
              <w:t>1.13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31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胚布</w:t>
            </w:r>
          </w:p>
        </w:tc>
        <w:tc>
          <w:tcPr>
            <w:tcW w:w="2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皮棉</w:t>
            </w:r>
          </w:p>
        </w:tc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/>
                <w:snapToGrid w:val="0"/>
                <w:sz w:val="24"/>
                <w:szCs w:val="24"/>
              </w:rPr>
              <w:t>1.15</w:t>
            </w:r>
          </w:p>
        </w:tc>
      </w:tr>
    </w:tbl>
    <w:p>
      <w:pPr>
        <w:spacing w:beforeLines="0" w:afterLines="0" w:line="400" w:lineRule="exact"/>
        <w:ind w:firstLine="0" w:firstLineChars="0"/>
        <w:rPr>
          <w:rFonts w:ascii="仿宋_GB2312" w:eastAsia="仿宋_GB2312"/>
          <w:snapToGrid w:val="0"/>
          <w:w w:val="99"/>
          <w:sz w:val="24"/>
          <w:szCs w:val="24"/>
        </w:rPr>
      </w:pPr>
      <w:r>
        <w:rPr>
          <w:rFonts w:hint="eastAsia" w:ascii="仿宋_GB2312" w:eastAsia="仿宋_GB2312"/>
          <w:snapToGrid w:val="0"/>
          <w:w w:val="99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eastAsia="仿宋_GB2312"/>
          <w:snapToGrid w:val="0"/>
          <w:w w:val="99"/>
          <w:sz w:val="24"/>
          <w:szCs w:val="24"/>
        </w:rPr>
        <w:t>备注：籽棉折算皮棉的比例为2.7吨：1吨</w:t>
      </w:r>
    </w:p>
    <w:p>
      <w:pPr>
        <w:spacing w:beforeLines="0" w:afterLines="0" w:line="560" w:lineRule="exact"/>
        <w:ind w:firstLine="0" w:firstLineChars="0"/>
        <w:rPr>
          <w:rFonts w:ascii="黑体" w:hAnsi="黑体" w:eastAsia="黑体"/>
          <w:snapToGrid w:val="0"/>
          <w:sz w:val="32"/>
          <w:szCs w:val="32"/>
        </w:rPr>
      </w:pPr>
      <w:r>
        <w:rPr>
          <w:rFonts w:hint="eastAsia" w:ascii="黑体" w:hAnsi="黑体" w:eastAsia="黑体"/>
          <w:snapToGrid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napToGrid w:val="0"/>
          <w:sz w:val="32"/>
          <w:szCs w:val="32"/>
        </w:rPr>
        <w:t>三、缫丝加工（国标行业代码C1741）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9"/>
        <w:gridCol w:w="2593"/>
        <w:gridCol w:w="2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3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产品名称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耗用农产品种类</w:t>
            </w: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农产品单耗数量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（吨/吨）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2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生丝</w:t>
            </w:r>
          </w:p>
        </w:tc>
        <w:tc>
          <w:tcPr>
            <w:tcW w:w="259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napToGrid w:val="0"/>
                <w:sz w:val="24"/>
                <w:szCs w:val="24"/>
              </w:rPr>
              <w:t>干茧</w:t>
            </w:r>
          </w:p>
        </w:tc>
        <w:tc>
          <w:tcPr>
            <w:tcW w:w="2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/>
                <w:snapToGrid w:val="0"/>
                <w:sz w:val="24"/>
                <w:szCs w:val="24"/>
              </w:rPr>
              <w:t>3.3</w:t>
            </w:r>
          </w:p>
        </w:tc>
      </w:tr>
    </w:tbl>
    <w:p>
      <w:pPr>
        <w:spacing w:line="400" w:lineRule="exact"/>
        <w:ind w:firstLine="0" w:firstLineChars="0"/>
        <w:rPr>
          <w:rFonts w:ascii="仿宋_GB2312" w:eastAsia="仿宋_GB2312"/>
          <w:snapToGrid w:val="0"/>
          <w:w w:val="99"/>
          <w:sz w:val="24"/>
          <w:szCs w:val="24"/>
        </w:rPr>
      </w:pPr>
      <w:r>
        <w:rPr>
          <w:rFonts w:hint="eastAsia" w:ascii="仿宋_GB2312" w:eastAsia="仿宋_GB2312"/>
          <w:snapToGrid w:val="0"/>
          <w:w w:val="99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eastAsia="仿宋_GB2312"/>
          <w:snapToGrid w:val="0"/>
          <w:w w:val="99"/>
          <w:sz w:val="24"/>
          <w:szCs w:val="24"/>
        </w:rPr>
        <w:t>备注：鲜茧折算干茧的比例为2.7吨：1吨</w:t>
      </w:r>
    </w:p>
    <w:p>
      <w:pPr>
        <w:spacing w:line="560" w:lineRule="exact"/>
        <w:ind w:firstLine="0" w:firstLineChars="0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黑体" w:hAnsi="黑体" w:eastAsia="黑体"/>
          <w:snapToGrid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napToGrid w:val="0"/>
          <w:sz w:val="32"/>
          <w:szCs w:val="32"/>
        </w:rPr>
        <w:t>四、中药饮片加工（国标行业代码C2730）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4"/>
        <w:gridCol w:w="2831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napToGrid w:val="0"/>
              <w:spacing w:beforeLines="0" w:afterLines="0" w:line="240" w:lineRule="auto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产品名称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napToGrid w:val="0"/>
              <w:spacing w:beforeLines="0" w:afterLines="0" w:line="240" w:lineRule="auto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耗用农产品种类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napToGrid w:val="0"/>
              <w:spacing w:beforeLines="0" w:afterLines="0" w:line="240" w:lineRule="auto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农产品单耗数量</w:t>
            </w:r>
          </w:p>
          <w:p>
            <w:pPr>
              <w:snapToGrid w:val="0"/>
              <w:spacing w:beforeLines="0" w:afterLines="0" w:line="240" w:lineRule="auto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（吨/吨）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（动物类）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动物类中药材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（根及根茎类）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根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及根茎类中药材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果核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果核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花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花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皮脂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皮脂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全草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全草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藤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藤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叶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叶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44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中药饮片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其他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类）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其他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类中药材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napToGrid w:val="0"/>
                <w:kern w:val="2"/>
                <w:sz w:val="24"/>
                <w:szCs w:val="24"/>
              </w:rPr>
              <w:t>1.1</w:t>
            </w:r>
            <w:r>
              <w:rPr>
                <w:rFonts w:ascii="仿宋_GB2312" w:hAnsi="Calibri" w:eastAsia="仿宋_GB2312"/>
                <w:snapToGrid w:val="0"/>
                <w:kern w:val="2"/>
                <w:sz w:val="24"/>
                <w:szCs w:val="24"/>
              </w:rPr>
              <w:t>0</w:t>
            </w:r>
          </w:p>
        </w:tc>
      </w:tr>
    </w:tbl>
    <w:p>
      <w:pPr>
        <w:spacing w:line="380" w:lineRule="exact"/>
        <w:ind w:firstLine="850" w:firstLineChars="200"/>
        <w:jc w:val="left"/>
        <w:rPr>
          <w:snapToGrid w:val="0"/>
        </w:rPr>
      </w:pPr>
      <w:r>
        <w:rPr>
          <w:rFonts w:hint="eastAsia" w:ascii="黑体" w:hAnsi="黑体" w:eastAsia="黑体"/>
          <w:snapToGrid w:val="0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footerReference r:id="rId4" w:type="default"/>
      <w:type w:val="continuous"/>
      <w:pgSz w:w="11906" w:h="16838"/>
      <w:pgMar w:top="2098" w:right="1474" w:bottom="1984" w:left="1587" w:header="567" w:footer="1587" w:gutter="0"/>
      <w:pgNumType w:fmt="decimal"/>
      <w:cols w:space="720" w:num="1"/>
      <w:rtlGutter w:val="0"/>
      <w:docGrid w:type="linesAndChars" w:linePitch="579" w:charSpace="216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</wp:posOffset>
              </wp:positionV>
              <wp:extent cx="993140" cy="230505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99314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upright="fals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1pt;height:18.15pt;width:78.2pt;mso-position-horizontal:outside;mso-position-horizontal-relative:margin;z-index:251658240;mso-width-relative:page;mso-height-relative:page;" filled="f" stroked="f" coordsize="21600,21600" o:gfxdata="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DzrxTbUAAAABAEAAA8AAAAAAAAAAQAgAAAAOAAAAGRycy9kb3du&#10;cmV2LnhtbFBLAQIUABQAAAAIAIdO4kBV88fgtAEAAEQDAAAOAAAAAAAAAAEAIAAAADk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hyphenationZone w:val="360"/>
  <w:drawingGridHorizontalSpacing w:val="158"/>
  <w:drawingGridVerticalSpacing w:val="290"/>
  <w:displayHorizontalDrawingGridEvery w:val="2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E75CC"/>
    <w:rsid w:val="00730BEA"/>
    <w:rsid w:val="00740ECB"/>
    <w:rsid w:val="05B43B1A"/>
    <w:rsid w:val="072415B4"/>
    <w:rsid w:val="0BC04AA0"/>
    <w:rsid w:val="0CBE75CC"/>
    <w:rsid w:val="1B194368"/>
    <w:rsid w:val="1C972B41"/>
    <w:rsid w:val="1CF6335D"/>
    <w:rsid w:val="203168AE"/>
    <w:rsid w:val="217C128B"/>
    <w:rsid w:val="22252625"/>
    <w:rsid w:val="229C3678"/>
    <w:rsid w:val="22E57152"/>
    <w:rsid w:val="23B21906"/>
    <w:rsid w:val="243922C3"/>
    <w:rsid w:val="2943238F"/>
    <w:rsid w:val="2A5B205E"/>
    <w:rsid w:val="2AB02701"/>
    <w:rsid w:val="2BCF7293"/>
    <w:rsid w:val="2D78460B"/>
    <w:rsid w:val="2FC41DC0"/>
    <w:rsid w:val="38F51E1F"/>
    <w:rsid w:val="39802E28"/>
    <w:rsid w:val="3CC57CFF"/>
    <w:rsid w:val="3CF23098"/>
    <w:rsid w:val="3F5D3D79"/>
    <w:rsid w:val="48355C96"/>
    <w:rsid w:val="4BB05701"/>
    <w:rsid w:val="506C14DB"/>
    <w:rsid w:val="54B541AF"/>
    <w:rsid w:val="567A5161"/>
    <w:rsid w:val="56FD201B"/>
    <w:rsid w:val="572D0FB7"/>
    <w:rsid w:val="57D20DFF"/>
    <w:rsid w:val="57F83266"/>
    <w:rsid w:val="58F249E4"/>
    <w:rsid w:val="5C357F65"/>
    <w:rsid w:val="5DC02351"/>
    <w:rsid w:val="5DF60775"/>
    <w:rsid w:val="5EED0508"/>
    <w:rsid w:val="628329AE"/>
    <w:rsid w:val="6333610F"/>
    <w:rsid w:val="65F2775E"/>
    <w:rsid w:val="67434F92"/>
    <w:rsid w:val="6753581D"/>
    <w:rsid w:val="6A897E82"/>
    <w:rsid w:val="6F814D19"/>
    <w:rsid w:val="70247128"/>
    <w:rsid w:val="70D37BD3"/>
    <w:rsid w:val="719E4934"/>
    <w:rsid w:val="72F02035"/>
    <w:rsid w:val="749A5E3F"/>
    <w:rsid w:val="77A668C2"/>
    <w:rsid w:val="7A5412C4"/>
    <w:rsid w:val="7CF03539"/>
    <w:rsid w:val="AFF4539E"/>
    <w:rsid w:val="ECFF2E17"/>
    <w:rsid w:val="F3CFC6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269</Words>
  <Characters>1537</Characters>
  <Lines>12</Lines>
  <Paragraphs>3</Paragraphs>
  <TotalTime>0</TotalTime>
  <ScaleCrop>false</ScaleCrop>
  <LinksUpToDate>false</LinksUpToDate>
  <CharactersWithSpaces>1803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2020-12-19T06:12:00Z</dcterms:created>
  <dc:creator>廖青松</dc:creator>
  <cp:lastModifiedBy>user</cp:lastModifiedBy>
  <cp:lastPrinted>2020-12-26T01:39:00Z</cp:lastPrinted>
  <dcterms:modified xsi:type="dcterms:W3CDTF">2023-05-16T09:30:48Z</dcterms:modified>
  <dc:title>附件1：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