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绿色建筑自评估报告</w:t>
      </w:r>
    </w:p>
    <w:p>
      <w:pPr>
        <w:jc w:val="center"/>
        <w:rPr>
          <w:rFonts w:ascii="方正小标宋简体" w:eastAsia="方正小标宋简体"/>
          <w:b/>
          <w:sz w:val="44"/>
          <w:szCs w:val="44"/>
        </w:rPr>
      </w:pPr>
    </w:p>
    <w:p>
      <w:pPr>
        <w:spacing w:before="156" w:beforeLines="50" w:after="156" w:afterLines="50" w:line="288" w:lineRule="auto"/>
        <w:jc w:val="center"/>
        <w:rPr>
          <w:rFonts w:eastAsia="黑体"/>
          <w:b/>
          <w:sz w:val="36"/>
          <w:szCs w:val="36"/>
        </w:rPr>
      </w:pPr>
    </w:p>
    <w:tbl>
      <w:tblPr>
        <w:tblStyle w:val="9"/>
        <w:tblW w:w="0" w:type="auto"/>
        <w:jc w:val="center"/>
        <w:tblLayout w:type="autofit"/>
        <w:tblCellMar>
          <w:top w:w="0" w:type="dxa"/>
          <w:left w:w="28" w:type="dxa"/>
          <w:bottom w:w="0" w:type="dxa"/>
          <w:right w:w="28" w:type="dxa"/>
        </w:tblCellMar>
      </w:tblPr>
      <w:tblGrid>
        <w:gridCol w:w="2075"/>
        <w:gridCol w:w="1727"/>
        <w:gridCol w:w="1581"/>
        <w:gridCol w:w="2080"/>
      </w:tblGrid>
      <w:tr>
        <w:tblPrEx>
          <w:tblCellMar>
            <w:top w:w="0" w:type="dxa"/>
            <w:left w:w="28" w:type="dxa"/>
            <w:bottom w:w="0" w:type="dxa"/>
            <w:right w:w="28" w:type="dxa"/>
          </w:tblCellMar>
        </w:tblPrEx>
        <w:trPr>
          <w:jc w:val="center"/>
        </w:trPr>
        <w:tc>
          <w:tcPr>
            <w:tcW w:w="2075"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申报项目名称：</w:t>
            </w:r>
          </w:p>
        </w:tc>
        <w:tc>
          <w:tcPr>
            <w:tcW w:w="5388" w:type="dxa"/>
            <w:gridSpan w:val="3"/>
            <w:tcBorders>
              <w:bottom w:val="single" w:color="auto" w:sz="4" w:space="0"/>
            </w:tcBorders>
          </w:tcPr>
          <w:p>
            <w:pPr>
              <w:spacing w:before="156" w:beforeLines="50" w:after="156" w:afterLines="50" w:line="288" w:lineRule="auto"/>
              <w:rPr>
                <w:rFonts w:hAnsi="宋体"/>
                <w:kern w:val="0"/>
                <w:sz w:val="28"/>
                <w:szCs w:val="28"/>
              </w:rPr>
            </w:pPr>
            <w:bookmarkStart w:id="0" w:name="项目名称"/>
            <w:r>
              <w:rPr>
                <w:rFonts w:hint="eastAsia" w:hAnsi="宋体"/>
                <w:kern w:val="0"/>
                <w:sz w:val="28"/>
                <w:szCs w:val="28"/>
              </w:rPr>
              <w:t xml:space="preserve"> </w:t>
            </w:r>
            <w:bookmarkEnd w:id="0"/>
          </w:p>
        </w:tc>
      </w:tr>
      <w:tr>
        <w:tblPrEx>
          <w:tblCellMar>
            <w:top w:w="0" w:type="dxa"/>
            <w:left w:w="28" w:type="dxa"/>
            <w:bottom w:w="0" w:type="dxa"/>
            <w:right w:w="28" w:type="dxa"/>
          </w:tblCellMar>
        </w:tblPrEx>
        <w:trPr>
          <w:jc w:val="center"/>
        </w:trPr>
        <w:tc>
          <w:tcPr>
            <w:tcW w:w="2075" w:type="dxa"/>
          </w:tcPr>
          <w:p>
            <w:pPr>
              <w:spacing w:before="156" w:beforeLines="50" w:after="156" w:afterLines="50" w:line="288" w:lineRule="auto"/>
              <w:jc w:val="right"/>
              <w:rPr>
                <w:rFonts w:hAnsi="宋体"/>
                <w:kern w:val="0"/>
                <w:sz w:val="28"/>
                <w:szCs w:val="28"/>
              </w:rPr>
            </w:pPr>
            <w:r>
              <w:rPr>
                <w:rFonts w:hint="eastAsia" w:hAnsi="宋体"/>
                <w:kern w:val="0"/>
                <w:sz w:val="28"/>
                <w:szCs w:val="28"/>
              </w:rPr>
              <w:t>申报单位名称：</w:t>
            </w:r>
          </w:p>
        </w:tc>
        <w:tc>
          <w:tcPr>
            <w:tcW w:w="5388" w:type="dxa"/>
            <w:gridSpan w:val="3"/>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rPr>
          <w:jc w:val="center"/>
        </w:trPr>
        <w:tc>
          <w:tcPr>
            <w:tcW w:w="2075" w:type="dxa"/>
          </w:tcPr>
          <w:p>
            <w:pPr>
              <w:spacing w:before="156" w:beforeLines="50" w:after="156" w:afterLines="50" w:line="288" w:lineRule="auto"/>
              <w:jc w:val="right"/>
              <w:rPr>
                <w:rFonts w:hAnsi="宋体"/>
                <w:kern w:val="0"/>
                <w:sz w:val="28"/>
                <w:szCs w:val="28"/>
              </w:rPr>
            </w:pPr>
            <w:r>
              <w:rPr>
                <w:rFonts w:hint="eastAsia"/>
                <w:kern w:val="0"/>
                <w:sz w:val="28"/>
                <w:szCs w:val="28"/>
              </w:rPr>
              <w:t>建筑类型：</w:t>
            </w:r>
          </w:p>
        </w:tc>
        <w:tc>
          <w:tcPr>
            <w:tcW w:w="5388" w:type="dxa"/>
            <w:gridSpan w:val="3"/>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rPr>
          <w:jc w:val="center"/>
        </w:trPr>
        <w:tc>
          <w:tcPr>
            <w:tcW w:w="2075" w:type="dxa"/>
          </w:tcPr>
          <w:p>
            <w:pPr>
              <w:spacing w:before="156" w:beforeLines="50" w:after="156" w:afterLines="50" w:line="288" w:lineRule="auto"/>
              <w:jc w:val="right"/>
              <w:rPr>
                <w:rFonts w:hAnsi="宋体"/>
                <w:kern w:val="0"/>
                <w:sz w:val="28"/>
                <w:szCs w:val="28"/>
              </w:rPr>
            </w:pPr>
            <w:r>
              <w:rPr>
                <w:rFonts w:hint="eastAsia" w:hAnsi="宋体"/>
                <w:kern w:val="0"/>
                <w:sz w:val="28"/>
                <w:szCs w:val="28"/>
              </w:rPr>
              <w:t>自评星级：</w:t>
            </w:r>
          </w:p>
        </w:tc>
        <w:tc>
          <w:tcPr>
            <w:tcW w:w="1727" w:type="dxa"/>
            <w:tcBorders>
              <w:top w:val="single" w:color="auto" w:sz="4" w:space="0"/>
              <w:bottom w:val="single" w:color="auto" w:sz="4" w:space="0"/>
            </w:tcBorders>
          </w:tcPr>
          <w:p>
            <w:pPr>
              <w:spacing w:before="156" w:beforeLines="50" w:after="156" w:afterLines="50" w:line="288" w:lineRule="auto"/>
              <w:rPr>
                <w:rFonts w:hAnsi="宋体"/>
                <w:kern w:val="0"/>
                <w:sz w:val="28"/>
                <w:szCs w:val="28"/>
              </w:rPr>
            </w:pPr>
            <w:r>
              <w:rPr>
                <w:rFonts w:hint="eastAsia"/>
                <w:kern w:val="0"/>
                <w:sz w:val="28"/>
                <w:szCs w:val="28"/>
              </w:rPr>
              <w:t>★★★</w:t>
            </w:r>
          </w:p>
        </w:tc>
        <w:tc>
          <w:tcPr>
            <w:tcW w:w="1581" w:type="dxa"/>
            <w:tcBorders>
              <w:top w:val="single" w:color="auto" w:sz="4" w:space="0"/>
            </w:tcBorders>
          </w:tcPr>
          <w:p>
            <w:pPr>
              <w:spacing w:before="156" w:beforeLines="50" w:after="156" w:afterLines="50" w:line="288" w:lineRule="auto"/>
              <w:jc w:val="right"/>
              <w:rPr>
                <w:rFonts w:hAnsi="宋体"/>
                <w:kern w:val="0"/>
                <w:sz w:val="28"/>
                <w:szCs w:val="28"/>
              </w:rPr>
            </w:pPr>
            <w:r>
              <w:rPr>
                <w:rFonts w:hint="eastAsia"/>
                <w:kern w:val="0"/>
                <w:sz w:val="28"/>
                <w:szCs w:val="28"/>
              </w:rPr>
              <w:t>分数：</w:t>
            </w:r>
          </w:p>
        </w:tc>
        <w:tc>
          <w:tcPr>
            <w:tcW w:w="2080" w:type="dxa"/>
            <w:tcBorders>
              <w:top w:val="single" w:color="auto" w:sz="4" w:space="0"/>
              <w:bottom w:val="single" w:color="auto" w:sz="4" w:space="0"/>
            </w:tcBorders>
          </w:tcPr>
          <w:p>
            <w:pPr>
              <w:spacing w:before="156" w:beforeLines="50" w:after="156" w:afterLines="50" w:line="288" w:lineRule="auto"/>
              <w:rPr>
                <w:rFonts w:hAnsi="宋体"/>
                <w:b/>
                <w:bCs/>
                <w:kern w:val="0"/>
                <w:sz w:val="28"/>
                <w:szCs w:val="28"/>
              </w:rPr>
            </w:pPr>
          </w:p>
        </w:tc>
      </w:tr>
      <w:tr>
        <w:tblPrEx>
          <w:tblCellMar>
            <w:top w:w="0" w:type="dxa"/>
            <w:left w:w="28" w:type="dxa"/>
            <w:bottom w:w="0" w:type="dxa"/>
            <w:right w:w="28" w:type="dxa"/>
          </w:tblCellMar>
        </w:tblPrEx>
        <w:trPr>
          <w:jc w:val="center"/>
        </w:trPr>
        <w:tc>
          <w:tcPr>
            <w:tcW w:w="2075" w:type="dxa"/>
          </w:tcPr>
          <w:p>
            <w:pPr>
              <w:spacing w:before="156" w:beforeLines="50" w:after="156" w:afterLines="50" w:line="288" w:lineRule="auto"/>
              <w:jc w:val="right"/>
              <w:rPr>
                <w:rFonts w:hAnsi="宋体"/>
                <w:kern w:val="0"/>
                <w:sz w:val="28"/>
                <w:szCs w:val="28"/>
              </w:rPr>
            </w:pPr>
            <w:r>
              <w:rPr>
                <w:rFonts w:hint="eastAsia"/>
                <w:kern w:val="0"/>
                <w:sz w:val="28"/>
                <w:szCs w:val="28"/>
              </w:rPr>
              <w:t>自评依据：</w:t>
            </w:r>
          </w:p>
        </w:tc>
        <w:tc>
          <w:tcPr>
            <w:tcW w:w="5388" w:type="dxa"/>
            <w:gridSpan w:val="3"/>
          </w:tcPr>
          <w:p>
            <w:pPr>
              <w:spacing w:before="156" w:beforeLines="50" w:after="156" w:afterLines="50" w:line="288" w:lineRule="auto"/>
              <w:rPr>
                <w:rFonts w:hAnsi="宋体"/>
                <w:bCs/>
                <w:kern w:val="0"/>
                <w:sz w:val="28"/>
                <w:szCs w:val="28"/>
              </w:rPr>
            </w:pPr>
            <w:r>
              <w:rPr>
                <w:rFonts w:hint="eastAsia"/>
                <w:kern w:val="0"/>
                <w:sz w:val="28"/>
                <w:szCs w:val="28"/>
              </w:rPr>
              <w:t>《绿色建筑评价标准》DBJ50/T-066-2020</w:t>
            </w:r>
          </w:p>
        </w:tc>
      </w:tr>
    </w:tbl>
    <w:p>
      <w:pPr>
        <w:spacing w:before="156" w:beforeLines="50" w:after="156" w:afterLines="50" w:line="288" w:lineRule="auto"/>
        <w:ind w:left="899" w:leftChars="428" w:right="3864" w:rightChars="1840"/>
        <w:rPr>
          <w:kern w:val="0"/>
          <w:sz w:val="28"/>
          <w:szCs w:val="28"/>
        </w:rPr>
      </w:pPr>
    </w:p>
    <w:p>
      <w:pPr>
        <w:spacing w:before="156" w:beforeLines="50" w:after="156" w:afterLines="50" w:line="288" w:lineRule="auto"/>
        <w:ind w:left="899" w:leftChars="428" w:right="3864" w:rightChars="1840"/>
        <w:rPr>
          <w:kern w:val="0"/>
          <w:sz w:val="28"/>
          <w:szCs w:val="28"/>
        </w:rPr>
      </w:pPr>
    </w:p>
    <w:p>
      <w:pPr>
        <w:spacing w:before="156" w:beforeLines="50" w:after="156" w:afterLines="50" w:line="288" w:lineRule="auto"/>
        <w:ind w:left="899" w:leftChars="428" w:right="-50" w:rightChars="-24"/>
        <w:rPr>
          <w:kern w:val="0"/>
          <w:sz w:val="28"/>
          <w:szCs w:val="28"/>
        </w:rPr>
      </w:pPr>
    </w:p>
    <w:p>
      <w:pPr>
        <w:snapToGrid w:val="0"/>
        <w:spacing w:line="360" w:lineRule="auto"/>
        <w:jc w:val="center"/>
        <w:rPr>
          <w:rFonts w:hint="eastAsia" w:ascii="黑体" w:hAnsi="黑体" w:eastAsia="黑体" w:cs="宋体"/>
          <w:b/>
          <w:bCs/>
          <w:sz w:val="30"/>
          <w:szCs w:val="30"/>
          <w:lang w:eastAsia="zh-CN"/>
        </w:rPr>
      </w:pPr>
      <w:r>
        <w:rPr>
          <w:rFonts w:hint="eastAsia" w:ascii="黑体" w:hAnsi="黑体" w:eastAsia="黑体" w:cs="宋体"/>
          <w:b/>
          <w:bCs/>
          <w:sz w:val="30"/>
          <w:szCs w:val="30"/>
          <w:lang w:eastAsia="zh-CN"/>
        </w:rPr>
        <w:t>单位名称</w:t>
      </w:r>
    </w:p>
    <w:p>
      <w:pPr>
        <w:snapToGrid w:val="0"/>
        <w:spacing w:line="360" w:lineRule="auto"/>
        <w:jc w:val="center"/>
        <w:rPr>
          <w:rFonts w:ascii="黑体" w:hAnsi="黑体" w:eastAsia="黑体" w:cs="宋体"/>
          <w:b/>
          <w:bCs/>
          <w:sz w:val="30"/>
          <w:szCs w:val="30"/>
        </w:rPr>
      </w:pPr>
      <w:r>
        <w:rPr>
          <w:rFonts w:hint="eastAsia" w:ascii="黑体" w:hAnsi="黑体" w:eastAsia="黑体" w:cs="宋体"/>
          <w:b/>
          <w:bCs/>
          <w:sz w:val="30"/>
          <w:szCs w:val="30"/>
        </w:rPr>
        <w:t>20</w:t>
      </w:r>
      <w:r>
        <w:rPr>
          <w:rFonts w:hint="eastAsia" w:ascii="黑体" w:hAnsi="黑体" w:eastAsia="黑体" w:cs="宋体"/>
          <w:b/>
          <w:bCs/>
          <w:sz w:val="30"/>
          <w:szCs w:val="30"/>
          <w:lang w:val="en-US" w:eastAsia="zh-CN"/>
        </w:rPr>
        <w:t>2X</w:t>
      </w:r>
      <w:r>
        <w:rPr>
          <w:rFonts w:hint="eastAsia" w:ascii="黑体" w:hAnsi="黑体" w:eastAsia="黑体" w:cs="宋体"/>
          <w:b/>
          <w:bCs/>
          <w:sz w:val="30"/>
          <w:szCs w:val="30"/>
        </w:rPr>
        <w:t>年</w:t>
      </w:r>
      <w:r>
        <w:rPr>
          <w:rFonts w:hint="eastAsia" w:ascii="黑体" w:hAnsi="黑体" w:eastAsia="黑体" w:cs="宋体"/>
          <w:b/>
          <w:bCs/>
          <w:sz w:val="30"/>
          <w:szCs w:val="30"/>
          <w:lang w:val="en-US" w:eastAsia="zh-CN"/>
        </w:rPr>
        <w:t>X</w:t>
      </w:r>
      <w:r>
        <w:rPr>
          <w:rFonts w:hint="eastAsia" w:ascii="黑体" w:hAnsi="黑体" w:eastAsia="黑体" w:cs="宋体"/>
          <w:b/>
          <w:bCs/>
          <w:sz w:val="30"/>
          <w:szCs w:val="30"/>
        </w:rPr>
        <w:t>月</w:t>
      </w:r>
    </w:p>
    <w:p>
      <w:pPr>
        <w:pStyle w:val="2"/>
        <w:spacing w:line="288" w:lineRule="auto"/>
        <w:jc w:val="both"/>
        <w:rPr>
          <w:rFonts w:hint="eastAsia"/>
          <w:sz w:val="28"/>
          <w:szCs w:val="32"/>
        </w:rPr>
      </w:pPr>
      <w:bookmarkStart w:id="1" w:name="_Toc428800950"/>
      <w:bookmarkStart w:id="2" w:name="_Toc201482773"/>
      <w:bookmarkStart w:id="3" w:name="_Toc14261589"/>
    </w:p>
    <w:p>
      <w:pPr>
        <w:rPr>
          <w:rFonts w:hint="eastAsia"/>
        </w:rPr>
      </w:pPr>
    </w:p>
    <w:p>
      <w:pPr>
        <w:pStyle w:val="2"/>
        <w:spacing w:line="288" w:lineRule="auto"/>
        <w:rPr>
          <w:sz w:val="28"/>
          <w:szCs w:val="32"/>
        </w:rPr>
      </w:pPr>
      <w:r>
        <w:rPr>
          <w:rFonts w:hint="eastAsia"/>
          <w:sz w:val="28"/>
          <w:szCs w:val="32"/>
        </w:rPr>
        <w:t>一、自评总述</w:t>
      </w:r>
      <w:bookmarkEnd w:id="1"/>
      <w:bookmarkEnd w:id="2"/>
      <w:bookmarkEnd w:id="3"/>
    </w:p>
    <w:p>
      <w:pPr>
        <w:rPr>
          <w:rFonts w:hint="eastAsia" w:eastAsia="宋体"/>
          <w:lang w:eastAsia="zh-CN"/>
        </w:rPr>
      </w:pPr>
      <w:r>
        <w:rPr>
          <w:rFonts w:hint="eastAsia"/>
          <w:lang w:eastAsia="zh-CN"/>
        </w:rPr>
        <w:t>项目基本信息，各章节控制项达标情况，评分项得分情况、总体得分情况等</w:t>
      </w:r>
    </w:p>
    <w:p/>
    <w:p/>
    <w:p/>
    <w:p/>
    <w:p/>
    <w:p/>
    <w:p/>
    <w:p/>
    <w:p/>
    <w:p/>
    <w:p/>
    <w:p/>
    <w:p/>
    <w:p/>
    <w:p/>
    <w:p/>
    <w:p/>
    <w:p/>
    <w:p/>
    <w:p/>
    <w:p/>
    <w:p/>
    <w:p/>
    <w:p/>
    <w:p/>
    <w:p/>
    <w:p/>
    <w:p/>
    <w:p/>
    <w:p/>
    <w:p/>
    <w:p/>
    <w:p/>
    <w:p/>
    <w:p/>
    <w:p/>
    <w:p/>
    <w:p/>
    <w:p/>
    <w:p/>
    <w:p>
      <w:pPr>
        <w:pStyle w:val="2"/>
        <w:spacing w:line="288" w:lineRule="auto"/>
        <w:rPr>
          <w:sz w:val="28"/>
          <w:szCs w:val="32"/>
        </w:rPr>
      </w:pPr>
      <w:bookmarkStart w:id="4" w:name="_Toc14261590"/>
      <w:r>
        <w:rPr>
          <w:rFonts w:hint="eastAsia"/>
          <w:sz w:val="28"/>
          <w:szCs w:val="32"/>
        </w:rPr>
        <w:t>二、项目效果图</w:t>
      </w:r>
      <w:r>
        <w:rPr>
          <w:rFonts w:hint="eastAsia"/>
        </w:rPr>
        <w:t>（需标示申报范围）</w:t>
      </w:r>
      <w:bookmarkEnd w:id="4"/>
    </w:p>
    <w:p>
      <w:pPr>
        <w:rPr>
          <w:rFonts w:hAnsi="宋体"/>
        </w:rPr>
      </w:pPr>
      <w:r>
        <w:rPr>
          <w:rFonts w:hint="eastAsia" w:hAnsi="宋体"/>
        </w:rPr>
        <w:t>项目地理位置、建筑面积、层数、高度、主要功能等概述：</w:t>
      </w:r>
    </w:p>
    <w:p/>
    <w:p/>
    <w:p/>
    <w:p/>
    <w:p/>
    <w:p/>
    <w:p/>
    <w:p/>
    <w:p/>
    <w:p/>
    <w:p/>
    <w:p/>
    <w:p/>
    <w:p/>
    <w:p/>
    <w:p/>
    <w:p/>
    <w:p/>
    <w:p/>
    <w:p/>
    <w:p/>
    <w:p/>
    <w:p/>
    <w:p/>
    <w:p/>
    <w:p/>
    <w:p/>
    <w:p/>
    <w:p/>
    <w:p/>
    <w:p/>
    <w:p/>
    <w:p/>
    <w:p/>
    <w:p/>
    <w:p/>
    <w:p>
      <w:pPr>
        <w:pStyle w:val="2"/>
        <w:numPr>
          <w:ilvl w:val="0"/>
          <w:numId w:val="1"/>
        </w:numPr>
        <w:spacing w:before="120" w:after="0" w:line="288" w:lineRule="auto"/>
        <w:rPr>
          <w:rFonts w:hint="eastAsia"/>
          <w:sz w:val="28"/>
          <w:szCs w:val="32"/>
        </w:rPr>
      </w:pPr>
      <w:bookmarkStart w:id="5" w:name="_Toc14261591"/>
      <w:r>
        <w:rPr>
          <w:rFonts w:hint="eastAsia"/>
          <w:sz w:val="28"/>
          <w:szCs w:val="32"/>
        </w:rPr>
        <w:t>自评内容</w:t>
      </w:r>
      <w:bookmarkEnd w:id="5"/>
    </w:p>
    <w:p>
      <w:pPr>
        <w:pStyle w:val="2"/>
        <w:spacing w:before="0" w:line="288" w:lineRule="auto"/>
      </w:pPr>
      <w:bookmarkStart w:id="6" w:name="_Toc22221557"/>
      <w:bookmarkStart w:id="7" w:name="_Toc35364724"/>
      <w:r>
        <w:t>3  基本规定</w:t>
      </w:r>
      <w:bookmarkEnd w:id="6"/>
      <w:bookmarkEnd w:id="7"/>
    </w:p>
    <w:p>
      <w:pPr>
        <w:rPr>
          <w:rFonts w:hint="eastAsia"/>
        </w:rPr>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widowControl w:val="0"/>
        <w:numPr>
          <w:ilvl w:val="0"/>
          <w:numId w:val="0"/>
        </w:numPr>
        <w:jc w:val="both"/>
      </w:pPr>
    </w:p>
    <w:p>
      <w:pPr>
        <w:pStyle w:val="2"/>
        <w:spacing w:before="0" w:line="288" w:lineRule="auto"/>
      </w:pPr>
      <w:bookmarkStart w:id="8" w:name="_Toc428800953"/>
      <w:bookmarkStart w:id="9" w:name="_Toc14261592"/>
      <w:r>
        <w:t xml:space="preserve">4 </w:t>
      </w:r>
      <w:bookmarkEnd w:id="8"/>
      <w:r>
        <w:rPr>
          <w:rFonts w:hint="eastAsia"/>
        </w:rPr>
        <w:t>安全耐久</w:t>
      </w:r>
      <w:bookmarkEnd w:id="9"/>
    </w:p>
    <w:tbl>
      <w:tblPr>
        <w:tblStyle w:val="9"/>
        <w:tblW w:w="8342" w:type="dxa"/>
        <w:tblInd w:w="91" w:type="dxa"/>
        <w:tblLayout w:type="autofit"/>
        <w:tblCellMar>
          <w:top w:w="0" w:type="dxa"/>
          <w:left w:w="108" w:type="dxa"/>
          <w:bottom w:w="0" w:type="dxa"/>
          <w:right w:w="108" w:type="dxa"/>
        </w:tblCellMar>
      </w:tblPr>
      <w:tblGrid>
        <w:gridCol w:w="922"/>
        <w:gridCol w:w="796"/>
        <w:gridCol w:w="4962"/>
        <w:gridCol w:w="807"/>
        <w:gridCol w:w="855"/>
      </w:tblGrid>
      <w:tr>
        <w:tblPrEx>
          <w:tblCellMar>
            <w:top w:w="0" w:type="dxa"/>
            <w:left w:w="108" w:type="dxa"/>
            <w:bottom w:w="0" w:type="dxa"/>
            <w:right w:w="108" w:type="dxa"/>
          </w:tblCellMar>
        </w:tblPrEx>
        <w:trPr>
          <w:trHeight w:val="637" w:hRule="atLeast"/>
          <w:tblHeader/>
        </w:trPr>
        <w:tc>
          <w:tcPr>
            <w:tcW w:w="9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9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962"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80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满分</w:t>
            </w:r>
          </w:p>
        </w:tc>
        <w:tc>
          <w:tcPr>
            <w:tcW w:w="85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534"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4.1.1</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场地应避开滑坡、崩塌、断层、危岩、地陷、地裂、泥石流等地质危险地段，易发生洪涝地区应有可靠的防洪涝基础设施；场地应无危险化学品、易燃易爆危险源的威胁，应无电磁辐射、氡等放射性污染的危害。</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4.1.2</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建筑结构应满足承载力和建筑使用功能要求。建筑外墙、屋面、门窗、幕墙、外保温等围护结构及防护栏杆、构架应满足安全、耐久和防护的要求。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4.1.3</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外遮阳、太阳能设施、空调室外设施、外墙花池等外部设施应与建筑主体结构统一设计、施工，并应满足安装、检修、维护及使用要求。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4.1.4</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建筑内部的非结构构件、设备及附属设施等应连接牢固并能适应主体结构变形。</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4.1.5</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建筑外门窗必须安装牢固，其抗风压性能、水密性能应符合国家现行有关标准的规定。</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4.1.6</w:t>
            </w:r>
          </w:p>
        </w:tc>
        <w:tc>
          <w:tcPr>
            <w:tcW w:w="4962"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建筑防水层、防潮层设置应满足下列要求：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1 </w:t>
            </w:r>
            <w:r>
              <w:rPr>
                <w:rFonts w:hint="eastAsia" w:ascii="Times New Roman" w:hAnsi="Times New Roman" w:cs="Times New Roman"/>
                <w:b w:val="0"/>
                <w:color w:val="auto"/>
              </w:rPr>
              <w:t>卫生间、浴室、厨房、阳台等楼地面应设置防水层；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2 </w:t>
            </w:r>
            <w:r>
              <w:rPr>
                <w:rFonts w:hint="eastAsia" w:ascii="Times New Roman" w:hAnsi="Times New Roman" w:cs="Times New Roman"/>
                <w:b w:val="0"/>
                <w:color w:val="auto"/>
              </w:rPr>
              <w:t>卫生间、浴室墙面</w:t>
            </w:r>
            <w:r>
              <w:rPr>
                <w:rFonts w:ascii="Times New Roman" w:hAnsi="Times New Roman" w:cs="Times New Roman"/>
                <w:b w:val="0"/>
                <w:color w:val="auto"/>
              </w:rPr>
              <w:t>1.8</w:t>
            </w:r>
            <w:r>
              <w:rPr>
                <w:rFonts w:hint="eastAsia" w:ascii="Times New Roman" w:hAnsi="Times New Roman" w:cs="Times New Roman"/>
                <w:b w:val="0"/>
                <w:color w:val="auto"/>
              </w:rPr>
              <w:t>米标高以下应设置防水层；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3 </w:t>
            </w:r>
            <w:r>
              <w:rPr>
                <w:rFonts w:hint="eastAsia" w:ascii="Times New Roman" w:hAnsi="Times New Roman" w:cs="Times New Roman"/>
                <w:b w:val="0"/>
                <w:color w:val="auto"/>
              </w:rPr>
              <w:t>卫生间、浴室、厨房、阳台等墙面、顶棚应设置防潮层；</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4 </w:t>
            </w:r>
            <w:r>
              <w:rPr>
                <w:rFonts w:hint="eastAsia" w:ascii="Times New Roman" w:hAnsi="Times New Roman" w:cs="Times New Roman"/>
                <w:b w:val="0"/>
                <w:color w:val="auto"/>
              </w:rPr>
              <w:t>接触土壤的首层地面应合理设置防潮层或防水层；</w:t>
            </w:r>
          </w:p>
          <w:p>
            <w:pPr>
              <w:pStyle w:val="12"/>
              <w:ind w:firstLine="210" w:firstLineChars="100"/>
              <w:rPr>
                <w:rFonts w:ascii="宋体" w:hAnsi="宋体" w:cs="宋体"/>
                <w:color w:val="000000"/>
                <w:kern w:val="0"/>
                <w:szCs w:val="21"/>
              </w:rPr>
            </w:pPr>
            <w:r>
              <w:rPr>
                <w:rFonts w:ascii="Times New Roman" w:hAnsi="Times New Roman" w:cs="Times New Roman"/>
                <w:b w:val="0"/>
                <w:color w:val="auto"/>
              </w:rPr>
              <w:t xml:space="preserve">5 </w:t>
            </w:r>
            <w:r>
              <w:rPr>
                <w:rFonts w:hint="eastAsia" w:ascii="Times New Roman" w:hAnsi="Times New Roman" w:cs="Times New Roman"/>
                <w:b w:val="0"/>
                <w:color w:val="auto"/>
              </w:rPr>
              <w:t>设有低温热水地板辐射供暖的房间，应合理设置防潮层或防水层。</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4.1.7</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走廊、疏散通道等通行空间应满足紧急疏散、应急救护等要求，且应保持畅通。</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4.1.8</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应具有安全防护的警示和引导标识系统。</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安全</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4.2.1</w:t>
            </w:r>
          </w:p>
        </w:tc>
        <w:tc>
          <w:tcPr>
            <w:tcW w:w="4962" w:type="dxa"/>
            <w:tcBorders>
              <w:top w:val="nil"/>
              <w:left w:val="nil"/>
              <w:bottom w:val="single" w:color="auto" w:sz="4" w:space="0"/>
              <w:right w:val="single" w:color="auto" w:sz="4" w:space="0"/>
            </w:tcBorders>
            <w:shd w:val="clear" w:color="auto" w:fill="auto"/>
            <w:vAlign w:val="center"/>
          </w:tcPr>
          <w:p>
            <w:pPr>
              <w:pStyle w:val="12"/>
              <w:rPr>
                <w:rFonts w:ascii="宋体" w:hAnsi="宋体" w:cs="宋体"/>
                <w:color w:val="000000"/>
                <w:kern w:val="0"/>
                <w:szCs w:val="21"/>
              </w:rPr>
            </w:pPr>
            <w:r>
              <w:rPr>
                <w:rFonts w:ascii="Times New Roman" w:hAnsi="Times New Roman" w:eastAsia="宋体" w:cs="Times New Roman"/>
                <w:b w:val="0"/>
                <w:bCs w:val="0"/>
                <w:color w:val="auto"/>
                <w:kern w:val="2"/>
                <w:sz w:val="21"/>
                <w:szCs w:val="24"/>
                <w:lang w:val="en-US" w:eastAsia="zh-CN" w:bidi="ar-SA"/>
              </w:rPr>
              <w:t xml:space="preserve">采用基于性能的抗震设计并合理提高建筑的抗震性能 </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4.2.2</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采取保障人员安全的防护措施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4.2.3</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采用具有安全防护功能的产品或配件</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4.2.4</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室内外地面或路面设置防滑措施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15"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4.2.5</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采取人车分流措施，且步行和自行车交通系统有充足照明</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耐久</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4.2.6</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采取提升建筑适变性的措施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4.2.7</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采取提升建筑部品部件耐久性的措施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4.2.8</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提高建筑结构材料的耐久性</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4.2.9</w:t>
            </w:r>
          </w:p>
        </w:tc>
        <w:tc>
          <w:tcPr>
            <w:tcW w:w="496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合理采用耐久性好、易维护的装饰装修建筑材料</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5"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
    <w:p/>
    <w:p/>
    <w:p/>
    <w:p/>
    <w:p/>
    <w:p/>
    <w:p/>
    <w:p/>
    <w:p/>
    <w:p/>
    <w:p/>
    <w:p/>
    <w:p/>
    <w:p/>
    <w:p/>
    <w:p/>
    <w:p/>
    <w:p/>
    <w:p/>
    <w:p/>
    <w:p/>
    <w:p/>
    <w:p/>
    <w:p/>
    <w:p/>
    <w:p/>
    <w:p/>
    <w:p/>
    <w:p/>
    <w:p/>
    <w:p/>
    <w:p/>
    <w:p/>
    <w:p/>
    <w:p/>
    <w:p/>
    <w:p>
      <w:pPr>
        <w:pStyle w:val="2"/>
        <w:bidi w:val="0"/>
        <w:rPr>
          <w:rFonts w:hint="eastAsia"/>
        </w:rPr>
      </w:pPr>
      <w:bookmarkStart w:id="10" w:name="_Toc22221561"/>
      <w:bookmarkStart w:id="11" w:name="_Toc35364728"/>
      <w:r>
        <w:rPr>
          <w:rFonts w:hint="eastAsia"/>
        </w:rPr>
        <w:t>4.1 控制项</w:t>
      </w:r>
      <w:bookmarkEnd w:id="10"/>
      <w:bookmarkEnd w:id="11"/>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4.1.1 场地应避开滑坡、崩塌、断层、危岩、地陷、地裂、泥石流等地质危险地段，易发生洪涝地区应有可靠的防洪涝基础设施；场地应无危险化学品、易燃易爆危险源的威胁，应无电磁辐射、氡等放射性污染的危害。</w:t>
      </w:r>
    </w:p>
    <w:p>
      <w:pPr>
        <w:numPr>
          <w:ilvl w:val="0"/>
          <w:numId w:val="2"/>
        </w:numPr>
        <w:spacing w:line="288" w:lineRule="auto"/>
        <w:ind w:left="420" w:hanging="420"/>
        <w:rPr>
          <w:rFonts w:ascii="宋体" w:hAnsi="宋体"/>
          <w:b/>
          <w:kern w:val="0"/>
          <w:sz w:val="24"/>
        </w:rPr>
      </w:pP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2"/>
        </w:numPr>
        <w:spacing w:line="288" w:lineRule="auto"/>
        <w:ind w:left="420" w:hanging="420"/>
        <w:rPr>
          <w:rFonts w:ascii="宋体" w:hAnsi="宋体"/>
          <w:b/>
          <w:kern w:val="0"/>
          <w:sz w:val="24"/>
        </w:rPr>
      </w:pPr>
      <w:r>
        <w:rPr>
          <w:rFonts w:hint="eastAsia" w:ascii="宋体" w:hAnsi="宋体"/>
          <w:b/>
          <w:kern w:val="0"/>
          <w:sz w:val="24"/>
        </w:rPr>
        <w:t>评价要点</w:t>
      </w:r>
    </w:p>
    <w:p>
      <w:pPr>
        <w:pStyle w:val="13"/>
        <w:numPr>
          <w:ilvl w:val="0"/>
          <w:numId w:val="3"/>
        </w:numPr>
        <w:spacing w:line="288" w:lineRule="auto"/>
        <w:ind w:left="632" w:leftChars="100" w:hanging="422" w:hangingChars="200"/>
        <w:rPr>
          <w:b/>
          <w:lang w:val="zh-CN"/>
        </w:rPr>
      </w:pPr>
      <w:r>
        <w:rPr>
          <w:rFonts w:hint="eastAsia"/>
          <w:b/>
          <w:lang w:val="zh-CN"/>
        </w:rPr>
        <w:t>场地安全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rPr>
        <w:t>□滑坡、□</w:t>
      </w:r>
      <w:r>
        <w:rPr>
          <w:rFonts w:hint="eastAsia" w:ascii="Times New Roman" w:hAnsi="Times New Roman" w:eastAsia="宋体" w:cs="Times New Roman"/>
          <w:bCs/>
          <w:color w:val="000000"/>
          <w:szCs w:val="24"/>
          <w:lang w:val="en-US" w:eastAsia="zh-CN"/>
        </w:rPr>
        <w:t>崩塌</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lang w:val="zh-CN"/>
        </w:rPr>
        <w:sym w:font="Wingdings 2" w:char="00A3"/>
      </w:r>
      <w:r>
        <w:rPr>
          <w:rFonts w:hint="eastAsia" w:ascii="Times New Roman" w:hAnsi="Times New Roman" w:eastAsia="宋体" w:cs="Times New Roman"/>
          <w:bCs/>
          <w:color w:val="000000"/>
          <w:szCs w:val="24"/>
          <w:lang w:val="en-US" w:eastAsia="zh-CN"/>
        </w:rPr>
        <w:t>断层</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危岩</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地裂</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泥石流</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洪涝、</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危险化学品、易燃易爆危险源、</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电磁辐射</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含氡</w:t>
      </w:r>
      <w:r>
        <w:rPr>
          <w:rFonts w:hint="eastAsia" w:ascii="Times New Roman" w:hAnsi="Times New Roman" w:eastAsia="宋体" w:cs="Times New Roman"/>
          <w:bCs/>
          <w:color w:val="000000"/>
          <w:szCs w:val="24"/>
          <w:lang w:val="en-US" w:eastAsia="zh-CN"/>
        </w:rPr>
        <w:t>射性污染</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以上皆无</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简要说明避免以上威胁或危险源的措施。（300字以内）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numPr>
          <w:ilvl w:val="0"/>
          <w:numId w:val="4"/>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9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985"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402"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7"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98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场地地形图</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应包括场地红线范围、竖向标高、原有地物等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项目区位图</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明确项目位置</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危险源、污染源相关检测报告或论证报告</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可能涉及污染源、电磁辐射、土壤氡危害的，应提供相关检测报告或论证报告</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地质灾害危险性评估报告</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应包括场地稳定性及场地工程建设适应性评定内容（涉及地质灾害严重的地段、多发区的项目）；</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勘察报告、环评报告书（表）</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应体现场地是否有洪涝、滑坡、泥石流等自然灾害的威胁；是否有危险化学品、易燃易爆等危险源；是否存在电磁辐射等危害</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414" w:type="dxa"/>
          </w:tcPr>
          <w:p>
            <w:pPr>
              <w:spacing w:line="288" w:lineRule="auto"/>
            </w:pPr>
          </w:p>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4.1.2 建筑结构应满足承载力和建筑使用功能要求。建筑外墙、屋面、门窗、幕墙、外保温等围护结构及防护栏杆、构架应满足安全、耐久和防护的要求。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hint="eastAsia"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建筑结构、结构构件和围护结构是否出现以下现象：</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□局部损坏（裂缝、缺口、锈蚀、腐蚀、剥落、过度变形等）、□破坏、□振动或不稳定、□地基不均匀沉降或超载使用、□窗扇开启不便（如不易维修清洗、影响行人通行、存在安全隐患等）、□以上皆无</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rPr>
        <w:t>简要说明避免出现以上现象的措施。（300字以内）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91"/>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985"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402"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7"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建筑设计图</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应注明标高</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结构设计说明书</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应规定明确的标志或限制要求</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主体与围护结构计算书</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应说明建筑围护结构详细做法</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主要结构用材料的检测报告</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应包括幕墙气密性、水密性能、抗风压性能和平面内变形性能检测报告等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建筑结构与围护结构后期运营可靠性管理记录</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985"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竣工验收合格证明</w:t>
            </w:r>
          </w:p>
        </w:tc>
        <w:tc>
          <w:tcPr>
            <w:tcW w:w="340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应包括完成设计项目情况、试验报告等</w:t>
            </w:r>
          </w:p>
        </w:tc>
        <w:tc>
          <w:tcPr>
            <w:tcW w:w="99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7"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pPr>
              <w:spacing w:line="288" w:lineRule="auto"/>
            </w:pPr>
          </w:p>
        </w:tc>
      </w:tr>
    </w:tbl>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4.1.3 外遮阳、太阳能设施、空调室外设施、外墙花池等外部设施应与建筑主体结构统一设计、施工，并应满足安装、检修、维护及使用要求。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hint="eastAsia"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建筑外部内是否有以下设施：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□检修通道、□马道、□吊篮固定端、□预埋件、□以上皆无</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如无以上设施，简要说明保障安装、检修与维护的措施：（200字以内）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应体现外部设施的位置、尺寸、构造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应包括承载力极限值、正常使用极限值和耐久性极限值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外部设施结构设计大样图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应体现外部设施的位置、尺寸、构造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外部设施相关管理与维修记录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相关检测检验报告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应明确外部设施的结构构件、预埋件等的检验验证参数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4.1.4 建筑内部的非结构构件、设备及附属设施等应连接牢固并能适应主体结构变形。</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是否采取适应主体结构变形的措施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对非结构构件的填充墙：</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□墙高超过一定高度与长度即设腰梁及构造柱，与结构柱之间设拉接筋</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对非结构构件的装配式内墙条板：</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□在楼面与梁(板)底连接处设金属限位连接卡，墙板之间设子母槽等</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对非结构构件的移动式档案密集柜：</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□楼面刚度足以避免移动档案柜脱轨</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建筑部品、非结构构件及附属设备与建筑主体的连接方式：</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□机械固定、□焊接、□预埋、□一体化建造、□以上皆无</w:t>
      </w:r>
    </w:p>
    <w:p>
      <w:pPr>
        <w:numPr>
          <w:ilvl w:val="0"/>
          <w:numId w:val="0"/>
        </w:numPr>
        <w:spacing w:line="288" w:lineRule="auto"/>
        <w:ind w:leftChars="0"/>
        <w:rPr>
          <w:rFonts w:hint="eastAsia" w:ascii="宋体" w:hAnsi="宋体"/>
          <w:b/>
          <w:kern w:val="0"/>
          <w:sz w:val="24"/>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应体现非结构构件和主体构件的连接情况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关键连接构件计算书、施工图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应包括关键连接构件的位置、功能介绍、承载力和稳定性大小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主要构件连接能力检测报告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应包括关键连接构件的承载力和稳定性大小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设备及附属设施布置图及设计说明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应体现设备及附属设施的位置、尺寸、构造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应明确非结构构建、设备和附属设备的种类及数量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应明确非结构构建、设备和附属设备的型号和功能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运营管理与维修记录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414" w:type="dxa"/>
          </w:tcPr>
          <w:p>
            <w:pPr>
              <w:spacing w:line="288" w:lineRule="auto"/>
            </w:pPr>
          </w:p>
        </w:tc>
      </w:tr>
    </w:tbl>
    <w:p/>
    <w:p/>
    <w:p/>
    <w:p/>
    <w:p/>
    <w:p/>
    <w:p/>
    <w:p/>
    <w:p/>
    <w:p>
      <w:pPr>
        <w:rPr>
          <w:rFonts w:hint="eastAsia"/>
          <w:lang w:val="en-US" w:eastAsia="zh-CN"/>
        </w:rPr>
      </w:pPr>
      <w:bookmarkStart w:id="12" w:name="_Toc428800960"/>
      <w:bookmarkStart w:id="13" w:name="_Toc14261597"/>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4.1.5 建筑外门窗必须安装牢固，其抗风压性能、水密性能应符合国家现行有关标准的规定。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
          <w:bCs w:val="0"/>
          <w:color w:val="000000"/>
          <w:szCs w:val="24"/>
          <w:lang w:val="zh-CN"/>
        </w:rPr>
        <w:t>门窗安全</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门窗是否出现以下现象：□渗水、□窗扇脱落、□以上皆无</w:t>
      </w:r>
    </w:p>
    <w:p>
      <w:pPr>
        <w:numPr>
          <w:ilvl w:val="0"/>
          <w:numId w:val="0"/>
        </w:numPr>
        <w:spacing w:line="288" w:lineRule="auto"/>
        <w:ind w:leftChars="0"/>
        <w:rPr>
          <w:rFonts w:hint="eastAsia" w:ascii="宋体" w:hAnsi="宋体"/>
          <w:b/>
          <w:kern w:val="0"/>
          <w:sz w:val="24"/>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外门窗的抗风压性能和水密性能设计文件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应体现外门窗有足够的刚度、承载力和一定的变位能力</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门窗产品的抗风压性能和水密性能检测报告及现场检测报告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现场抽样检测的取样数量应符合相应要求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施工工法说明文件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应体现门窗构件之间的连接及门窗四周与围护结构之间的连接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门窗玻璃原材料检测报告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应包括门窗玻璃原材料的抗风压性能和雨水渗漏性能</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隐蔽工程验收记录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应包括门窗隐蔽工程记录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4.1.6 建筑防水层、防潮层设置应满足下列要求：1 卫生间、浴室、厨房、阳台等楼地面应设置防水层；2 卫生间、浴室墙面1.8米标高以下应设置防水层；3 卫生间、浴室、厨房、阳台等墙面、顶棚应设置防潮层；4 接触土壤的首层地面应合理设置防潮层或防水层；5 设有低温热水地板辐射供暖的房间，应合理设置防潮层或防水层。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卫生间、浴室防水防潮措施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□楼地面低于相邻楼地面15.0mm、□采取防水、防滑的构造措施（如采用不吸水、易冲洗、防滑的面层材料）、□设排水坡坡向地漏、□设门槛等挡水设施、□设排水设施、□设防水</w:t>
      </w:r>
      <w:r>
        <w:rPr>
          <w:rFonts w:hint="eastAsia" w:cs="Times New Roman"/>
          <w:bCs/>
          <w:color w:val="000000"/>
          <w:szCs w:val="24"/>
          <w:lang w:val="zh-CN"/>
        </w:rPr>
        <w:t>、</w:t>
      </w:r>
      <w:r>
        <w:rPr>
          <w:rFonts w:hint="eastAsia" w:cs="Times New Roman"/>
          <w:bCs/>
          <w:color w:val="000000"/>
          <w:szCs w:val="24"/>
          <w:lang w:val="en-US" w:eastAsia="zh-CN"/>
        </w:rPr>
        <w:t>防潮</w:t>
      </w:r>
      <w:r>
        <w:rPr>
          <w:rFonts w:hint="eastAsia" w:ascii="Times New Roman" w:hAnsi="Times New Roman" w:eastAsia="宋体" w:cs="Times New Roman"/>
          <w:bCs/>
          <w:color w:val="000000"/>
          <w:szCs w:val="24"/>
          <w:lang w:val="zh-CN"/>
        </w:rPr>
        <w:t>隔离层、□以上皆无</w:t>
      </w:r>
    </w:p>
    <w:p>
      <w:pPr>
        <w:numPr>
          <w:ilvl w:val="0"/>
          <w:numId w:val="0"/>
        </w:numPr>
        <w:spacing w:line="288" w:lineRule="auto"/>
        <w:ind w:leftChars="0"/>
        <w:rPr>
          <w:rFonts w:hint="eastAsia" w:ascii="宋体" w:hAnsi="宋体"/>
          <w:b/>
          <w:kern w:val="0"/>
          <w:sz w:val="24"/>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建筑设计总说明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应体现卫生间、浴室的防水层和防潮层设计以及墙面、顶棚的防潮层设计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防水防潮措施及技术参数要求说明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应体现所选用防水防潮材料的种类、名称、用量、使用部位等信息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应体现所选用防水防潮材料的种类、名称、用量、使用部位等信息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应包括防水防潮材料的不透水性和干燥时间</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防水防潮工程验收资料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应包括完成设计项目情况、试验报告等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4.1.7 走廊、疏散通道等通行空间应满足紧急疏散、应急救护等要求，且应保持畅通。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通行空间采用无障碍设计</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简要说明通行空间的无障碍设计情况。（200字以内）。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应体现室通行空间无障碍设计的内容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相关管理规定</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应体现保证走廊、疏散等通行空间保持畅通的规定</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通行空间现场照片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应包括走廊、疏散等通行空间的现场照片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14" w:name="_Hlk20589694"/>
      <w:r>
        <w:rPr>
          <w:rFonts w:hint="eastAsia" w:ascii="黑体" w:hAnsi="黑体" w:eastAsia="黑体" w:cs="Times New Roman"/>
          <w:kern w:val="0"/>
          <w:sz w:val="24"/>
          <w:lang w:val="en-US" w:eastAsia="zh-CN"/>
        </w:rPr>
        <w:t>4.1.8 应具有安全防护的警示和引导标识系统。</w:t>
      </w:r>
    </w:p>
    <w:bookmarkEnd w:id="14"/>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
          <w:bCs w:val="0"/>
          <w:color w:val="000000"/>
          <w:szCs w:val="24"/>
          <w:lang w:val="zh-CN"/>
        </w:rPr>
        <w:t>设置具有安全防护的警示和引导标识系统</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简要说明具有安全防护的警示和引导标识系统设计情况。（200字以内）。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nil"/>
              <w:right w:val="nil"/>
            </w:tcBorders>
            <w:shd w:val="clear" w:color="auto" w:fill="auto"/>
            <w:vAlign w:val="center"/>
          </w:tcPr>
          <w:p>
            <w:pPr>
              <w:widowControl/>
              <w:jc w:val="left"/>
              <w:rPr>
                <w:rFonts w:ascii="宋体" w:hAnsi="宋体" w:eastAsia="宋体" w:cs="宋体"/>
                <w:b/>
                <w:color w:val="000000"/>
                <w:kern w:val="0"/>
                <w:sz w:val="22"/>
              </w:rPr>
            </w:pPr>
            <w:r>
              <w:rPr>
                <w:rFonts w:hint="eastAsia" w:ascii="宋体" w:hAnsi="宋体" w:eastAsia="宋体" w:cs="宋体"/>
                <w:b/>
                <w:color w:val="000000"/>
                <w:kern w:val="0"/>
                <w:sz w:val="22"/>
              </w:rPr>
              <w:t>标识系统设计与设置说明文件</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应体现标识标牌设计详图、安全警示标志、安全引导指示标志的设置方式和设置具体位置、车库应提供标识标牌和安全防护措施专项设计详图</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Cs w:val="21"/>
              </w:rPr>
            </w:pPr>
            <w:r>
              <w:rPr>
                <w:rFonts w:hint="eastAsia" w:ascii="宋体" w:hAnsi="宋体" w:eastAsia="宋体" w:cs="宋体"/>
                <w:b/>
                <w:color w:val="000000"/>
                <w:kern w:val="0"/>
                <w:sz w:val="22"/>
              </w:rPr>
              <w:t>相关影像资料</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应包括显著、醒目的安全警示标志、安全引导指示标志等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pacing w:line="288" w:lineRule="auto"/>
        <w:jc w:val="center"/>
      </w:pPr>
      <w:bookmarkStart w:id="15" w:name="_Toc14261594"/>
      <w:bookmarkStart w:id="16" w:name="_Toc412712067"/>
      <w:bookmarkStart w:id="17" w:name="_Toc428800956"/>
      <w:r>
        <w:rPr>
          <w:rFonts w:hint="eastAsia"/>
        </w:rPr>
        <w:t>4.2 评分项</w:t>
      </w:r>
      <w:bookmarkEnd w:id="15"/>
    </w:p>
    <w:bookmarkEnd w:id="16"/>
    <w:bookmarkEnd w:id="17"/>
    <w:p>
      <w:pPr>
        <w:pStyle w:val="3"/>
        <w:spacing w:line="288" w:lineRule="auto"/>
        <w:jc w:val="center"/>
        <w:rPr>
          <w:rFonts w:ascii="Times New Roman" w:hAnsi="Times New Roman"/>
        </w:rPr>
      </w:pPr>
      <w:bookmarkStart w:id="18" w:name="_Toc14261595"/>
      <w:r>
        <w:rPr>
          <w:rFonts w:hint="eastAsia" w:ascii="宋体" w:hAnsi="宋体" w:eastAsia="宋体" w:cs="宋体"/>
        </w:rPr>
        <w:t>I</w:t>
      </w:r>
      <w:r>
        <w:rPr>
          <w:rFonts w:ascii="Times New Roman" w:hAnsi="Times New Roman"/>
        </w:rPr>
        <w:t>安全</w:t>
      </w:r>
      <w:bookmarkEnd w:id="18"/>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4.2.1 采用基于性能的抗震设计并合理提高建筑的抗震性能。</w:t>
      </w:r>
    </w:p>
    <w:p>
      <w:pPr>
        <w:numPr>
          <w:ilvl w:val="0"/>
          <w:numId w:val="5"/>
        </w:numPr>
        <w:spacing w:line="288" w:lineRule="auto"/>
        <w:rPr>
          <w:rFonts w:ascii="宋体" w:hAnsi="宋体"/>
          <w:b/>
          <w:kern w:val="0"/>
          <w:sz w:val="24"/>
        </w:rPr>
      </w:pP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6"/>
        </w:numPr>
        <w:spacing w:line="288" w:lineRule="auto"/>
        <w:ind w:firstLineChars="0"/>
        <w:rPr>
          <w:rFonts w:ascii="宋体" w:hAnsi="宋体"/>
          <w:b/>
          <w:kern w:val="0"/>
          <w:sz w:val="24"/>
        </w:rPr>
      </w:pP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采用更高的抗震性能目标进行设计，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关键部位、关键构件及节点</w:t>
      </w:r>
      <w:r>
        <w:rPr>
          <w:rFonts w:hint="eastAsia" w:ascii="Times New Roman" w:hAnsi="Times New Roman" w:eastAsia="宋体" w:cs="Times New Roman"/>
          <w:bCs/>
          <w:color w:val="000000"/>
          <w:szCs w:val="24"/>
        </w:rPr>
        <w:t>采用</w:t>
      </w:r>
      <w:r>
        <w:rPr>
          <w:rFonts w:ascii="Times New Roman" w:hAnsi="Times New Roman" w:eastAsia="宋体" w:cs="Times New Roman"/>
          <w:bCs/>
          <w:color w:val="000000"/>
          <w:szCs w:val="24"/>
        </w:rPr>
        <w:t>“中震不屈服”</w:t>
      </w:r>
      <w:r>
        <w:rPr>
          <w:rFonts w:hint="eastAsia" w:ascii="Times New Roman" w:hAnsi="Times New Roman" w:eastAsia="宋体" w:cs="Times New Roman"/>
          <w:bCs/>
          <w:color w:val="000000"/>
          <w:szCs w:val="24"/>
        </w:rPr>
        <w:t>以上</w:t>
      </w:r>
      <w:r>
        <w:rPr>
          <w:rFonts w:ascii="Times New Roman" w:hAnsi="Times New Roman" w:eastAsia="宋体" w:cs="Times New Roman"/>
          <w:bCs/>
          <w:color w:val="000000"/>
          <w:szCs w:val="24"/>
        </w:rPr>
        <w:t>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 xml:space="preserve">5分； </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整体结构</w:t>
      </w:r>
      <w:r>
        <w:rPr>
          <w:rFonts w:hint="eastAsia" w:ascii="Times New Roman" w:hAnsi="Times New Roman" w:eastAsia="宋体" w:cs="Times New Roman"/>
          <w:bCs/>
          <w:color w:val="000000"/>
          <w:szCs w:val="24"/>
        </w:rPr>
        <w:t>采用</w:t>
      </w:r>
      <w:r>
        <w:rPr>
          <w:rFonts w:ascii="Times New Roman" w:hAnsi="Times New Roman" w:eastAsia="宋体" w:cs="Times New Roman"/>
          <w:bCs/>
          <w:color w:val="000000"/>
          <w:szCs w:val="24"/>
        </w:rPr>
        <w:t>“中震不屈服”</w:t>
      </w:r>
      <w:r>
        <w:rPr>
          <w:rFonts w:hint="eastAsia" w:ascii="Times New Roman" w:hAnsi="Times New Roman" w:eastAsia="宋体" w:cs="Times New Roman"/>
          <w:bCs/>
          <w:color w:val="000000"/>
          <w:szCs w:val="24"/>
        </w:rPr>
        <w:t>以上</w:t>
      </w:r>
      <w:r>
        <w:rPr>
          <w:rFonts w:ascii="Times New Roman" w:hAnsi="Times New Roman" w:eastAsia="宋体" w:cs="Times New Roman"/>
          <w:bCs/>
          <w:color w:val="000000"/>
          <w:szCs w:val="24"/>
        </w:rPr>
        <w:t>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采用隔震、消能减震设计，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pPr>
        <w:spacing w:line="360" w:lineRule="auto"/>
        <w:ind w:firstLine="210" w:firstLineChars="1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简要说明基于性能的抗震设计情况及提高建筑抗震性能的措施。（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7"/>
        </w:numPr>
        <w:spacing w:line="288" w:lineRule="auto"/>
        <w:rPr>
          <w:rFonts w:ascii="宋体" w:hAnsi="宋体"/>
          <w:b/>
          <w:kern w:val="0"/>
          <w:sz w:val="24"/>
        </w:rPr>
      </w:pP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结构计算说明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抗震性能分析报告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项目安全分析报告及应对措施结果</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jc w:val="center"/>
        </w:trPr>
        <w:tc>
          <w:tcPr>
            <w:tcW w:w="8364" w:type="dxa"/>
          </w:tcPr>
          <w:p>
            <w:pPr>
              <w:spacing w:line="288" w:lineRule="auto"/>
            </w:pPr>
          </w:p>
        </w:tc>
      </w:tr>
    </w:tbl>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12"/>
        <w:ind w:firstLine="211" w:firstLineChars="100"/>
        <w:rPr>
          <w:rFonts w:ascii="Times New Roman" w:hAnsi="Times New Roman" w:cs="Times New Roman"/>
          <w:bCs/>
          <w:color w:val="auto"/>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4.2.2 采取保障人员安全的防护措施。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hint="eastAsia" w:ascii="宋体" w:hAnsi="宋体"/>
          <w:b/>
          <w:kern w:val="0"/>
          <w:sz w:val="24"/>
          <w:lang w:eastAsia="zh-CN"/>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采取措施提高阳台、外窗、窗台、防护栏杆、景观水体等安全防护水平，</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建筑物出入口均设外墙饰面、门窗玻璃意外脱落的防护措施，并与人员通行区域的遮阳、遮风或挡雨措施结合，</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3 利用场地或景观形成可降低坠物风险的缓冲区、隔离带，</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pPr>
        <w:spacing w:line="360" w:lineRule="auto"/>
        <w:ind w:firstLine="210" w:firstLineChars="1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简要说明采取保障人员安全的防护的措施。（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阳台设计图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应体现阳台的位置、尺寸、构造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外窗设计图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应体现外窗的位置、尺寸、构造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窗台设计图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应体现窗台的位置、尺寸、构造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防护栏杆设计图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应体现防护栏杆的位置、尺寸、构造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建筑出入口安全防护设计图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应体现建筑出入口防护结构的位置、尺寸、构造</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室外场地设计图</w:t>
            </w:r>
          </w:p>
        </w:tc>
        <w:tc>
          <w:tcPr>
            <w:tcW w:w="3960" w:type="dxa"/>
            <w:tcBorders>
              <w:top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应体现建筑室外周边场地防护结构的位置、尺寸、构造</w:t>
            </w:r>
          </w:p>
        </w:tc>
        <w:tc>
          <w:tcPr>
            <w:tcW w:w="800" w:type="dxa"/>
            <w:tcBorders>
              <w:top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其它材料</w:t>
            </w:r>
          </w:p>
        </w:tc>
        <w:tc>
          <w:tcPr>
            <w:tcW w:w="2020" w:type="dxa"/>
            <w:tcBorders>
              <w:left w:val="nil"/>
              <w:bottom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防护栏杆检测报告</w:t>
            </w:r>
          </w:p>
        </w:tc>
        <w:tc>
          <w:tcPr>
            <w:tcW w:w="3960" w:type="dxa"/>
            <w:tcBorders>
              <w:bottom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应说明防护栏杆的水平载荷</w:t>
            </w:r>
          </w:p>
        </w:tc>
        <w:tc>
          <w:tcPr>
            <w:tcW w:w="800" w:type="dxa"/>
            <w:tcBorders>
              <w:bottom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64" w:type="dxa"/>
          </w:tcPr>
          <w:p>
            <w:pPr>
              <w:spacing w:line="288" w:lineRule="auto"/>
            </w:pPr>
          </w:p>
        </w:tc>
      </w:tr>
    </w:tbl>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 xml:space="preserve">4.2.3 </w:t>
      </w:r>
      <w:bookmarkStart w:id="19" w:name="_Hlk20679992"/>
      <w:bookmarkStart w:id="20" w:name="_Hlk25677954"/>
      <w:r>
        <w:rPr>
          <w:rFonts w:hint="eastAsia" w:ascii="黑体" w:hAnsi="黑体" w:eastAsia="黑体" w:cs="Times New Roman"/>
          <w:kern w:val="0"/>
          <w:sz w:val="24"/>
          <w:lang w:val="en-US" w:eastAsia="zh-CN"/>
        </w:rPr>
        <w:t>采用具有安全防护功能的产品或配件。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采用具有安全防护功能的玻璃，</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5分；</w:t>
      </w:r>
    </w:p>
    <w:p>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采用具备防夹功能的门窗，</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5分。</w:t>
      </w:r>
    </w:p>
    <w:p>
      <w:pPr>
        <w:spacing w:line="360" w:lineRule="auto"/>
        <w:ind w:firstLine="210" w:firstLineChars="10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rPr>
        <w:t>简要说明所采取的具有安全防护功能的产品或配件。</w:t>
      </w:r>
    </w:p>
    <w:bookmarkEnd w:id="19"/>
    <w:bookmarkEnd w:id="2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1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应包括建筑的各不同楼层及不同使用功能的玻璃的种类、结构、厚度、尺寸、安装位置等说明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产品配件的型式检验报告和检验检测报告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应包括产品配件的现场照片和安全玻璃制品冲击试验的冲击历程和冲击高度级别</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应明确所选用玻璃制品和门窗的型号和功能</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门窗检测检验报告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8364" w:type="dxa"/>
          </w:tcPr>
          <w:p>
            <w:pPr>
              <w:spacing w:line="288" w:lineRule="auto"/>
            </w:pPr>
          </w:p>
        </w:tc>
      </w:tr>
    </w:tbl>
    <w:p>
      <w:pPr>
        <w:pStyle w:val="13"/>
        <w:numPr>
          <w:ilvl w:val="0"/>
          <w:numId w:val="0"/>
        </w:numPr>
        <w:spacing w:line="288" w:lineRule="auto"/>
        <w:ind w:leftChars="0"/>
        <w:rPr>
          <w:rFonts w:hint="eastAsia" w:ascii="宋体" w:hAnsi="宋体"/>
          <w:b/>
          <w:kern w:val="0"/>
          <w:sz w:val="24"/>
          <w:lang w:eastAsia="zh-CN"/>
        </w:rPr>
      </w:pPr>
    </w:p>
    <w:p>
      <w:pPr>
        <w:pStyle w:val="13"/>
        <w:numPr>
          <w:ilvl w:val="0"/>
          <w:numId w:val="0"/>
        </w:numPr>
        <w:spacing w:line="288" w:lineRule="auto"/>
        <w:ind w:leftChars="0"/>
        <w:rPr>
          <w:rFonts w:hint="eastAsia" w:ascii="宋体" w:hAnsi="宋体"/>
          <w:b/>
          <w:kern w:val="0"/>
          <w:sz w:val="24"/>
          <w:lang w:eastAsia="zh-CN"/>
        </w:rPr>
      </w:pPr>
    </w:p>
    <w:p>
      <w:pPr>
        <w:rPr>
          <w:rFonts w:hint="eastAsia"/>
          <w:lang w:val="en-US" w:eastAsia="zh-CN"/>
        </w:rPr>
      </w:pPr>
    </w:p>
    <w:p>
      <w:pPr>
        <w:pStyle w:val="12"/>
        <w:ind w:firstLine="211" w:firstLineChars="100"/>
        <w:rPr>
          <w:rFonts w:ascii="Times New Roman" w:hAnsi="Times New Roman" w:cs="Times New Roman"/>
          <w:bCs/>
          <w:color w:val="auto"/>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4.2.4 室内外地面或路面设置防滑措施。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建筑室内外活动场所采用防滑地面，防滑等级达到现行行业标准《建筑地面工程防滑技术规程》JGJ/T 331规定的Ad、Aw级，</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6分；</w:t>
      </w:r>
    </w:p>
    <w:p>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建筑坡道、楼梯踏步防滑等级达到现行行业标准《建筑地面工程防滑技术规程》JGJ/T 331规定的Ad、Aw级或按水平地面等级提高一级，并采用防滑条等防滑构造技术措施，</w:t>
      </w:r>
      <w:r>
        <w:rPr>
          <w:rFonts w:hint="eastAsia" w:ascii="Times New Roman" w:hAnsi="Times New Roman" w:eastAsia="宋体" w:cs="Times New Roman"/>
          <w:bCs/>
          <w:color w:val="000000"/>
          <w:szCs w:val="24"/>
          <w:lang w:val="zh-CN"/>
        </w:rPr>
        <w:t>□</w:t>
      </w:r>
      <w:r>
        <w:rPr>
          <w:rFonts w:hint="eastAsia" w:cs="Times New Roman"/>
          <w:bCs/>
          <w:color w:val="000000"/>
          <w:szCs w:val="24"/>
          <w:lang w:val="en-US" w:eastAsia="zh-CN"/>
        </w:rPr>
        <w:t>4</w:t>
      </w:r>
      <w:r>
        <w:rPr>
          <w:rFonts w:ascii="Times New Roman" w:hAnsi="Times New Roman" w:eastAsia="宋体" w:cs="Times New Roman"/>
          <w:bCs/>
          <w:color w:val="000000"/>
          <w:szCs w:val="24"/>
        </w:rPr>
        <w:t>分。</w:t>
      </w:r>
    </w:p>
    <w:p>
      <w:pPr>
        <w:autoSpaceDE w:val="0"/>
        <w:autoSpaceDN w:val="0"/>
        <w:adjustRightInd w:val="0"/>
        <w:spacing w:line="288" w:lineRule="auto"/>
        <w:jc w:val="left"/>
        <w:rPr>
          <w:rFonts w:ascii="Times New Roman" w:hAnsi="Times New Roman" w:eastAsia="宋体" w:cs="Times New Roman"/>
          <w:bCs/>
          <w:color w:val="000000"/>
          <w:szCs w:val="24"/>
        </w:rPr>
      </w:pPr>
      <w:r>
        <w:rPr>
          <w:rFonts w:hint="eastAsia"/>
          <w:lang w:val="en-US" w:eastAsia="zh-CN"/>
        </w:rPr>
        <w:t xml:space="preserve"> </w:t>
      </w:r>
      <w:r>
        <w:rPr>
          <w:rFonts w:hint="eastAsia" w:ascii="Times New Roman" w:hAnsi="Times New Roman" w:eastAsia="宋体" w:cs="Times New Roman"/>
          <w:bCs/>
          <w:color w:val="000000"/>
          <w:szCs w:val="24"/>
        </w:rPr>
        <w:t>简要说明室内外地面或路面设置的防滑措施。（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应出示具体的防滑设计部位及防滑设计规范依据及防滑安全等级要求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防滑构造做法说明文件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应包括室内外防滑材料的选用说明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防滑材料有关检测报告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应明确室内外防滑材料的防滑等级、防滑安全程度、防滑值或静摩擦系数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default"/>
          <w:lang w:val="en-US" w:eastAsia="zh-CN"/>
        </w:rPr>
      </w:pPr>
    </w:p>
    <w:p>
      <w:pPr>
        <w:rPr>
          <w:rFonts w:hint="default"/>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4.2.5采取人车分流措施，且步行和自行车交通系统有充足照明。</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rPr>
        <w:t>采取人车分流措施，且步行和自行车交通系统有充足照明</w:t>
      </w:r>
      <w:r>
        <w:rPr>
          <w:rFonts w:hint="eastAsia" w:ascii="Times New Roman" w:hAnsi="Times New Roman" w:eastAsia="宋体" w:cs="Times New Roman"/>
          <w:bCs/>
          <w:color w:val="000000"/>
          <w:szCs w:val="24"/>
          <w:lang w:eastAsia="zh-CN"/>
        </w:rPr>
        <w:t>，</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rPr>
        <w:t>采取的人车分流措施以及步行和自行车交通系统照明保障措施。（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人车分流专向设计文件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应包括人行道路网和机动车道路网的路面宽度说明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照度计算书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bCs/>
                <w:color w:val="000000"/>
                <w:kern w:val="0"/>
                <w:sz w:val="22"/>
              </w:rPr>
              <w:t>应包括步行和自行车交通系统的路面平均照度、路面最小照度和垂直照度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道路照明设计文件</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应包括不同道路类型的供行人和非机动车使用的道路照明灯具安装设置情况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道路照明现场检测报告</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应包括不同道路类型的供行人和非机动车使用的道路的夜间照明的路面平均照度、路面最小照度和垂直照度现场检测值</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6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pacing w:line="288" w:lineRule="auto"/>
        <w:jc w:val="center"/>
        <w:rPr>
          <w:rFonts w:ascii="Times New Roman" w:hAnsi="Times New Roman"/>
        </w:rPr>
      </w:pPr>
      <w:bookmarkStart w:id="21" w:name="_Toc14261596"/>
      <w:r>
        <w:rPr>
          <w:rFonts w:hint="eastAsia" w:ascii="宋体" w:hAnsi="宋体" w:eastAsia="宋体" w:cs="宋体"/>
        </w:rPr>
        <w:t>II</w:t>
      </w:r>
      <w:r>
        <w:rPr>
          <w:rFonts w:ascii="Times New Roman" w:hAnsi="Times New Roman"/>
        </w:rPr>
        <w:t>耐久</w:t>
      </w:r>
      <w:bookmarkEnd w:id="21"/>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4.2.6 采取提升建筑适变性的措施。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采取通用开放、灵活可变的使用空间设计，或采取建筑使用功能可变措施，</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7分;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建筑结构与建筑设备管线分离，</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7分；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采用与建筑功能和空间变化相适应的设备设施布置方式或控制方式，</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4分。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是否存在可变换功能的室内空间：□是、□否；</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可变</w:t>
      </w:r>
      <w:r>
        <w:rPr>
          <w:rFonts w:hint="eastAsia" w:ascii="Times New Roman" w:hAnsi="Times New Roman" w:eastAsia="宋体" w:cs="Times New Roman"/>
          <w:bCs/>
          <w:color w:val="000000"/>
          <w:szCs w:val="24"/>
          <w:lang w:val="zh-CN"/>
        </w:rPr>
        <w:t>换功能的室内空间采用可重复使用隔断（墙）的比例：____ %。</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简要说明采取提升建筑适变性的措施（200字以内）。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应包括项目建筑类型、建筑功能、各功能区域规模的描述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应说明隔墙材料及做法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应体现建筑平面布置、隔墙的材料类别</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应体现建筑平面布置及隔墙（隔断）的设计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可重复使用隔断（墙）使用比例计算书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应体现可变换功能的室内空间的位置、采用的可重复使用隔断的类别及安装方式、实际可重复使用隔断（墙）围合的建筑面积与建筑中可变换功能的室内空间面积及其比值(指标要求与自评一致)</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rPr>
          <w:trHeight w:val="1350" w:hRule="atLeast"/>
        </w:trPr>
        <w:tc>
          <w:tcPr>
            <w:tcW w:w="740"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包含隔墙（隔断）的施工照片及视频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135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工程验收资料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包含完成设计项目情况、试验报告等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4.2.7 采取提升建筑部品部件耐久性的措施。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使用耐腐蚀、抗老化、耐久性能好的管材、管线、管件、阀门，</w:t>
      </w:r>
      <w:r>
        <w:rPr>
          <w:rFonts w:hint="eastAsia" w:ascii="宋体" w:hAnsi="宋体"/>
          <w:b w:val="0"/>
          <w:bCs w:val="0"/>
          <w:szCs w:val="21"/>
          <w:lang w:val="zh-CN"/>
        </w:rPr>
        <w:t>□</w:t>
      </w:r>
      <w:r>
        <w:rPr>
          <w:rFonts w:hint="eastAsia" w:ascii="Times New Roman" w:hAnsi="Times New Roman" w:eastAsia="宋体" w:cs="Times New Roman"/>
          <w:bCs/>
          <w:color w:val="000000"/>
          <w:szCs w:val="24"/>
        </w:rPr>
        <w:t>5分；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活动配件选用长寿命产品，并考虑部品组合的同寿命性；不同使用寿命的部品组合时，采用便于分别拆换、更新和升级的构造，</w:t>
      </w:r>
      <w:r>
        <w:rPr>
          <w:rFonts w:hint="eastAsia" w:ascii="宋体" w:hAnsi="宋体"/>
          <w:b w:val="0"/>
          <w:bCs w:val="0"/>
          <w:szCs w:val="21"/>
          <w:lang w:val="zh-CN"/>
        </w:rPr>
        <w:t>□</w:t>
      </w:r>
      <w:r>
        <w:rPr>
          <w:rFonts w:hint="eastAsia" w:ascii="Times New Roman" w:hAnsi="Times New Roman" w:eastAsia="宋体" w:cs="Times New Roman"/>
          <w:bCs/>
          <w:color w:val="000000"/>
          <w:szCs w:val="24"/>
        </w:rPr>
        <w:t>5分。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简要说明采取提升建筑部品部件耐久性的措施说明。（200字以内）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5"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nil"/>
              <w:right w:val="nil"/>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应包括阀门、管材、管件的选用说明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应包括项目使用的线缆、电缆、导体材料的</w:t>
            </w:r>
            <w:bookmarkStart w:id="116" w:name="_GoBack"/>
            <w:bookmarkEnd w:id="116"/>
            <w:r>
              <w:rPr>
                <w:rFonts w:hint="eastAsia" w:ascii="宋体" w:hAnsi="宋体" w:eastAsia="宋体" w:cs="宋体"/>
                <w:color w:val="000000"/>
                <w:kern w:val="0"/>
                <w:sz w:val="22"/>
              </w:rPr>
              <w:t>选用说明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应包括项目使用的各类长寿命配件的使用部位及设计要求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应包括项目使用的各类耐腐蚀、抗老化、耐久性能好的管材、管件和长寿命配件的种类及用量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应包括部品部件的耐久性说明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产品性能检测报告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应包括建筑的主要管材、管线、关键和活动配件的实际性能指标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4.2.8 提高建筑结构材料的耐久性。</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按100年进行耐久性设计，</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10分。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采用耐久性能好的建筑结构材料，满足下列条件之一，</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10分：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对于混凝土构件，合理提高钢筋保护层厚度，</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4分；采用高耐久混凝土的用量占混凝土总量的比例超过50%，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对于钢构件，采用耐候结构钢或耐候型防腐涂料；</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对于木构件，采用防腐木材、耐久木材或耐久木制品。</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本项采用</w:t>
      </w:r>
      <w:r>
        <w:rPr>
          <w:rFonts w:hint="eastAsia" w:ascii="Times New Roman" w:hAnsi="Times New Roman" w:eastAsia="宋体" w:cs="Times New Roman"/>
          <w:bCs/>
          <w:color w:val="000000"/>
          <w:szCs w:val="24"/>
          <w:lang w:val="en-US" w:eastAsia="zh-CN"/>
        </w:rPr>
        <w:t>耐久性材料</w:t>
      </w:r>
      <w:r>
        <w:rPr>
          <w:rFonts w:hint="eastAsia" w:cs="Times New Roman"/>
          <w:bCs/>
          <w:color w:val="000000"/>
          <w:szCs w:val="24"/>
          <w:lang w:val="en-US" w:eastAsia="zh-CN"/>
        </w:rPr>
        <w:t>的</w:t>
      </w:r>
      <w:r>
        <w:rPr>
          <w:rFonts w:hint="eastAsia" w:ascii="Times New Roman" w:hAnsi="Times New Roman" w:eastAsia="宋体" w:cs="Times New Roman"/>
          <w:bCs/>
          <w:color w:val="000000"/>
          <w:szCs w:val="24"/>
          <w:lang w:val="zh-CN"/>
        </w:rPr>
        <w:t>使用部位、用量及性能参数，以及满足的现行标准要求</w:t>
      </w:r>
      <w:r>
        <w:rPr>
          <w:rFonts w:hint="eastAsia" w:ascii="Times New Roman" w:hAnsi="Times New Roman" w:eastAsia="宋体" w:cs="Times New Roman"/>
          <w:bCs/>
          <w:color w:val="000000"/>
          <w:szCs w:val="24"/>
          <w:lang w:val="en-US" w:eastAsia="zh-CN"/>
        </w:rPr>
        <w:t>的情况</w:t>
      </w:r>
      <w:r>
        <w:rPr>
          <w:rFonts w:hint="eastAsia" w:ascii="Times New Roman" w:hAnsi="Times New Roman" w:eastAsia="宋体" w:cs="Times New Roman"/>
          <w:bCs/>
          <w:color w:val="000000"/>
          <w:szCs w:val="24"/>
          <w:lang w:val="zh-CN"/>
        </w:rPr>
        <w:t>。</w:t>
      </w:r>
      <w:r>
        <w:rPr>
          <w:rFonts w:hint="eastAsia" w:cs="Times New Roman"/>
          <w:bCs/>
          <w:color w:val="000000"/>
          <w:szCs w:val="24"/>
          <w:lang w:val="zh-CN"/>
        </w:rPr>
        <w:t>（</w:t>
      </w:r>
      <w:r>
        <w:rPr>
          <w:rFonts w:hint="eastAsia" w:cs="Times New Roman"/>
          <w:bCs/>
          <w:color w:val="000000"/>
          <w:szCs w:val="24"/>
          <w:lang w:val="en-US" w:eastAsia="zh-CN"/>
        </w:rPr>
        <w:t>200字以内</w:t>
      </w:r>
      <w:r>
        <w:rPr>
          <w:rFonts w:hint="eastAsia" w:cs="Times New Roman"/>
          <w:bCs/>
          <w:color w:val="000000"/>
          <w:szCs w:val="24"/>
          <w:lang w:val="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8"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应明确建筑结构的耐久性设计年限</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应明确各类结构构件的耐久性设计要求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应包括高耐久性混凝土的使用部位及设计要求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应包括耐候结构钢或耐候型防腐涂料的使用部位及设计要求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应包括防腐木材、耐久木材或耐久木制品的使用部位及设计要求</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应包括项目使用的各类混凝土的种类及用量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应包括项目使用的各类钢材及防腐涂料的种类及用量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应体现防腐木材、耐久木材或耐久木制品的种类及用量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高耐久性混凝土用量比例计算书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应包括高耐久性混凝土的用量及使用比例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耐候结构钢材或耐候型防腐涂料用量比例计算书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应包括耐候结构钢或耐候型防腐涂料的用量及使用比例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防腐木材、耐久木材或耐久木制品用量比例计算书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应包括防腐木材、耐久木材或耐久木制品的用量及使用比例</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材料检测检验报告和有关耐久性证明材料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应包含耐久混凝土、耐久钢、耐久木制品</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22" w:name="_Hlk20680267"/>
      <w:r>
        <w:rPr>
          <w:rFonts w:hint="eastAsia" w:ascii="黑体" w:hAnsi="黑体" w:eastAsia="黑体" w:cs="Times New Roman"/>
          <w:kern w:val="0"/>
          <w:sz w:val="24"/>
          <w:lang w:val="en-US" w:eastAsia="zh-CN"/>
        </w:rPr>
        <w:t xml:space="preserve">4.2.9 </w:t>
      </w:r>
      <w:bookmarkEnd w:id="22"/>
      <w:r>
        <w:rPr>
          <w:rFonts w:hint="eastAsia" w:ascii="黑体" w:hAnsi="黑体" w:eastAsia="黑体" w:cs="Times New Roman"/>
          <w:kern w:val="0"/>
          <w:sz w:val="24"/>
          <w:lang w:val="en-US" w:eastAsia="zh-CN"/>
        </w:rPr>
        <w:t>合理采用耐久性好、易维护的装饰装修建筑材料。</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采用耐久性好的外饰面材料，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采用耐久性好的防水和密封材料，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采用耐久性好、易维护的室内装饰装修材料，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简要说明本项目所采用的装饰装修材料。（200字以内）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应说明内外墙水性氟涂料或耐候性相当涂料的使用情况及性能指标要求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应说明内耐久性与建筑幕墙设计年限相匹配的饰面材料的使用情况及性能指标要求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应说明内外墙主要外露部位清水混凝的使用情况及性能指标要求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应说明所使用耐久性好的防水和密封材料的情况及性能指标要求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应说明内外墙主要外露部位清水混凝的使用情况及性能指标要求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应说明外墙涂料、建筑幕墙等使用耐久性好、易维护的外饰面材料的情况及性能指标要求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装修材料表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应包括装修材料种类及用量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应明确装修材料种类及技术要求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主要装饰装修材料的检测报告或有关证明材料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应体现建筑的主要装饰装修材料的实际性能指标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应体现项目使用的各类装饰装修材料的使用部位、用量等信息</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应包含装饰装修材料施工具体情况</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2"/>
        <w:spacing w:line="288" w:lineRule="auto"/>
      </w:pPr>
      <w:r>
        <w:rPr>
          <w:rFonts w:hint="eastAsia"/>
        </w:rPr>
        <w:t xml:space="preserve">5 </w:t>
      </w:r>
      <w:bookmarkEnd w:id="12"/>
      <w:r>
        <w:rPr>
          <w:rFonts w:hint="eastAsia"/>
        </w:rPr>
        <w:t>健康舒适</w:t>
      </w:r>
      <w:bookmarkEnd w:id="13"/>
    </w:p>
    <w:tbl>
      <w:tblPr>
        <w:tblStyle w:val="9"/>
        <w:tblW w:w="8381" w:type="dxa"/>
        <w:tblInd w:w="91" w:type="dxa"/>
        <w:tblLayout w:type="autofit"/>
        <w:tblCellMar>
          <w:top w:w="0" w:type="dxa"/>
          <w:left w:w="108" w:type="dxa"/>
          <w:bottom w:w="0" w:type="dxa"/>
          <w:right w:w="108" w:type="dxa"/>
        </w:tblCellMar>
      </w:tblPr>
      <w:tblGrid>
        <w:gridCol w:w="817"/>
        <w:gridCol w:w="766"/>
        <w:gridCol w:w="5380"/>
        <w:gridCol w:w="709"/>
        <w:gridCol w:w="709"/>
      </w:tblGrid>
      <w:tr>
        <w:tblPrEx>
          <w:tblCellMar>
            <w:top w:w="0" w:type="dxa"/>
            <w:left w:w="108" w:type="dxa"/>
            <w:bottom w:w="0" w:type="dxa"/>
            <w:right w:w="108" w:type="dxa"/>
          </w:tblCellMar>
        </w:tblPrEx>
        <w:trPr>
          <w:trHeight w:val="810" w:hRule="atLeast"/>
          <w:tblHeader/>
        </w:trPr>
        <w:tc>
          <w:tcPr>
            <w:tcW w:w="817" w:type="dxa"/>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810" w:hRule="atLeast"/>
        </w:trPr>
        <w:tc>
          <w:tcPr>
            <w:tcW w:w="817"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5.1.1</w:t>
            </w:r>
          </w:p>
        </w:tc>
        <w:tc>
          <w:tcPr>
            <w:tcW w:w="5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室内空气中的氨、甲醛、苯、总挥发性有机物、氡等污染物浓度应符合现行国家标准《室内空气质量标准》GB/T 18883的有关规定。建筑室内和建筑主出入口处应禁止吸烟，并应在醒目位置设置禁烟标志。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5.1.2</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应采取措施避免厨房、餐厅、打印复印室、卫生间、地下车库等区域的空气和污染物串通到其他空间；应防止厨房、卫生间的排气倒灌。</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5.1.3</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给水排水系统的设置应符合下列规定：</w:t>
            </w:r>
          </w:p>
          <w:p>
            <w:pPr>
              <w:snapToGrid w:val="0"/>
              <w:ind w:firstLine="0" w:firstLineChars="0"/>
              <w:jc w:val="left"/>
              <w:rPr>
                <w:rFonts w:cs="Times New Roman"/>
                <w:szCs w:val="24"/>
              </w:rPr>
            </w:pPr>
            <w:r>
              <w:rPr>
                <w:rFonts w:cs="Times New Roman"/>
                <w:szCs w:val="24"/>
              </w:rPr>
              <w:t xml:space="preserve">  1 生活饮用水水质应满足现行国家标准《生活饮用水卫生标准》GB 5749的要求；</w:t>
            </w:r>
          </w:p>
          <w:p>
            <w:pPr>
              <w:snapToGrid w:val="0"/>
              <w:ind w:firstLine="210" w:firstLineChars="100"/>
              <w:jc w:val="left"/>
              <w:rPr>
                <w:rFonts w:cs="Times New Roman"/>
                <w:szCs w:val="24"/>
              </w:rPr>
            </w:pPr>
            <w:r>
              <w:rPr>
                <w:rFonts w:cs="Times New Roman"/>
                <w:szCs w:val="24"/>
              </w:rPr>
              <w:t>2 应制定水池、水箱等储水设施定期清洗消毒计划并实施，且生活饮用水储水设施每半年清洗消毒不应少于1次；</w:t>
            </w:r>
          </w:p>
          <w:p>
            <w:pPr>
              <w:ind w:firstLine="210" w:firstLineChars="100"/>
              <w:rPr>
                <w:rFonts w:cs="Times New Roman"/>
                <w:szCs w:val="24"/>
              </w:rPr>
            </w:pPr>
            <w:r>
              <w:rPr>
                <w:rFonts w:cs="Times New Roman"/>
                <w:szCs w:val="24"/>
              </w:rPr>
              <w:t>3 应使用构造内自带水封的便器，且其水封深度不应小于50mm。</w:t>
            </w:r>
          </w:p>
          <w:p>
            <w:pPr>
              <w:snapToGrid w:val="0"/>
              <w:ind w:firstLine="210" w:firstLineChars="100"/>
              <w:jc w:val="left"/>
              <w:rPr>
                <w:rFonts w:ascii="宋体" w:hAnsi="宋体" w:cs="宋体"/>
                <w:color w:val="000000"/>
                <w:kern w:val="0"/>
                <w:szCs w:val="21"/>
              </w:rPr>
            </w:pPr>
            <w:r>
              <w:rPr>
                <w:rFonts w:hint="eastAsia" w:cs="Times New Roman"/>
                <w:szCs w:val="24"/>
              </w:rPr>
              <w:t>4 非传统水源管道和设备应设置明确、清晰的永久性标识。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5.1.4</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建筑布局合理，主要功能房间与噪声源合理分隔，且建筑</w:t>
            </w:r>
            <w:bookmarkStart w:id="23" w:name="_Hlk25520962"/>
            <w:r>
              <w:rPr>
                <w:rFonts w:cs="Times New Roman"/>
                <w:bCs w:val="0"/>
              </w:rPr>
              <w:t>声环境</w:t>
            </w:r>
            <w:bookmarkEnd w:id="23"/>
            <w:r>
              <w:rPr>
                <w:rFonts w:cs="Times New Roman"/>
                <w:bCs w:val="0"/>
              </w:rPr>
              <w:t>质量应符合下列规定：</w:t>
            </w:r>
          </w:p>
          <w:p>
            <w:pPr>
              <w:snapToGrid w:val="0"/>
              <w:ind w:firstLine="210" w:firstLineChars="100"/>
              <w:jc w:val="left"/>
              <w:rPr>
                <w:rFonts w:cs="Times New Roman"/>
                <w:szCs w:val="24"/>
              </w:rPr>
            </w:pPr>
            <w:r>
              <w:rPr>
                <w:rFonts w:cs="Times New Roman"/>
                <w:szCs w:val="24"/>
              </w:rPr>
              <w:t>1 主要功能房间的室内噪声级应满足现行国家标准《民用建筑隔声设计规范》GB 50118中的低限要求；</w:t>
            </w:r>
          </w:p>
          <w:p>
            <w:pPr>
              <w:snapToGrid w:val="0"/>
              <w:ind w:firstLine="210" w:firstLineChars="100"/>
              <w:jc w:val="left"/>
              <w:rPr>
                <w:rFonts w:cs="Times New Roman"/>
              </w:rPr>
            </w:pPr>
            <w:r>
              <w:rPr>
                <w:rFonts w:cs="Times New Roman"/>
              </w:rPr>
              <w:t>2 主要功能房间的外墙、隔墙、楼板和门窗的隔声性能应满足现行国家标准《民用建筑隔声设计规范》GB 50118中的低限要求；</w:t>
            </w:r>
          </w:p>
          <w:p>
            <w:pPr>
              <w:pStyle w:val="12"/>
              <w:ind w:firstLine="210" w:firstLineChars="100"/>
              <w:rPr>
                <w:rFonts w:ascii="Times New Roman" w:hAnsi="Times New Roman" w:cs="Times New Roman"/>
                <w:b w:val="0"/>
                <w:color w:val="auto"/>
              </w:rPr>
            </w:pPr>
            <w:bookmarkStart w:id="24" w:name="_Hlk22059644"/>
            <w:r>
              <w:rPr>
                <w:rFonts w:ascii="Times New Roman" w:hAnsi="Times New Roman" w:cs="Times New Roman"/>
                <w:b w:val="0"/>
                <w:color w:val="auto"/>
              </w:rPr>
              <w:t xml:space="preserve">3 </w:t>
            </w:r>
            <w:r>
              <w:rPr>
                <w:rFonts w:hint="eastAsia" w:ascii="Times New Roman" w:hAnsi="Times New Roman" w:cs="Times New Roman"/>
                <w:b w:val="0"/>
                <w:color w:val="auto"/>
              </w:rPr>
              <w:t>建筑服务设备、设施的结构噪声应满足现行国家标准《民用建筑隔声设计规范》</w:t>
            </w:r>
            <w:r>
              <w:rPr>
                <w:rFonts w:ascii="Times New Roman" w:hAnsi="Times New Roman" w:cs="Times New Roman"/>
                <w:b w:val="0"/>
                <w:color w:val="auto"/>
              </w:rPr>
              <w:t>GB 50118</w:t>
            </w:r>
            <w:r>
              <w:rPr>
                <w:rFonts w:hint="eastAsia" w:ascii="Times New Roman" w:hAnsi="Times New Roman" w:cs="Times New Roman"/>
                <w:b w:val="0"/>
                <w:color w:val="auto"/>
              </w:rPr>
              <w:t>中的低限要求或满足现行国家标准《社会生活环境噪声排放标准》</w:t>
            </w:r>
            <w:r>
              <w:rPr>
                <w:rFonts w:ascii="Times New Roman" w:hAnsi="Times New Roman" w:cs="Times New Roman"/>
                <w:b w:val="0"/>
                <w:color w:val="auto"/>
              </w:rPr>
              <w:t>GB 22337</w:t>
            </w:r>
            <w:r>
              <w:rPr>
                <w:rFonts w:hint="eastAsia" w:ascii="Times New Roman" w:hAnsi="Times New Roman" w:cs="Times New Roman"/>
                <w:b w:val="0"/>
                <w:color w:val="auto"/>
              </w:rPr>
              <w:t>的限值要求；</w:t>
            </w:r>
          </w:p>
          <w:bookmarkEnd w:id="24"/>
          <w:p>
            <w:pPr>
              <w:pStyle w:val="12"/>
              <w:ind w:firstLine="210" w:firstLineChars="100"/>
              <w:rPr>
                <w:rFonts w:ascii="宋体" w:hAnsi="宋体" w:cs="宋体"/>
                <w:color w:val="000000"/>
                <w:kern w:val="0"/>
                <w:szCs w:val="21"/>
              </w:rPr>
            </w:pPr>
            <w:r>
              <w:rPr>
                <w:rFonts w:ascii="Times New Roman" w:hAnsi="Times New Roman" w:cs="Times New Roman"/>
                <w:b w:val="0"/>
                <w:color w:val="auto"/>
              </w:rPr>
              <w:t xml:space="preserve">4 </w:t>
            </w:r>
            <w:r>
              <w:rPr>
                <w:rFonts w:hint="eastAsia" w:ascii="Times New Roman" w:hAnsi="Times New Roman" w:cs="Times New Roman"/>
                <w:b w:val="0"/>
                <w:color w:val="auto"/>
              </w:rPr>
              <w:t>有混响时间和吸声要求的主要功能房间，该性能应满足现行国家标准《民用建筑隔声设计规范》</w:t>
            </w:r>
            <w:r>
              <w:rPr>
                <w:rFonts w:ascii="Times New Roman" w:hAnsi="Times New Roman" w:cs="Times New Roman"/>
                <w:b w:val="0"/>
                <w:color w:val="auto"/>
              </w:rPr>
              <w:t>GB 50118</w:t>
            </w:r>
            <w:r>
              <w:rPr>
                <w:rFonts w:hint="eastAsia" w:ascii="Times New Roman" w:hAnsi="Times New Roman" w:cs="Times New Roman"/>
                <w:b w:val="0"/>
                <w:color w:val="auto"/>
              </w:rPr>
              <w:t>的要求或该功能房间所属建筑设计规范的要求。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5.1.5</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建筑照明应符合下列规定：</w:t>
            </w:r>
          </w:p>
          <w:p>
            <w:pPr>
              <w:snapToGrid w:val="0"/>
              <w:ind w:firstLine="210" w:firstLineChars="100"/>
              <w:jc w:val="left"/>
              <w:rPr>
                <w:rFonts w:cs="Times New Roman"/>
                <w:szCs w:val="24"/>
              </w:rPr>
            </w:pPr>
            <w:r>
              <w:rPr>
                <w:rFonts w:cs="Times New Roman"/>
                <w:szCs w:val="24"/>
              </w:rPr>
              <w:t>1 照明数量和质量应符合现行国家标准《建筑照明设计标准》GB 50034的规定；</w:t>
            </w:r>
          </w:p>
          <w:p>
            <w:pPr>
              <w:snapToGrid w:val="0"/>
              <w:ind w:firstLine="210" w:firstLineChars="100"/>
              <w:jc w:val="left"/>
              <w:rPr>
                <w:rFonts w:cs="Times New Roman"/>
                <w:szCs w:val="24"/>
              </w:rPr>
            </w:pPr>
            <w:r>
              <w:rPr>
                <w:rFonts w:cs="Times New Roman"/>
                <w:szCs w:val="24"/>
              </w:rPr>
              <w:t>2 人员长期停留的场所应采用符合现行国家标准《灯和灯系统的光生物安全性》GB/T 20145规定的无危险类照明产品；</w:t>
            </w:r>
          </w:p>
          <w:p>
            <w:pPr>
              <w:widowControl/>
              <w:ind w:firstLine="210" w:firstLineChars="100"/>
              <w:jc w:val="left"/>
              <w:rPr>
                <w:rFonts w:ascii="宋体" w:hAnsi="宋体" w:cs="宋体"/>
                <w:color w:val="000000"/>
                <w:kern w:val="0"/>
                <w:szCs w:val="21"/>
              </w:rPr>
            </w:pPr>
            <w:r>
              <w:rPr>
                <w:rFonts w:cs="Times New Roman"/>
                <w:szCs w:val="24"/>
              </w:rPr>
              <w:t>3 选用LED</w:t>
            </w:r>
            <w:r>
              <w:rPr>
                <w:rFonts w:hint="eastAsia" w:cs="Times New Roman"/>
                <w:szCs w:val="24"/>
              </w:rPr>
              <w:t>照明产品</w:t>
            </w:r>
            <w:r>
              <w:rPr>
                <w:rFonts w:cs="Times New Roman"/>
                <w:szCs w:val="24"/>
              </w:rPr>
              <w:t>的光输出波形的波动深度应满足现行国家标准《LED室内照明应用技术要求》GB/T 31831的规定。</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5.1.6</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5.1.7</w:t>
            </w:r>
          </w:p>
        </w:tc>
        <w:tc>
          <w:tcPr>
            <w:tcW w:w="5380"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围护结构热工性能应符合下列规定：</w:t>
            </w:r>
          </w:p>
          <w:p>
            <w:pPr>
              <w:snapToGrid w:val="0"/>
              <w:ind w:firstLine="210" w:firstLineChars="100"/>
              <w:jc w:val="left"/>
              <w:rPr>
                <w:rFonts w:cs="Times New Roman"/>
                <w:szCs w:val="24"/>
              </w:rPr>
            </w:pPr>
            <w:r>
              <w:rPr>
                <w:rFonts w:cs="Times New Roman"/>
                <w:szCs w:val="24"/>
              </w:rPr>
              <w:t>1 在室内设计温度、湿度条件下，建筑非透光围护结构内表面不得结露；</w:t>
            </w:r>
          </w:p>
          <w:p>
            <w:pPr>
              <w:snapToGrid w:val="0"/>
              <w:ind w:firstLine="210" w:firstLineChars="100"/>
              <w:jc w:val="left"/>
              <w:rPr>
                <w:rFonts w:cs="Times New Roman"/>
                <w:szCs w:val="24"/>
              </w:rPr>
            </w:pPr>
            <w:r>
              <w:rPr>
                <w:rFonts w:cs="Times New Roman"/>
                <w:szCs w:val="24"/>
              </w:rPr>
              <w:t>2 供暖建筑的屋面、外墙内部不应产生冷凝；</w:t>
            </w:r>
          </w:p>
          <w:p>
            <w:pPr>
              <w:snapToGrid w:val="0"/>
              <w:ind w:firstLine="210" w:firstLineChars="100"/>
              <w:jc w:val="left"/>
              <w:rPr>
                <w:rFonts w:ascii="宋体" w:hAnsi="宋体" w:cs="宋体"/>
                <w:color w:val="000000"/>
                <w:kern w:val="0"/>
                <w:szCs w:val="21"/>
              </w:rPr>
            </w:pPr>
            <w:r>
              <w:rPr>
                <w:rFonts w:cs="Times New Roman"/>
                <w:szCs w:val="24"/>
              </w:rPr>
              <w:t>3 屋顶和外墙隔热性能应满足现行国家标准《民用建筑热工设计规范》GB 50176的要求。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5.1.8</w:t>
            </w:r>
          </w:p>
        </w:tc>
        <w:tc>
          <w:tcPr>
            <w:tcW w:w="5380" w:type="dxa"/>
            <w:tcBorders>
              <w:top w:val="nil"/>
              <w:left w:val="nil"/>
              <w:bottom w:val="single" w:color="auto" w:sz="4" w:space="0"/>
              <w:right w:val="single" w:color="auto" w:sz="4" w:space="0"/>
            </w:tcBorders>
            <w:shd w:val="clear" w:color="auto" w:fill="auto"/>
            <w:vAlign w:val="center"/>
          </w:tcPr>
          <w:p>
            <w:pPr>
              <w:pStyle w:val="5"/>
              <w:rPr>
                <w:rFonts w:ascii="宋体" w:hAnsi="宋体" w:cs="宋体"/>
                <w:color w:val="000000"/>
                <w:kern w:val="0"/>
                <w:szCs w:val="21"/>
              </w:rPr>
            </w:pPr>
            <w:r>
              <w:rPr>
                <w:rFonts w:cs="Times New Roman"/>
                <w:bCs w:val="0"/>
              </w:rPr>
              <w:t>主要功能房间应具有现场独立控制的热环境调节装置。</w:t>
            </w:r>
            <w:r>
              <w:rPr>
                <w:rFonts w:hint="eastAsia" w:cs="Times New Roman"/>
                <w:bCs w:val="0"/>
              </w:rPr>
              <w:t>对于具有集中式系统的房间应具备终端风量、流量调节装置；对于分散式或半集中式系统的房间，应具备末端独立控制装置。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5.1.9</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cs="Times New Roman"/>
                <w:bCs w:val="0"/>
              </w:rPr>
            </w:pPr>
            <w:r>
              <w:rPr>
                <w:rFonts w:cs="Times New Roman"/>
                <w:bCs w:val="0"/>
              </w:rPr>
              <w:t>地下车库应设置与排风设备联动的一氧化碳浓度监测装置。</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color w:val="000000"/>
                <w:kern w:val="0"/>
                <w:szCs w:val="21"/>
              </w:rPr>
              <w:t>5.1.</w:t>
            </w:r>
            <w:r>
              <w:rPr>
                <w:rFonts w:hint="eastAsia"/>
                <w:color w:val="000000"/>
                <w:kern w:val="0"/>
                <w:szCs w:val="21"/>
                <w:lang w:val="en-US" w:eastAsia="zh-CN"/>
              </w:rPr>
              <w:t>10</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Times New Roman"/>
                <w:bCs w:val="0"/>
              </w:rPr>
              <w:t>游泳池水、非传统水源等</w:t>
            </w:r>
            <w:bookmarkStart w:id="25" w:name="_Hlk25158690"/>
            <w:r>
              <w:rPr>
                <w:rFonts w:hint="eastAsia" w:cs="Times New Roman"/>
                <w:bCs w:val="0"/>
              </w:rPr>
              <w:t>的水质</w:t>
            </w:r>
            <w:bookmarkEnd w:id="25"/>
            <w:r>
              <w:rPr>
                <w:rFonts w:hint="eastAsia" w:cs="Times New Roman"/>
                <w:bCs w:val="0"/>
              </w:rPr>
              <w:t>满足国家现行有关标准的要求。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室内空气品质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5.2.1</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控制室内主要空气污染物的浓度</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5.2.2</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选用的装饰装修材料满足国家现行绿色产品评价标准中对有害物质限量的要求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水质</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5.2.3</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设置直饮水系统，且直饮水</w:t>
            </w:r>
            <w:r>
              <w:rPr>
                <w:rFonts w:hint="eastAsia" w:cs="Times New Roman"/>
                <w:bCs w:val="0"/>
              </w:rPr>
              <w:t>、集中生活用水、采暖空调系统用水、景观水体等</w:t>
            </w:r>
            <w:r>
              <w:rPr>
                <w:rFonts w:cs="Times New Roman"/>
                <w:bCs w:val="0"/>
              </w:rPr>
              <w:t>的水质满足国家现行有关标准的要求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5.2.4</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生活饮用水水池、水箱等储水设施采取措施满足卫生要求</w:t>
            </w:r>
            <w:r>
              <w:rPr>
                <w:rFonts w:hint="eastAsia" w:cs="Times New Roman"/>
                <w:bCs w:val="0"/>
                <w:lang w:val="en-US"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1"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声环境与光环境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5.2.5</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针对各主要房间的使用功能，采取有效措施优化其室内声环境</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1" w:hRule="atLeast"/>
        </w:trPr>
        <w:tc>
          <w:tcPr>
            <w:tcW w:w="817" w:type="dxa"/>
            <w:vMerge w:val="continue"/>
            <w:tcBorders>
              <w:left w:val="single" w:color="auto" w:sz="4" w:space="0"/>
              <w:right w:val="single" w:color="auto" w:sz="4" w:space="0"/>
            </w:tcBorders>
            <w:shd w:val="clear" w:color="auto" w:fill="D8D8D8" w:themeFill="background1" w:themeFillShade="D9"/>
            <w:vAlign w:val="center"/>
          </w:tcPr>
          <w:p>
            <w:pPr>
              <w:widowControl/>
              <w:jc w:val="center"/>
              <w:rPr>
                <w:rFonts w:hint="eastAsia"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5.2.6</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主要功能房间的隔声性能良好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5.2.7</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充分利用天然光</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13"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室内热湿环境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color w:val="000000"/>
                <w:kern w:val="0"/>
                <w:szCs w:val="21"/>
              </w:rPr>
              <w:t>5.2.</w:t>
            </w:r>
            <w:r>
              <w:rPr>
                <w:rFonts w:hint="eastAsia"/>
                <w:color w:val="000000"/>
                <w:kern w:val="0"/>
                <w:szCs w:val="21"/>
                <w:lang w:val="en-US" w:eastAsia="zh-CN"/>
              </w:rPr>
              <w:t>8</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具有良好的室内热湿环境</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color w:val="000000"/>
                <w:kern w:val="0"/>
                <w:szCs w:val="21"/>
              </w:rPr>
              <w:t>5.2.</w:t>
            </w:r>
            <w:r>
              <w:rPr>
                <w:rFonts w:hint="eastAsia"/>
                <w:color w:val="000000"/>
                <w:kern w:val="0"/>
                <w:szCs w:val="21"/>
                <w:lang w:val="en-US" w:eastAsia="zh-CN"/>
              </w:rPr>
              <w:t>9</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优化建筑空间和平面布局，改善自然通风效果</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color w:val="000000"/>
                <w:kern w:val="0"/>
                <w:szCs w:val="21"/>
              </w:rPr>
              <w:t>5.2.</w:t>
            </w:r>
            <w:r>
              <w:rPr>
                <w:rFonts w:hint="eastAsia"/>
                <w:color w:val="000000"/>
                <w:kern w:val="0"/>
                <w:szCs w:val="21"/>
                <w:lang w:val="en-US" w:eastAsia="zh-CN"/>
              </w:rPr>
              <w:t>10</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设置可调节遮阳设施，改善室内热舒适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7" w:type="dxa"/>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室内综合环境</w:t>
            </w:r>
          </w:p>
        </w:tc>
        <w:tc>
          <w:tcPr>
            <w:tcW w:w="766"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5.2.11</w:t>
            </w:r>
          </w:p>
        </w:tc>
        <w:tc>
          <w:tcPr>
            <w:tcW w:w="538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bookmarkStart w:id="26" w:name="_Hlk25521130"/>
            <w:r>
              <w:rPr>
                <w:rFonts w:cs="Times New Roman"/>
                <w:bCs w:val="0"/>
              </w:rPr>
              <w:t>综合考虑室内环境整体质量</w:t>
            </w:r>
            <w:bookmarkEnd w:id="26"/>
            <w:r>
              <w:rPr>
                <w:rFonts w:cs="Times New Roman"/>
                <w:bCs w:val="0"/>
              </w:rPr>
              <w:t>，综合质量达到下列要求可得分</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604"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Pr>
        <w:pStyle w:val="2"/>
        <w:bidi w:val="0"/>
        <w:rPr>
          <w:rFonts w:hint="eastAsia"/>
        </w:rPr>
      </w:pPr>
      <w:bookmarkStart w:id="27" w:name="_Toc412712072"/>
      <w:bookmarkStart w:id="28" w:name="_Toc14261598"/>
      <w:bookmarkStart w:id="29" w:name="_Toc428800961"/>
      <w:r>
        <w:rPr>
          <w:rFonts w:hint="eastAsia"/>
        </w:rPr>
        <w:t>5.1 控制项</w:t>
      </w:r>
      <w:bookmarkEnd w:id="27"/>
      <w:bookmarkEnd w:id="28"/>
      <w:bookmarkEnd w:id="29"/>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5.1.1 室内空气中的氨、甲醛、苯、总挥发性有机物、氡等污染物浓度应符合现行国家标准《室内空气质量标准》GB/T 18883的有关规定。建筑室内和建筑主出入口处应禁止吸烟，并应在醒目位置设置禁烟标志。</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空气污染物浓度：</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主要功能房间污染物浓度检测结果：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43"/>
        <w:gridCol w:w="1144"/>
        <w:gridCol w:w="1144"/>
        <w:gridCol w:w="1144"/>
        <w:gridCol w:w="1115"/>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115"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544"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污染物浓度</w:t>
            </w:r>
          </w:p>
          <w:p>
            <w:pPr>
              <w:pStyle w:val="14"/>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continue"/>
            <w:vAlign w:val="center"/>
          </w:tcPr>
          <w:p>
            <w:pPr>
              <w:pStyle w:val="14"/>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144"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115"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544" w:type="dxa"/>
            <w:vMerge w:val="continue"/>
            <w:vAlign w:val="center"/>
          </w:tcPr>
          <w:p>
            <w:pPr>
              <w:pStyle w:val="14"/>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44" w:type="dxa"/>
            <w:vAlign w:val="center"/>
          </w:tcPr>
          <w:p>
            <w:pPr>
              <w:pStyle w:val="14"/>
              <w:spacing w:line="288" w:lineRule="auto"/>
              <w:jc w:val="center"/>
              <w:outlineLvl w:val="9"/>
              <w:rPr>
                <w:bCs/>
                <w:iCs/>
                <w:kern w:val="2"/>
                <w:sz w:val="21"/>
                <w:szCs w:val="21"/>
              </w:rPr>
            </w:pPr>
          </w:p>
        </w:tc>
        <w:tc>
          <w:tcPr>
            <w:tcW w:w="1115" w:type="dxa"/>
            <w:vAlign w:val="center"/>
          </w:tcPr>
          <w:p>
            <w:pPr>
              <w:pStyle w:val="14"/>
              <w:spacing w:line="288" w:lineRule="auto"/>
              <w:jc w:val="center"/>
              <w:outlineLvl w:val="9"/>
              <w:rPr>
                <w:bCs/>
                <w:iCs/>
                <w:kern w:val="2"/>
                <w:sz w:val="21"/>
                <w:szCs w:val="21"/>
              </w:rPr>
            </w:pPr>
          </w:p>
        </w:tc>
        <w:tc>
          <w:tcPr>
            <w:tcW w:w="1544" w:type="dxa"/>
            <w:vAlign w:val="center"/>
          </w:tcPr>
          <w:p>
            <w:pPr>
              <w:pStyle w:val="14"/>
              <w:spacing w:line="288" w:lineRule="auto"/>
              <w:jc w:val="center"/>
              <w:outlineLvl w:val="9"/>
              <w:rPr>
                <w:bCs/>
                <w:iCs/>
                <w:kern w:val="2"/>
                <w:szCs w:val="21"/>
              </w:rPr>
            </w:pPr>
          </w:p>
        </w:tc>
      </w:tr>
    </w:tbl>
    <w:p>
      <w:pPr>
        <w:numPr>
          <w:ilvl w:val="0"/>
          <w:numId w:val="0"/>
        </w:numPr>
        <w:spacing w:line="288" w:lineRule="auto"/>
        <w:ind w:leftChars="0"/>
        <w:rPr>
          <w:rFonts w:hint="eastAsia" w:ascii="宋体" w:hAnsi="宋体"/>
          <w:b/>
          <w:kern w:val="0"/>
          <w:sz w:val="24"/>
        </w:rPr>
      </w:pP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建筑及装修材料使用说明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应体现项目使用的各类装饰装修材料的使用部位、用量等信息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污染物浓度预评估分析报告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全装修建筑项目应体现室内甲醛、苯、总挥发性有机物3类进行浓度预评估，非全装修建筑项目符合现行国家标准的有关要求，视为达标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室内污染物检测报告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应包括室内空气污染物浓度检测，要求所抽检房间应涵盖主要功能房间类型，应体现室内氨、氡、甲醛、苯、TVOC、PM10等污染物浓度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禁止吸烟措施说明文件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应明确公共建筑室内和住宅建筑内的公共区域以及建筑出入口的禁烟要求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建筑室内及出入口现场照片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应体现显著、醒目的禁烟标志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414" w:type="dxa"/>
          </w:tcPr>
          <w:p>
            <w:pPr>
              <w:spacing w:line="288" w:lineRule="auto"/>
            </w:pPr>
          </w:p>
        </w:tc>
      </w:tr>
    </w:tbl>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5.1.2 应采取措施避免厨房、餐厅、打印复印室、卫生间、地下车库等区域的空气和污染物串通到其他空间；应防止厨房、卫生间的排气倒灌。</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简要说明避免厨房、餐厅、打印复印室、卫生间、地下车库等区域的空气和污染物串通到其他空间，防止厨房、卫生间的排气倒灌的措施。（200字以内）。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污染源空间的通风设计说明及施工图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应体现对污染源空间和其他空间之间的合理隔断，明确污染源设置在建筑单元自然通风负压侧；设置机械排风时，应明确其风口和排风口的位置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关键设备参数表等设计文件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应体现关键设备的类型、型号和安装位置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气流组织模拟分析报告</w:t>
            </w:r>
          </w:p>
        </w:tc>
        <w:tc>
          <w:tcPr>
            <w:tcW w:w="396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应明确气流组织形式，体现气流流向和均匀度，打印复印室、影像设备房、厨房等特殊功能房间的气流组织设计，室内风环境数值分析报告）</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相关产品性能检测报告或质量合格证书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含有关施工工况的照片或视频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5.1.3 给水排水系统的设置应符合下列规定：1 生活饮用水水质应满足现行国家标准《生活饮用水卫生标准》GB 5749的要求；2 应制定水池、水箱等储水设施定期清洗消毒计划并实施，且生活饮用水储水设施每半年清洗消毒不应少于1次；3 应使用构造内自带水封的便器，且其水封深度不应小于50mm。4 非传统水源管道和设备应设置明确、清晰的永久性标识。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生活饮用水水质</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简要说明生活饮用水水质的常规指标和非常规指标检测情况。（200字以内）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89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生活饮用水水质检测报告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水源（市政供水、自备井水等）、水处理设施出水及最不利用水点的全部常规指标（可用同一水源邻近项目一年以内的水质检测报告代替），已投入使用的项目，尚应查阅项目储水设施清洗消毒管理制度、储水设施清洗消毒工作记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给水排水施工图设计说明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应包含生活饮用水水质的要求、对卫生器具和地漏水封要求的说明</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非传统水源管道和设备标识设置说明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应包括系统名称、流向等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地漏或自带水封便器的产品说明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应体现产品的型号，明确产品的水封深度是否达到50mm</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41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5.1.4 建筑布局合理，主要功能房间与噪声源合理分隔，且建筑声环境质量应符合下列规定：1 主要功能房间的室内噪声级应满足现行国家标准《民用建筑隔声设计规范》（GB 50118）中的低限要求；2 主要功能房间的外墙、隔墙、楼板和门窗的隔声性能应满足现行国家标准《民用建筑隔声设计规范》（GB 50118）中的低限要求；3 建筑服务设备、设施的结构噪声应满足现行国家标准《民用建筑隔声设计规范》（GB 50118）中的低限要求或满足现行国家标准《社会生活环境噪声排放标准》（GB 22337）的限值要求；4 有混响时间和吸声要求的主要功能房间，该性能应满足现行国家标准《民用建筑隔声设计规范》（GB 50118）的要求或该功能房间所属建筑设计规范的要求。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室内噪声级：</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简要说明建筑室内、外噪声源及其传播途径、采用的降噪措施。（200字以内）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主要功能房间室内噪声级列表：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1713"/>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pPr>
              <w:pStyle w:val="14"/>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pPr>
              <w:pStyle w:val="14"/>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gridSpan w:val="2"/>
            <w:vAlign w:val="center"/>
          </w:tcPr>
          <w:p>
            <w:pPr>
              <w:pStyle w:val="14"/>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pPr>
              <w:pStyle w:val="14"/>
              <w:spacing w:line="288" w:lineRule="auto"/>
              <w:jc w:val="center"/>
              <w:outlineLvl w:val="9"/>
              <w:rPr>
                <w:b/>
                <w:bCs/>
                <w:kern w:val="2"/>
                <w:szCs w:val="21"/>
              </w:rPr>
            </w:pPr>
          </w:p>
        </w:tc>
        <w:tc>
          <w:tcPr>
            <w:tcW w:w="2756" w:type="dxa"/>
            <w:vMerge w:val="continue"/>
            <w:vAlign w:val="center"/>
          </w:tcPr>
          <w:p>
            <w:pPr>
              <w:pStyle w:val="14"/>
              <w:spacing w:line="288" w:lineRule="auto"/>
              <w:jc w:val="center"/>
              <w:outlineLvl w:val="9"/>
              <w:rPr>
                <w:b/>
                <w:bCs/>
                <w:kern w:val="2"/>
                <w:szCs w:val="21"/>
              </w:rPr>
            </w:pPr>
          </w:p>
        </w:tc>
        <w:tc>
          <w:tcPr>
            <w:tcW w:w="1713" w:type="dxa"/>
            <w:vAlign w:val="center"/>
          </w:tcPr>
          <w:p>
            <w:pPr>
              <w:pStyle w:val="14"/>
              <w:spacing w:line="288" w:lineRule="auto"/>
              <w:jc w:val="center"/>
              <w:outlineLvl w:val="9"/>
              <w:rPr>
                <w:b/>
                <w:bCs/>
                <w:kern w:val="2"/>
                <w:szCs w:val="21"/>
              </w:rPr>
            </w:pPr>
            <w:r>
              <w:rPr>
                <w:rFonts w:hint="eastAsia"/>
                <w:b/>
                <w:bCs/>
                <w:kern w:val="2"/>
                <w:sz w:val="21"/>
                <w:szCs w:val="21"/>
              </w:rPr>
              <w:t>低限要求</w:t>
            </w:r>
          </w:p>
        </w:tc>
        <w:tc>
          <w:tcPr>
            <w:tcW w:w="1713" w:type="dxa"/>
            <w:vAlign w:val="center"/>
          </w:tcPr>
          <w:p>
            <w:pPr>
              <w:pStyle w:val="14"/>
              <w:spacing w:line="288" w:lineRule="auto"/>
              <w:jc w:val="center"/>
              <w:outlineLvl w:val="9"/>
              <w:rPr>
                <w:b/>
                <w:bCs/>
                <w:kern w:val="2"/>
                <w:szCs w:val="21"/>
              </w:rPr>
            </w:pPr>
            <w:r>
              <w:rPr>
                <w:rFonts w:hint="eastAsia"/>
                <w:b/>
                <w:bCs/>
                <w:kern w:val="2"/>
                <w:sz w:val="21"/>
                <w:szCs w:val="21"/>
              </w:rPr>
              <w:t>高标准要求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c>
          <w:tcPr>
            <w:tcW w:w="1713" w:type="dxa"/>
            <w:vAlign w:val="center"/>
          </w:tcPr>
          <w:p>
            <w:pPr>
              <w:pStyle w:val="14"/>
              <w:spacing w:line="288" w:lineRule="auto"/>
              <w:jc w:val="center"/>
              <w:outlineLvl w:val="9"/>
              <w:rPr>
                <w:bCs/>
                <w:iCs/>
                <w:kern w:val="2"/>
                <w:sz w:val="21"/>
                <w:szCs w:val="21"/>
              </w:rPr>
            </w:pPr>
          </w:p>
        </w:tc>
      </w:tr>
    </w:tbl>
    <w:p>
      <w:pPr>
        <w:spacing w:line="288" w:lineRule="auto"/>
        <w:rPr>
          <w:rFonts w:ascii="宋体" w:hAnsi="宋体"/>
          <w:b/>
          <w:kern w:val="0"/>
          <w:sz w:val="24"/>
        </w:rPr>
      </w:pP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构件隔声性能：</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简要说明建筑围护结构的构造做法、采用的隔声措施。（200字以内）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主要功能房间围护结构的空气声隔声性能列表：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3310" w:type="dxa"/>
            <w:vAlign w:val="center"/>
          </w:tcPr>
          <w:p>
            <w:pPr>
              <w:pStyle w:val="14"/>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9" w:type="dxa"/>
            <w:vMerge w:val="continue"/>
            <w:vAlign w:val="center"/>
          </w:tcPr>
          <w:p>
            <w:pPr>
              <w:pStyle w:val="14"/>
              <w:spacing w:line="288" w:lineRule="auto"/>
              <w:jc w:val="center"/>
              <w:outlineLvl w:val="9"/>
              <w:rPr>
                <w:b/>
                <w:bCs/>
                <w:kern w:val="2"/>
                <w:sz w:val="21"/>
                <w:szCs w:val="21"/>
              </w:rPr>
            </w:pPr>
          </w:p>
        </w:tc>
        <w:tc>
          <w:tcPr>
            <w:tcW w:w="3310" w:type="dxa"/>
            <w:vAlign w:val="center"/>
          </w:tcPr>
          <w:p>
            <w:pPr>
              <w:pStyle w:val="14"/>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3310" w:type="dxa"/>
            <w:vAlign w:val="center"/>
          </w:tcPr>
          <w:p>
            <w:pPr>
              <w:pStyle w:val="14"/>
              <w:spacing w:line="288" w:lineRule="auto"/>
              <w:jc w:val="center"/>
              <w:outlineLvl w:val="9"/>
              <w:rPr>
                <w:bCs/>
                <w:iCs/>
                <w:kern w:val="2"/>
                <w:sz w:val="21"/>
                <w:szCs w:val="21"/>
              </w:rPr>
            </w:pPr>
          </w:p>
        </w:tc>
      </w:tr>
    </w:tbl>
    <w:p>
      <w:pPr>
        <w:spacing w:line="288" w:lineRule="auto"/>
        <w:rPr>
          <w:szCs w:val="21"/>
          <w:lang w:val="zh-CN"/>
        </w:rPr>
      </w:pP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主要功能房间楼板的撞击声隔声性能列表：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pPr>
              <w:pStyle w:val="14"/>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3312" w:type="dxa"/>
            <w:vAlign w:val="center"/>
          </w:tcPr>
          <w:p>
            <w:pPr>
              <w:pStyle w:val="14"/>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7" w:type="dxa"/>
            <w:vMerge w:val="continue"/>
            <w:vAlign w:val="center"/>
          </w:tcPr>
          <w:p>
            <w:pPr>
              <w:pStyle w:val="14"/>
              <w:spacing w:line="288" w:lineRule="auto"/>
              <w:jc w:val="center"/>
              <w:outlineLvl w:val="9"/>
              <w:rPr>
                <w:b/>
                <w:bCs/>
                <w:kern w:val="2"/>
                <w:sz w:val="21"/>
                <w:szCs w:val="21"/>
              </w:rPr>
            </w:pPr>
          </w:p>
        </w:tc>
        <w:tc>
          <w:tcPr>
            <w:tcW w:w="3312" w:type="dxa"/>
            <w:vAlign w:val="center"/>
          </w:tcPr>
          <w:p>
            <w:pPr>
              <w:pStyle w:val="14"/>
              <w:spacing w:line="288" w:lineRule="auto"/>
              <w:jc w:val="center"/>
              <w:outlineLvl w:val="9"/>
              <w:rPr>
                <w:b/>
                <w:bCs/>
                <w:kern w:val="2"/>
                <w:sz w:val="21"/>
                <w:szCs w:val="21"/>
              </w:rPr>
            </w:pPr>
            <w:r>
              <w:rPr>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3312"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3312"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3312"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3312"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3312" w:type="dxa"/>
            <w:vAlign w:val="center"/>
          </w:tcPr>
          <w:p>
            <w:pPr>
              <w:pStyle w:val="14"/>
              <w:spacing w:line="288" w:lineRule="auto"/>
              <w:jc w:val="center"/>
              <w:outlineLvl w:val="9"/>
              <w:rPr>
                <w:bCs/>
                <w:iCs/>
                <w:kern w:val="2"/>
                <w:szCs w:val="21"/>
              </w:rPr>
            </w:pPr>
          </w:p>
        </w:tc>
      </w:tr>
    </w:tbl>
    <w:p>
      <w:pPr>
        <w:numPr>
          <w:ilvl w:val="0"/>
          <w:numId w:val="0"/>
        </w:numPr>
        <w:spacing w:line="288" w:lineRule="auto"/>
        <w:ind w:leftChars="0"/>
        <w:rPr>
          <w:rFonts w:hint="eastAsia" w:ascii="宋体" w:hAnsi="宋体"/>
          <w:b/>
          <w:kern w:val="0"/>
          <w:sz w:val="24"/>
        </w:rPr>
      </w:pP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应体现场地内交通干道布置，建筑（群）与周边道路及其他噪声源的距离，噪声源与噪声敏感房间的布置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声环境专项设计报告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应重点审核基于环评报告室外噪声要求对室内的北京噪声影响（也包括室内噪声源影响）的分析报告以及在图纸上的落实情况，含室内噪声计算报告</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围护结构的构造说明、大样图纸</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主要构件隔声性能分析报告或主要构件隔声性能的实验室检测报告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应包含空气隔声性能和撞击声隔声性能两种类型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室内噪声检测报告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6" w:hRule="atLeast"/>
          <w:jc w:val="center"/>
        </w:trPr>
        <w:tc>
          <w:tcPr>
            <w:tcW w:w="8414" w:type="dxa"/>
          </w:tcPr>
          <w:p>
            <w:pPr>
              <w:spacing w:line="288" w:lineRule="auto"/>
            </w:pPr>
          </w:p>
        </w:tc>
      </w:tr>
    </w:tbl>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rPr>
          <w:rFonts w:hint="eastAsia"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5.1.5 建筑照明应符合下列规定：1 照明数量和质量应符合现行国家标准《建筑照明设计标准》（GB 50034）的规定；2 人员长期停留的场所应采用符合现行国家标准《灯和灯系统的光生物安全性》（GB/T 20145）规定的无危险类照明产品；3 选用LED照明产品的光输出波形的波动深度应满足现行国家标准《LED室内照明应用技术要求》（GB/T 31831）的规定。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照明数量质量：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31"/>
        <w:gridCol w:w="871"/>
        <w:gridCol w:w="937"/>
        <w:gridCol w:w="876"/>
        <w:gridCol w:w="931"/>
        <w:gridCol w:w="871"/>
        <w:gridCol w:w="93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restart"/>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房间</w:t>
            </w:r>
            <w:r>
              <w:rPr>
                <w:rFonts w:hint="eastAsia"/>
                <w:b/>
                <w:bCs/>
                <w:kern w:val="2"/>
                <w:sz w:val="21"/>
                <w:szCs w:val="21"/>
              </w:rPr>
              <w:t>或场所</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照度（lx）</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统一眩光值</w:t>
            </w:r>
            <w:r>
              <w:rPr>
                <w:b/>
                <w:bCs/>
                <w:i/>
                <w:kern w:val="2"/>
                <w:sz w:val="21"/>
                <w:szCs w:val="21"/>
              </w:rPr>
              <w:t>UGR</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照度均匀度</w:t>
            </w:r>
            <w:r>
              <w:rPr>
                <w:b/>
                <w:bCs/>
                <w:i/>
                <w:kern w:val="2"/>
                <w:sz w:val="21"/>
                <w:szCs w:val="21"/>
              </w:rPr>
              <w:t>U</w:t>
            </w:r>
            <w:r>
              <w:rPr>
                <w:b/>
                <w:bCs/>
                <w:i/>
                <w:kern w:val="2"/>
                <w:sz w:val="21"/>
                <w:szCs w:val="21"/>
                <w:vertAlign w:val="subscript"/>
              </w:rPr>
              <w:t>0</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一般显色指数</w:t>
            </w:r>
            <w:r>
              <w:rPr>
                <w:b/>
                <w:bCs/>
                <w:i/>
                <w:kern w:val="2"/>
                <w:sz w:val="21"/>
                <w:szCs w:val="21"/>
              </w:rPr>
              <w:t>R</w:t>
            </w:r>
            <w:r>
              <w:rPr>
                <w:b/>
                <w:bCs/>
                <w:i/>
                <w:kern w:val="2"/>
                <w:sz w:val="21"/>
                <w:szCs w:val="21"/>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设计值</w:t>
            </w:r>
          </w:p>
          <w:p>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243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建筑照明设计文件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功能房间照度值、统一眩光值、照度均匀度和一般显色指数等，以及灯具布置与光源选型要求，并与设计图纸相吻合；对于图纸中只预留照明配电系统的情况，设计说明中要对灯具选型提出具体的要求，包括灯具配件、配线器材以及调光控制设备、调光器件、功率、光通量，并核算照度和照明功率密度是否达标；应体现照明控制原则</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应包括现在照度、照度均匀度、显色指数、炫光等指标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产品说明书及产品检测报告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应包括灯具光度、色度、光生物安全及频闪等指标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pPr>
              <w:spacing w:line="288" w:lineRule="auto"/>
            </w:pPr>
          </w:p>
        </w:tc>
      </w:tr>
    </w:tbl>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5.1.6 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□集中供暖空调系统的建筑</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暖通设计参数</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主要功能房间室内设计温湿度：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restart"/>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房间类型</w:t>
            </w:r>
          </w:p>
        </w:tc>
        <w:tc>
          <w:tcPr>
            <w:tcW w:w="3688" w:type="dxa"/>
            <w:gridSpan w:val="4"/>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温度（℃）</w:t>
            </w:r>
          </w:p>
        </w:tc>
        <w:tc>
          <w:tcPr>
            <w:tcW w:w="3683" w:type="dxa"/>
            <w:gridSpan w:val="4"/>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相对湿度（％）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right w:val="single" w:color="auto" w:sz="4" w:space="0"/>
            </w:tcBorders>
            <w:vAlign w:val="center"/>
          </w:tcPr>
          <w:p>
            <w:pPr>
              <w:pStyle w:val="14"/>
              <w:spacing w:line="288" w:lineRule="auto"/>
              <w:jc w:val="center"/>
              <w:outlineLvl w:val="9"/>
              <w:rPr>
                <w:b/>
                <w:bCs/>
                <w:kern w:val="2"/>
                <w:szCs w:val="21"/>
              </w:rPr>
            </w:pPr>
          </w:p>
        </w:tc>
        <w:tc>
          <w:tcPr>
            <w:tcW w:w="1844"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夏季空调</w:t>
            </w:r>
          </w:p>
        </w:tc>
        <w:tc>
          <w:tcPr>
            <w:tcW w:w="1844"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冬季采暖</w:t>
            </w:r>
          </w:p>
        </w:tc>
        <w:tc>
          <w:tcPr>
            <w:tcW w:w="1844"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夏季空调</w:t>
            </w:r>
          </w:p>
        </w:tc>
        <w:tc>
          <w:tcPr>
            <w:tcW w:w="1839"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冬季采暖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917"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bl>
    <w:p>
      <w:pPr>
        <w:spacing w:line="288" w:lineRule="auto"/>
        <w:rPr>
          <w:szCs w:val="21"/>
          <w:lang w:val="zh-CN"/>
        </w:rPr>
      </w:pP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主要功能房间室内设计新风量：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47"/>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restart"/>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房间类型</w:t>
            </w:r>
          </w:p>
        </w:tc>
        <w:tc>
          <w:tcPr>
            <w:tcW w:w="2347" w:type="dxa"/>
            <w:vMerge w:val="restart"/>
            <w:tcBorders>
              <w:top w:val="single" w:color="auto" w:sz="4" w:space="0"/>
              <w:left w:val="single" w:color="auto" w:sz="4" w:space="0"/>
              <w:right w:val="single" w:color="auto" w:sz="4" w:space="0"/>
            </w:tcBorders>
            <w:vAlign w:val="center"/>
          </w:tcPr>
          <w:p>
            <w:pPr>
              <w:pStyle w:val="14"/>
              <w:spacing w:line="288" w:lineRule="auto"/>
              <w:jc w:val="center"/>
              <w:rPr>
                <w:b/>
                <w:bCs/>
                <w:kern w:val="2"/>
                <w:sz w:val="21"/>
                <w:szCs w:val="21"/>
              </w:rPr>
            </w:pPr>
            <w:r>
              <w:rPr>
                <w:rFonts w:hint="eastAsia"/>
                <w:b/>
                <w:bCs/>
                <w:kern w:val="2"/>
                <w:sz w:val="21"/>
                <w:szCs w:val="21"/>
              </w:rPr>
              <w:t>人员密度（人/m</w:t>
            </w:r>
            <w:r>
              <w:rPr>
                <w:b/>
                <w:bCs/>
                <w:kern w:val="2"/>
                <w:sz w:val="21"/>
                <w:szCs w:val="21"/>
                <w:vertAlign w:val="superscript"/>
              </w:rPr>
              <w:t>2</w:t>
            </w:r>
            <w:r>
              <w:rPr>
                <w:rFonts w:hint="eastAsia"/>
                <w:b/>
                <w:bCs/>
                <w:kern w:val="2"/>
                <w:sz w:val="21"/>
                <w:szCs w:val="21"/>
              </w:rPr>
              <w:t>）</w:t>
            </w:r>
          </w:p>
        </w:tc>
        <w:tc>
          <w:tcPr>
            <w:tcW w:w="4016" w:type="dxa"/>
            <w:gridSpan w:val="2"/>
            <w:tcBorders>
              <w:top w:val="single" w:color="auto" w:sz="4" w:space="0"/>
              <w:left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新风量[m</w:t>
            </w:r>
            <w:r>
              <w:rPr>
                <w:b/>
                <w:bCs/>
                <w:kern w:val="2"/>
                <w:sz w:val="21"/>
                <w:szCs w:val="21"/>
                <w:vertAlign w:val="superscript"/>
              </w:rPr>
              <w:t>3</w:t>
            </w:r>
            <w:r>
              <w:rPr>
                <w:b/>
                <w:bCs/>
                <w:kern w:val="2"/>
                <w:sz w:val="21"/>
                <w:szCs w:val="21"/>
              </w:rPr>
              <w:t>/(h</w:t>
            </w:r>
            <w:r>
              <w:rPr>
                <w:rFonts w:hint="eastAsia"/>
                <w:b/>
                <w:bCs/>
                <w:kern w:val="2"/>
                <w:sz w:val="21"/>
                <w:szCs w:val="21"/>
              </w:rPr>
              <w:t>·人</w:t>
            </w:r>
            <w:r>
              <w:rPr>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continue"/>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p>
        </w:tc>
        <w:tc>
          <w:tcPr>
            <w:tcW w:w="2347" w:type="dxa"/>
            <w:vMerge w:val="continue"/>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p>
        </w:tc>
        <w:tc>
          <w:tcPr>
            <w:tcW w:w="2008"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设计值</w:t>
            </w:r>
          </w:p>
        </w:tc>
        <w:tc>
          <w:tcPr>
            <w:tcW w:w="2008" w:type="dxa"/>
            <w:tcBorders>
              <w:left w:val="single" w:color="auto" w:sz="4" w:space="0"/>
              <w:bottom w:val="single" w:color="auto" w:sz="4" w:space="0"/>
              <w:right w:val="single" w:color="auto" w:sz="4" w:space="0"/>
            </w:tcBorders>
            <w:vAlign w:val="center"/>
          </w:tcPr>
          <w:p>
            <w:pPr>
              <w:pStyle w:val="14"/>
              <w:spacing w:line="288" w:lineRule="auto"/>
              <w:jc w:val="center"/>
              <w:outlineLvl w:val="9"/>
              <w:rPr>
                <w:b/>
                <w:bCs/>
                <w:kern w:val="2"/>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注：对于设置分体空调、多联机的建筑或功能房间（一般应为建筑外区），如果具备开窗通风条件或设置了排气扇，不要求独立设置新风系统</w:t>
      </w:r>
    </w:p>
    <w:p>
      <w:pPr>
        <w:spacing w:line="360" w:lineRule="auto"/>
        <w:ind w:left="210" w:leftChars="100" w:firstLine="0" w:firstLineChars="0"/>
        <w:rPr>
          <w:rFonts w:hint="eastAsia" w:ascii="Times New Roman" w:hAnsi="Times New Roman" w:eastAsia="宋体" w:cs="Times New Roman"/>
          <w:bCs/>
          <w:color w:val="000000"/>
          <w:szCs w:val="24"/>
          <w:lang w:val="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□非集中供暖空调系统的建筑</w:t>
      </w:r>
    </w:p>
    <w:p>
      <w:pPr>
        <w:spacing w:line="360" w:lineRule="auto"/>
        <w:ind w:left="210" w:leftChars="100" w:firstLine="0" w:firstLineChars="0"/>
        <w:rPr>
          <w:szCs w:val="21"/>
          <w:lang w:val="zh-CN"/>
        </w:rPr>
      </w:pPr>
      <w:r>
        <w:rPr>
          <w:rFonts w:hint="eastAsia" w:ascii="Times New Roman" w:hAnsi="Times New Roman" w:eastAsia="宋体" w:cs="Times New Roman"/>
          <w:bCs/>
          <w:color w:val="000000"/>
          <w:szCs w:val="24"/>
          <w:lang w:val="zh-CN"/>
        </w:rPr>
        <w:t>对于采用非集中供暖空调系统的建筑，简要说明保障室内热环境的措施或预留条件。（200字以内）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应对集中供暖空调系统的室内设计参数进行说明，包括房间内的温度、湿度、新风量等以及参照的设计标准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21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典型房间空调使用期间室内温湿度检测报告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测试参数应包括但不限于空气干球温度、空气相对湿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216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典型房间空调使用期间室内二氧化碳浓度检测报告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检测方法应采用不分光红外线气体分析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6" w:hRule="atLeast"/>
          <w:jc w:val="center"/>
        </w:trPr>
        <w:tc>
          <w:tcPr>
            <w:tcW w:w="841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5.1.7 围护结构热工性能应符合下列规定：1 在室内设计温度、湿度条件下，建筑非透光围护结构内表面不得结露；2 供暖建筑的屋面、外墙内部不应产生冷凝；3 屋顶和外墙隔热性能应满足现行国家标准《民用建筑热工设计规范》GB 50176的要求。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内表面结露：</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项目所在地冬季室外计算温度：____℃</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简要说明防结露、防潮措施。（200字以内）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22" w:type="dxa"/>
          </w:tcPr>
          <w:p>
            <w:pPr>
              <w:spacing w:line="288" w:lineRule="auto"/>
              <w:rPr>
                <w:szCs w:val="21"/>
              </w:rPr>
            </w:pPr>
          </w:p>
        </w:tc>
      </w:tr>
    </w:tbl>
    <w:p>
      <w:pPr>
        <w:spacing w:line="288" w:lineRule="auto"/>
        <w:rPr>
          <w:szCs w:val="21"/>
          <w:lang w:val="zh-CN"/>
        </w:rPr>
      </w:pPr>
      <w:r>
        <w:rPr>
          <w:rFonts w:hint="eastAsia"/>
          <w:szCs w:val="21"/>
          <w:lang w:val="zh-CN"/>
        </w:rPr>
        <w:t>设计工况下围护结构内表面温度计算列表：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20"/>
        <w:gridCol w:w="2192"/>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6" w:type="dxa"/>
            <w:vAlign w:val="center"/>
          </w:tcPr>
          <w:p>
            <w:pPr>
              <w:pStyle w:val="14"/>
              <w:spacing w:line="288" w:lineRule="auto"/>
              <w:jc w:val="center"/>
              <w:outlineLvl w:val="9"/>
              <w:rPr>
                <w:b/>
                <w:bCs/>
                <w:kern w:val="2"/>
                <w:sz w:val="21"/>
                <w:szCs w:val="21"/>
              </w:rPr>
            </w:pPr>
            <w:r>
              <w:rPr>
                <w:rFonts w:hint="eastAsia"/>
                <w:b/>
                <w:bCs/>
                <w:kern w:val="2"/>
                <w:sz w:val="21"/>
                <w:szCs w:val="21"/>
              </w:rPr>
              <w:t>围护结构类型</w:t>
            </w:r>
          </w:p>
        </w:tc>
        <w:tc>
          <w:tcPr>
            <w:tcW w:w="2920" w:type="dxa"/>
            <w:vAlign w:val="center"/>
          </w:tcPr>
          <w:p>
            <w:pPr>
              <w:pStyle w:val="14"/>
              <w:spacing w:line="288" w:lineRule="auto"/>
              <w:jc w:val="center"/>
              <w:outlineLvl w:val="9"/>
              <w:rPr>
                <w:b/>
                <w:bCs/>
                <w:kern w:val="2"/>
                <w:sz w:val="21"/>
                <w:szCs w:val="21"/>
              </w:rPr>
            </w:pPr>
            <w:r>
              <w:rPr>
                <w:rFonts w:hint="eastAsia"/>
                <w:b/>
                <w:bCs/>
                <w:kern w:val="2"/>
                <w:sz w:val="21"/>
                <w:szCs w:val="21"/>
              </w:rPr>
              <w:t>设计工况下的内表面温度</w:t>
            </w:r>
          </w:p>
          <w:p>
            <w:pPr>
              <w:pStyle w:val="14"/>
              <w:spacing w:line="288" w:lineRule="auto"/>
              <w:jc w:val="center"/>
              <w:outlineLvl w:val="9"/>
              <w:rPr>
                <w:b/>
                <w:bCs/>
                <w:kern w:val="2"/>
                <w:sz w:val="21"/>
                <w:szCs w:val="21"/>
              </w:rPr>
            </w:pPr>
            <w:r>
              <w:rPr>
                <w:rFonts w:hint="eastAsia"/>
                <w:b/>
                <w:bCs/>
                <w:kern w:val="2"/>
                <w:sz w:val="21"/>
                <w:szCs w:val="21"/>
              </w:rPr>
              <w:t>（℃）</w:t>
            </w:r>
          </w:p>
        </w:tc>
        <w:tc>
          <w:tcPr>
            <w:tcW w:w="2192" w:type="dxa"/>
            <w:vAlign w:val="center"/>
          </w:tcPr>
          <w:p>
            <w:pPr>
              <w:pStyle w:val="14"/>
              <w:spacing w:line="288" w:lineRule="auto"/>
              <w:jc w:val="center"/>
              <w:outlineLvl w:val="9"/>
              <w:rPr>
                <w:b/>
                <w:bCs/>
                <w:kern w:val="2"/>
                <w:sz w:val="21"/>
                <w:szCs w:val="21"/>
              </w:rPr>
            </w:pPr>
            <w:r>
              <w:rPr>
                <w:rFonts w:hint="eastAsia"/>
                <w:b/>
                <w:bCs/>
                <w:kern w:val="2"/>
                <w:sz w:val="21"/>
                <w:szCs w:val="21"/>
              </w:rPr>
              <w:t>室内空气露点温度</w:t>
            </w:r>
          </w:p>
          <w:p>
            <w:pPr>
              <w:pStyle w:val="14"/>
              <w:spacing w:line="288" w:lineRule="auto"/>
              <w:jc w:val="center"/>
              <w:outlineLvl w:val="9"/>
              <w:rPr>
                <w:b/>
                <w:bCs/>
                <w:kern w:val="2"/>
                <w:sz w:val="21"/>
                <w:szCs w:val="21"/>
              </w:rPr>
            </w:pPr>
            <w:r>
              <w:rPr>
                <w:rFonts w:hint="eastAsia"/>
                <w:b/>
                <w:bCs/>
                <w:kern w:val="2"/>
                <w:sz w:val="21"/>
                <w:szCs w:val="21"/>
              </w:rPr>
              <w:t>（℃）</w:t>
            </w:r>
          </w:p>
        </w:tc>
        <w:tc>
          <w:tcPr>
            <w:tcW w:w="1704" w:type="dxa"/>
            <w:vAlign w:val="center"/>
          </w:tcPr>
          <w:p>
            <w:pPr>
              <w:pStyle w:val="14"/>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pPr>
              <w:pStyle w:val="14"/>
              <w:spacing w:line="288" w:lineRule="auto"/>
              <w:jc w:val="center"/>
              <w:outlineLvl w:val="9"/>
              <w:rPr>
                <w:bCs/>
                <w:iCs/>
                <w:kern w:val="2"/>
                <w:sz w:val="21"/>
                <w:szCs w:val="21"/>
              </w:rPr>
            </w:pPr>
          </w:p>
        </w:tc>
        <w:tc>
          <w:tcPr>
            <w:tcW w:w="2920" w:type="dxa"/>
            <w:vAlign w:val="center"/>
          </w:tcPr>
          <w:p>
            <w:pPr>
              <w:pStyle w:val="14"/>
              <w:spacing w:line="288" w:lineRule="auto"/>
              <w:jc w:val="center"/>
              <w:outlineLvl w:val="9"/>
              <w:rPr>
                <w:bCs/>
                <w:iCs/>
                <w:kern w:val="2"/>
                <w:sz w:val="21"/>
                <w:szCs w:val="21"/>
              </w:rPr>
            </w:pPr>
          </w:p>
        </w:tc>
        <w:tc>
          <w:tcPr>
            <w:tcW w:w="2192" w:type="dxa"/>
            <w:vAlign w:val="center"/>
          </w:tcPr>
          <w:p>
            <w:pPr>
              <w:pStyle w:val="14"/>
              <w:spacing w:line="288" w:lineRule="auto"/>
              <w:jc w:val="center"/>
              <w:outlineLvl w:val="9"/>
              <w:rPr>
                <w:bCs/>
                <w:iCs/>
                <w:kern w:val="2"/>
                <w:sz w:val="21"/>
                <w:szCs w:val="21"/>
              </w:rPr>
            </w:pPr>
          </w:p>
        </w:tc>
        <w:tc>
          <w:tcPr>
            <w:tcW w:w="1704" w:type="dxa"/>
            <w:vAlign w:val="center"/>
          </w:tcPr>
          <w:p>
            <w:pPr>
              <w:pStyle w:val="14"/>
              <w:spacing w:line="288" w:lineRule="auto"/>
              <w:jc w:val="center"/>
              <w:outlineLvl w:val="9"/>
              <w:rPr>
                <w:bCs/>
                <w:iCs/>
                <w:kern w:val="2"/>
                <w:sz w:val="21"/>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外表面冷凝：</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简要说明防冷凝措施。（200字以内）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内表面温度：</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简要说明隔热措施。（200字以内）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22" w:type="dxa"/>
          </w:tcPr>
          <w:p>
            <w:pPr>
              <w:spacing w:line="288" w:lineRule="auto"/>
              <w:rPr>
                <w:szCs w:val="21"/>
              </w:rPr>
            </w:pPr>
          </w:p>
        </w:tc>
      </w:tr>
    </w:tbl>
    <w:p>
      <w:pPr>
        <w:spacing w:line="288" w:lineRule="auto"/>
        <w:rPr>
          <w:szCs w:val="21"/>
          <w:lang w:val="zh-CN"/>
        </w:rPr>
      </w:pPr>
      <w:r>
        <w:rPr>
          <w:rFonts w:hint="eastAsia" w:ascii="Times New Roman" w:hAnsi="Times New Roman" w:eastAsia="宋体" w:cs="Times New Roman"/>
          <w:bCs/>
          <w:color w:val="000000"/>
          <w:szCs w:val="24"/>
          <w:lang w:val="zh-CN"/>
        </w:rPr>
        <w:t>在自然通风条件下建筑物屋顶和东西外墙的内表面温度计算列表：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56"/>
        <w:gridCol w:w="225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55" w:type="dxa"/>
            <w:vAlign w:val="center"/>
          </w:tcPr>
          <w:p>
            <w:pPr>
              <w:pStyle w:val="14"/>
              <w:spacing w:line="288" w:lineRule="auto"/>
              <w:jc w:val="center"/>
              <w:outlineLvl w:val="9"/>
              <w:rPr>
                <w:b/>
                <w:bCs/>
                <w:kern w:val="2"/>
                <w:sz w:val="21"/>
                <w:szCs w:val="21"/>
              </w:rPr>
            </w:pPr>
            <w:r>
              <w:rPr>
                <w:rFonts w:hint="eastAsia"/>
                <w:b/>
                <w:bCs/>
                <w:kern w:val="2"/>
                <w:sz w:val="21"/>
                <w:szCs w:val="21"/>
              </w:rPr>
              <w:t>围护结构类型</w:t>
            </w:r>
          </w:p>
        </w:tc>
        <w:tc>
          <w:tcPr>
            <w:tcW w:w="2756" w:type="dxa"/>
            <w:vAlign w:val="center"/>
          </w:tcPr>
          <w:p>
            <w:pPr>
              <w:pStyle w:val="14"/>
              <w:spacing w:line="288" w:lineRule="auto"/>
              <w:jc w:val="center"/>
              <w:outlineLvl w:val="9"/>
              <w:rPr>
                <w:b/>
                <w:bCs/>
                <w:kern w:val="2"/>
                <w:sz w:val="21"/>
                <w:szCs w:val="21"/>
              </w:rPr>
            </w:pPr>
            <w:r>
              <w:rPr>
                <w:rFonts w:hint="eastAsia"/>
                <w:b/>
                <w:bCs/>
                <w:kern w:val="2"/>
                <w:sz w:val="21"/>
                <w:szCs w:val="21"/>
              </w:rPr>
              <w:t>自然通风条件下内表面</w:t>
            </w:r>
          </w:p>
          <w:p>
            <w:pPr>
              <w:pStyle w:val="14"/>
              <w:spacing w:line="288" w:lineRule="auto"/>
              <w:jc w:val="center"/>
              <w:outlineLvl w:val="9"/>
              <w:rPr>
                <w:b/>
                <w:bCs/>
                <w:kern w:val="2"/>
                <w:sz w:val="21"/>
                <w:szCs w:val="21"/>
              </w:rPr>
            </w:pPr>
            <w:r>
              <w:rPr>
                <w:rFonts w:hint="eastAsia"/>
                <w:b/>
                <w:bCs/>
                <w:kern w:val="2"/>
                <w:sz w:val="21"/>
                <w:szCs w:val="21"/>
              </w:rPr>
              <w:t>最高温度（℃）</w:t>
            </w:r>
          </w:p>
        </w:tc>
        <w:tc>
          <w:tcPr>
            <w:tcW w:w="2255" w:type="dxa"/>
            <w:vAlign w:val="center"/>
          </w:tcPr>
          <w:p>
            <w:pPr>
              <w:pStyle w:val="14"/>
              <w:spacing w:line="288" w:lineRule="auto"/>
              <w:jc w:val="center"/>
              <w:outlineLvl w:val="9"/>
              <w:rPr>
                <w:b/>
                <w:bCs/>
                <w:kern w:val="2"/>
                <w:sz w:val="21"/>
                <w:szCs w:val="21"/>
              </w:rPr>
            </w:pPr>
            <w:r>
              <w:rPr>
                <w:rFonts w:hint="eastAsia"/>
                <w:b/>
                <w:bCs/>
                <w:kern w:val="2"/>
                <w:sz w:val="21"/>
                <w:szCs w:val="21"/>
              </w:rPr>
              <w:t>夏季室外计算温度</w:t>
            </w:r>
          </w:p>
          <w:p>
            <w:pPr>
              <w:pStyle w:val="14"/>
              <w:spacing w:line="288" w:lineRule="auto"/>
              <w:jc w:val="center"/>
              <w:outlineLvl w:val="9"/>
              <w:rPr>
                <w:b/>
                <w:bCs/>
                <w:kern w:val="2"/>
                <w:sz w:val="21"/>
                <w:szCs w:val="21"/>
              </w:rPr>
            </w:pPr>
            <w:r>
              <w:rPr>
                <w:rFonts w:hint="eastAsia"/>
                <w:b/>
                <w:bCs/>
                <w:kern w:val="2"/>
                <w:sz w:val="21"/>
                <w:szCs w:val="21"/>
              </w:rPr>
              <w:t>最高值（℃）</w:t>
            </w:r>
          </w:p>
        </w:tc>
        <w:tc>
          <w:tcPr>
            <w:tcW w:w="1756" w:type="dxa"/>
            <w:vAlign w:val="center"/>
          </w:tcPr>
          <w:p>
            <w:pPr>
              <w:pStyle w:val="14"/>
              <w:spacing w:line="288" w:lineRule="auto"/>
              <w:jc w:val="center"/>
              <w:outlineLvl w:val="9"/>
              <w:rPr>
                <w:b/>
                <w:bCs/>
                <w:kern w:val="2"/>
                <w:sz w:val="21"/>
                <w:szCs w:val="21"/>
              </w:rPr>
            </w:pPr>
            <w:r>
              <w:rPr>
                <w:rFonts w:hint="eastAsia"/>
                <w:b/>
                <w:bCs/>
                <w:kern w:val="2"/>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pPr>
              <w:pStyle w:val="14"/>
              <w:spacing w:line="288" w:lineRule="auto"/>
              <w:jc w:val="center"/>
              <w:outlineLvl w:val="9"/>
              <w:rPr>
                <w:bCs/>
                <w:iCs/>
                <w:kern w:val="2"/>
                <w:sz w:val="21"/>
                <w:szCs w:val="21"/>
              </w:rPr>
            </w:pPr>
          </w:p>
        </w:tc>
        <w:tc>
          <w:tcPr>
            <w:tcW w:w="2756" w:type="dxa"/>
            <w:vAlign w:val="center"/>
          </w:tcPr>
          <w:p>
            <w:pPr>
              <w:pStyle w:val="14"/>
              <w:spacing w:line="288" w:lineRule="auto"/>
              <w:jc w:val="center"/>
              <w:outlineLvl w:val="9"/>
              <w:rPr>
                <w:bCs/>
                <w:iCs/>
                <w:kern w:val="2"/>
                <w:sz w:val="21"/>
                <w:szCs w:val="21"/>
              </w:rPr>
            </w:pPr>
          </w:p>
        </w:tc>
        <w:tc>
          <w:tcPr>
            <w:tcW w:w="2255" w:type="dxa"/>
            <w:vAlign w:val="center"/>
          </w:tcPr>
          <w:p>
            <w:pPr>
              <w:pStyle w:val="14"/>
              <w:spacing w:line="288" w:lineRule="auto"/>
              <w:jc w:val="center"/>
              <w:outlineLvl w:val="9"/>
              <w:rPr>
                <w:bCs/>
                <w:iCs/>
                <w:kern w:val="2"/>
                <w:sz w:val="21"/>
                <w:szCs w:val="21"/>
              </w:rPr>
            </w:pPr>
          </w:p>
        </w:tc>
        <w:tc>
          <w:tcPr>
            <w:tcW w:w="1756" w:type="dxa"/>
            <w:vAlign w:val="center"/>
          </w:tcPr>
          <w:p>
            <w:pPr>
              <w:pStyle w:val="14"/>
              <w:spacing w:line="288" w:lineRule="auto"/>
              <w:jc w:val="center"/>
              <w:outlineLvl w:val="9"/>
              <w:rPr>
                <w:bCs/>
                <w:iCs/>
                <w:kern w:val="2"/>
                <w:sz w:val="21"/>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节点大样图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应体现围护结构做法及性能指标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建筑围护结构结露验算计算书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应包括详细计算围护结构各构件的内表面温度及露点温度，并给出是否结露的明确结论</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建筑围护结构内部冷凝验算计算书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应参考《民用建筑热工设计规范》GB 50176对供暖建筑的屋面和外墙内部进行详细冷凝验算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建筑围护结构隔热性能计算书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应参考《民用建筑热工设计规范》GB 50176对夏季屋顶和外墙进行隔热性能计算</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施工、监理过程影像资料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含相关施工、监理的照片或视频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5.1.8 主要功能房间应具有现场独立控制的热环境调节装置。对于具有集中式系统的房间应具备终端风量、流量调节装置；对于分散式或半集中式系统的房间，应具备末端独立控制装置。</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空调末端调节：</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简述所采用的供暖、空调系统末端形式和调节方式。（200字以内）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522"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主要功能房间供暖、空调末端形式统计列表：</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38"/>
        <w:gridCol w:w="2272"/>
        <w:gridCol w:w="1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89" w:type="dxa"/>
            <w:tcBorders>
              <w:top w:val="single" w:color="auto" w:sz="8" w:space="0"/>
              <w:left w:val="single" w:color="auto" w:sz="8"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主要功能房间</w:t>
            </w:r>
          </w:p>
        </w:tc>
        <w:tc>
          <w:tcPr>
            <w:tcW w:w="2838" w:type="dxa"/>
            <w:tcBorders>
              <w:top w:val="single" w:color="auto" w:sz="8"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供暖、空调末端形式</w:t>
            </w:r>
          </w:p>
        </w:tc>
        <w:tc>
          <w:tcPr>
            <w:tcW w:w="2272" w:type="dxa"/>
            <w:tcBorders>
              <w:top w:val="single" w:color="auto" w:sz="8" w:space="0"/>
              <w:left w:val="single" w:color="auto" w:sz="4" w:space="0"/>
              <w:bottom w:val="single" w:color="auto" w:sz="4" w:space="0"/>
              <w:right w:val="single" w:color="auto" w:sz="4" w:space="0"/>
            </w:tcBorders>
            <w:vAlign w:val="center"/>
          </w:tcPr>
          <w:p>
            <w:pPr>
              <w:pStyle w:val="14"/>
              <w:spacing w:line="288" w:lineRule="auto"/>
              <w:jc w:val="center"/>
              <w:outlineLvl w:val="9"/>
              <w:rPr>
                <w:b/>
                <w:bCs/>
                <w:kern w:val="2"/>
                <w:sz w:val="21"/>
                <w:szCs w:val="21"/>
              </w:rPr>
            </w:pPr>
            <w:r>
              <w:rPr>
                <w:rFonts w:hint="eastAsia"/>
                <w:b/>
                <w:bCs/>
                <w:kern w:val="2"/>
                <w:sz w:val="21"/>
                <w:szCs w:val="21"/>
              </w:rPr>
              <w:t>是否可独立调节</w:t>
            </w:r>
          </w:p>
        </w:tc>
        <w:tc>
          <w:tcPr>
            <w:tcW w:w="1423" w:type="dxa"/>
            <w:tcBorders>
              <w:top w:val="single" w:color="auto" w:sz="8" w:space="0"/>
              <w:left w:val="single" w:color="auto" w:sz="4" w:space="0"/>
              <w:bottom w:val="single" w:color="auto" w:sz="4" w:space="0"/>
              <w:right w:val="single" w:color="auto" w:sz="8" w:space="0"/>
            </w:tcBorders>
            <w:vAlign w:val="center"/>
          </w:tcPr>
          <w:p>
            <w:pPr>
              <w:pStyle w:val="14"/>
              <w:spacing w:line="288" w:lineRule="auto"/>
              <w:jc w:val="center"/>
              <w:outlineLvl w:val="9"/>
              <w:rPr>
                <w:b/>
                <w:bCs/>
                <w:kern w:val="2"/>
                <w:sz w:val="21"/>
                <w:szCs w:val="21"/>
              </w:rPr>
            </w:pPr>
            <w:r>
              <w:rPr>
                <w:rFonts w:hint="eastAsia"/>
                <w:b/>
                <w:bCs/>
                <w:kern w:val="2"/>
                <w:sz w:val="21"/>
                <w:szCs w:val="21"/>
              </w:rPr>
              <w:t>备注说明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pPr>
              <w:pStyle w:val="14"/>
              <w:spacing w:line="288" w:lineRule="auto"/>
              <w:jc w:val="center"/>
              <w:outlineLvl w:val="9"/>
              <w:rPr>
                <w:bCs/>
                <w:iCs/>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主要功能房间个数为：____个</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空调末端可独立调节的房间个数为：____个</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比例为：____%</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应注明主要功能房间的末端形式，流量调节装置，半集中式系统或分散式系统主要功能房间的末端独立控制装置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产品说明书和合格证书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414" w:type="dxa"/>
          </w:tcPr>
          <w:p>
            <w:pPr>
              <w:spacing w:line="288" w:lineRule="auto"/>
            </w:pPr>
          </w:p>
        </w:tc>
      </w:tr>
    </w:tbl>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5.1.9 地下车库应设置与排风设备联动的一氧化碳浓度监测装置。</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一氧化碳浓度监控系统：</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地下空间建筑面积：____m2，地下车库建筑面积：____m2</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地下车库设置一氧化碳浓度监测装置：□是、□否</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一氧化碳浓度监测装置与排风设备联动：□是、□否</w:t>
      </w:r>
    </w:p>
    <w:p>
      <w:pPr>
        <w:spacing w:line="360" w:lineRule="auto"/>
        <w:ind w:left="210" w:leftChars="100" w:firstLine="0" w:firstLineChars="0"/>
        <w:rPr>
          <w:lang w:val="zh-CN"/>
        </w:rPr>
      </w:pPr>
      <w:r>
        <w:rPr>
          <w:rFonts w:hint="eastAsia" w:ascii="Times New Roman" w:hAnsi="Times New Roman" w:eastAsia="宋体" w:cs="Times New Roman"/>
          <w:bCs/>
          <w:color w:val="000000"/>
          <w:szCs w:val="24"/>
          <w:lang w:val="zh-CN"/>
        </w:rPr>
        <w:t>简要说明地下车库一氧化碳浓度监控系统功能、装置布点情况以及控制策略。（200字以内）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一个防火分区至少设置一个CO检测点并与通风系统联动</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一个防火分区至少设置一个CO检测点并与通风系统联动</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应体现一氧化碳检测装置的运行记录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41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5.1.10游泳池水、非传统水源等的水质满足国家现行有关标准的要求。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简要说明游泳池水、非传统水源等的水质满足国家现行有关标准的要求</w:t>
      </w:r>
      <w:r>
        <w:rPr>
          <w:rFonts w:hint="eastAsia" w:cs="Times New Roman"/>
          <w:bCs/>
          <w:color w:val="000000"/>
          <w:szCs w:val="24"/>
          <w:lang w:val="en-US" w:eastAsia="zh-CN"/>
        </w:rPr>
        <w:t>。</w:t>
      </w:r>
      <w:r>
        <w:rPr>
          <w:rFonts w:hint="eastAsia"/>
          <w:szCs w:val="21"/>
          <w:lang w:val="zh-CN"/>
        </w:rPr>
        <w:t>（2</w:t>
      </w:r>
      <w:r>
        <w:rPr>
          <w:szCs w:val="21"/>
          <w:lang w:val="zh-CN"/>
        </w:rPr>
        <w:t>00</w:t>
      </w:r>
      <w:r>
        <w:rPr>
          <w:rFonts w:hint="eastAsia"/>
          <w:szCs w:val="21"/>
          <w:lang w:val="zh-CN"/>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应体现游泳池与非传统水源的运行记录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含游泳池水水质检测报告、非传统水源水质检测报告</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14" w:type="dxa"/>
          </w:tcPr>
          <w:p>
            <w:pPr>
              <w:spacing w:line="288" w:lineRule="auto"/>
            </w:pPr>
          </w:p>
        </w:tc>
      </w:tr>
    </w:tbl>
    <w:p/>
    <w:p/>
    <w:p/>
    <w:p/>
    <w:p>
      <w:pPr>
        <w:pStyle w:val="2"/>
        <w:bidi w:val="0"/>
        <w:rPr>
          <w:rFonts w:hint="eastAsia"/>
        </w:rPr>
      </w:pPr>
      <w:bookmarkStart w:id="30" w:name="_Toc412712073"/>
      <w:bookmarkStart w:id="31" w:name="_Toc14261599"/>
      <w:bookmarkStart w:id="32" w:name="_Toc428800962"/>
      <w:r>
        <w:rPr>
          <w:rFonts w:hint="eastAsia"/>
        </w:rPr>
        <w:t>5.2 评分项</w:t>
      </w:r>
      <w:bookmarkEnd w:id="30"/>
      <w:bookmarkEnd w:id="31"/>
      <w:bookmarkEnd w:id="32"/>
    </w:p>
    <w:p>
      <w:pPr>
        <w:pStyle w:val="3"/>
        <w:spacing w:line="288" w:lineRule="auto"/>
        <w:jc w:val="center"/>
        <w:rPr>
          <w:rFonts w:hint="eastAsia" w:ascii="宋体" w:hAnsi="宋体" w:eastAsia="宋体" w:cs="宋体"/>
        </w:rPr>
      </w:pPr>
      <w:bookmarkStart w:id="33" w:name="_Toc14261600"/>
      <w:r>
        <w:rPr>
          <w:rFonts w:hint="eastAsia" w:ascii="宋体" w:hAnsi="宋体" w:eastAsia="宋体" w:cs="宋体"/>
        </w:rPr>
        <w:t>I室内空气品质</w:t>
      </w:r>
      <w:bookmarkEnd w:id="33"/>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5.2.1 控制室内主要空气污染物的浓度。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氨、甲醛、苯、总挥发性有机物、氡等污染物浓度低于现行国家标准《室内空气质量标准》</w:t>
      </w:r>
      <w:r>
        <w:rPr>
          <w:rFonts w:hint="eastAsia" w:cs="Times New Roman"/>
          <w:bCs/>
          <w:color w:val="000000"/>
          <w:szCs w:val="24"/>
          <w:lang w:eastAsia="zh-CN"/>
        </w:rPr>
        <w:t>（</w:t>
      </w:r>
      <w:r>
        <w:rPr>
          <w:rFonts w:hint="eastAsia" w:ascii="Times New Roman" w:hAnsi="Times New Roman" w:eastAsia="宋体" w:cs="Times New Roman"/>
          <w:bCs/>
          <w:color w:val="000000"/>
          <w:szCs w:val="24"/>
        </w:rPr>
        <w:t>GB/T 18883</w:t>
      </w:r>
      <w:r>
        <w:rPr>
          <w:rFonts w:hint="eastAsia" w:cs="Times New Roman"/>
          <w:bCs/>
          <w:color w:val="000000"/>
          <w:szCs w:val="24"/>
          <w:lang w:eastAsia="zh-CN"/>
        </w:rPr>
        <w:t>）</w:t>
      </w:r>
      <w:r>
        <w:rPr>
          <w:rFonts w:hint="eastAsia" w:ascii="Times New Roman" w:hAnsi="Times New Roman" w:eastAsia="宋体" w:cs="Times New Roman"/>
          <w:bCs/>
          <w:color w:val="000000"/>
          <w:szCs w:val="24"/>
        </w:rPr>
        <w:t>规定限值的10％，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3分；低于20％，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室内PM</w:t>
      </w:r>
      <w:r>
        <w:rPr>
          <w:rFonts w:hint="eastAsia" w:cs="Times New Roman"/>
          <w:b/>
          <w:bCs/>
          <w:sz w:val="23"/>
          <w:szCs w:val="23"/>
          <w:vertAlign w:val="subscript"/>
        </w:rPr>
        <w:t>2.5</w:t>
      </w:r>
      <w:r>
        <w:rPr>
          <w:rFonts w:hint="eastAsia" w:ascii="Times New Roman" w:hAnsi="Times New Roman" w:eastAsia="宋体" w:cs="Times New Roman"/>
          <w:bCs/>
          <w:color w:val="000000"/>
          <w:szCs w:val="24"/>
        </w:rPr>
        <w:t>年均浓度不高于25μg/m3，且室内PM</w:t>
      </w:r>
      <w:r>
        <w:rPr>
          <w:rFonts w:hint="eastAsia" w:cs="Times New Roman"/>
          <w:b/>
          <w:bCs/>
          <w:sz w:val="23"/>
          <w:szCs w:val="23"/>
          <w:vertAlign w:val="subscript"/>
        </w:rPr>
        <w:t>10</w:t>
      </w:r>
      <w:r>
        <w:rPr>
          <w:rFonts w:hint="eastAsia" w:ascii="Times New Roman" w:hAnsi="Times New Roman" w:eastAsia="宋体" w:cs="Times New Roman"/>
          <w:bCs/>
          <w:color w:val="000000"/>
          <w:szCs w:val="24"/>
        </w:rPr>
        <w:t>年均浓度不高于50μg/m3，</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主要功能房间污染物浓度检测结果：</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43"/>
        <w:gridCol w:w="1363"/>
        <w:gridCol w:w="1417"/>
        <w:gridCol w:w="1276"/>
        <w:gridCol w:w="127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pPr>
              <w:spacing w:line="288" w:lineRule="auto"/>
              <w:jc w:val="center"/>
              <w:rPr>
                <w:b/>
                <w:bCs/>
                <w:szCs w:val="21"/>
              </w:rPr>
            </w:pPr>
            <w:r>
              <w:rPr>
                <w:b/>
                <w:bCs/>
                <w:szCs w:val="21"/>
              </w:rPr>
              <w:t>氨</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363" w:type="dxa"/>
            <w:vAlign w:val="center"/>
          </w:tcPr>
          <w:p>
            <w:pPr>
              <w:spacing w:line="288" w:lineRule="auto"/>
              <w:jc w:val="center"/>
              <w:rPr>
                <w:b/>
                <w:bCs/>
                <w:szCs w:val="21"/>
              </w:rPr>
            </w:pPr>
            <w:r>
              <w:rPr>
                <w:b/>
                <w:bCs/>
                <w:szCs w:val="21"/>
              </w:rPr>
              <w:t>甲醛</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417" w:type="dxa"/>
            <w:vAlign w:val="center"/>
          </w:tcPr>
          <w:p>
            <w:pPr>
              <w:spacing w:line="288" w:lineRule="auto"/>
              <w:jc w:val="center"/>
              <w:rPr>
                <w:b/>
                <w:bCs/>
                <w:szCs w:val="21"/>
              </w:rPr>
            </w:pPr>
            <w:r>
              <w:rPr>
                <w:b/>
                <w:bCs/>
                <w:szCs w:val="21"/>
              </w:rPr>
              <w:t>苯</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pPr>
              <w:spacing w:line="288" w:lineRule="auto"/>
              <w:jc w:val="center"/>
              <w:rPr>
                <w:b/>
                <w:bCs/>
                <w:szCs w:val="21"/>
              </w:rPr>
            </w:pPr>
            <w:r>
              <w:rPr>
                <w:b/>
                <w:bCs/>
                <w:szCs w:val="21"/>
              </w:rPr>
              <w:t>TVOC</w:t>
            </w:r>
          </w:p>
          <w:p>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pPr>
              <w:spacing w:line="288" w:lineRule="auto"/>
              <w:jc w:val="center"/>
              <w:rPr>
                <w:b/>
                <w:bCs/>
                <w:szCs w:val="21"/>
              </w:rPr>
            </w:pPr>
            <w:r>
              <w:rPr>
                <w:rFonts w:hint="eastAsia"/>
                <w:b/>
                <w:bCs/>
                <w:szCs w:val="21"/>
              </w:rPr>
              <w:t>氡</w:t>
            </w:r>
          </w:p>
          <w:p>
            <w:pPr>
              <w:spacing w:line="288" w:lineRule="auto"/>
              <w:jc w:val="center"/>
              <w:rPr>
                <w:b/>
                <w:bCs/>
                <w:szCs w:val="21"/>
              </w:rPr>
            </w:pPr>
            <w:r>
              <w:rPr>
                <w:b/>
                <w:bCs/>
                <w:szCs w:val="21"/>
              </w:rPr>
              <w:t>(Bq/m</w:t>
            </w:r>
            <w:r>
              <w:rPr>
                <w:b/>
                <w:bCs/>
                <w:szCs w:val="21"/>
                <w:vertAlign w:val="superscript"/>
              </w:rPr>
              <w:t>3</w:t>
            </w:r>
            <w:r>
              <w:rPr>
                <w:b/>
                <w:bCs/>
                <w:szCs w:val="21"/>
              </w:rPr>
              <w:t>)</w:t>
            </w:r>
          </w:p>
        </w:tc>
        <w:tc>
          <w:tcPr>
            <w:tcW w:w="1843"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污染物浓度</w:t>
            </w:r>
          </w:p>
          <w:p>
            <w:pPr>
              <w:pStyle w:val="14"/>
              <w:spacing w:line="288" w:lineRule="auto"/>
              <w:jc w:val="center"/>
              <w:outlineLvl w:val="9"/>
              <w:rPr>
                <w:b/>
                <w:bCs/>
                <w:kern w:val="2"/>
                <w:sz w:val="21"/>
                <w:szCs w:val="21"/>
              </w:rPr>
            </w:pPr>
            <w:r>
              <w:rPr>
                <w:rFonts w:hint="eastAsia"/>
                <w:b/>
                <w:bCs/>
                <w:kern w:val="2"/>
                <w:sz w:val="21"/>
                <w:szCs w:val="21"/>
              </w:rPr>
              <w:t>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continue"/>
            <w:vAlign w:val="center"/>
          </w:tcPr>
          <w:p>
            <w:pPr>
              <w:pStyle w:val="14"/>
              <w:spacing w:line="288" w:lineRule="auto"/>
              <w:jc w:val="center"/>
              <w:outlineLvl w:val="9"/>
              <w:rPr>
                <w:b/>
                <w:bCs/>
                <w:kern w:val="2"/>
                <w:sz w:val="21"/>
                <w:szCs w:val="21"/>
              </w:rPr>
            </w:pPr>
          </w:p>
        </w:tc>
        <w:tc>
          <w:tcPr>
            <w:tcW w:w="114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0.20</w:t>
            </w:r>
          </w:p>
        </w:tc>
        <w:tc>
          <w:tcPr>
            <w:tcW w:w="1363"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0.10</w:t>
            </w:r>
          </w:p>
        </w:tc>
        <w:tc>
          <w:tcPr>
            <w:tcW w:w="1417"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0.11</w:t>
            </w:r>
          </w:p>
        </w:tc>
        <w:tc>
          <w:tcPr>
            <w:tcW w:w="1276"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0.60</w:t>
            </w:r>
          </w:p>
        </w:tc>
        <w:tc>
          <w:tcPr>
            <w:tcW w:w="1276" w:type="dxa"/>
            <w:vAlign w:val="center"/>
          </w:tcPr>
          <w:p>
            <w:pPr>
              <w:spacing w:line="288" w:lineRule="auto"/>
              <w:jc w:val="center"/>
              <w:rPr>
                <w:b/>
                <w:bCs/>
                <w:szCs w:val="21"/>
              </w:rPr>
            </w:pPr>
            <w:r>
              <w:rPr>
                <w:rFonts w:hint="eastAsia"/>
                <w:b/>
                <w:bCs/>
                <w:szCs w:val="21"/>
              </w:rPr>
              <w:t>标准值</w:t>
            </w:r>
          </w:p>
          <w:p>
            <w:pPr>
              <w:spacing w:line="288" w:lineRule="auto"/>
              <w:jc w:val="center"/>
              <w:rPr>
                <w:b/>
                <w:bCs/>
                <w:szCs w:val="21"/>
              </w:rPr>
            </w:pPr>
            <w:r>
              <w:rPr>
                <w:rFonts w:hint="eastAsia"/>
                <w:b/>
                <w:bCs/>
                <w:szCs w:val="21"/>
              </w:rPr>
              <w:t>≤</w:t>
            </w:r>
            <w:r>
              <w:rPr>
                <w:b/>
                <w:bCs/>
                <w:szCs w:val="21"/>
              </w:rPr>
              <w:t>400</w:t>
            </w:r>
          </w:p>
        </w:tc>
        <w:tc>
          <w:tcPr>
            <w:tcW w:w="1843" w:type="dxa"/>
            <w:vMerge w:val="continue"/>
            <w:vAlign w:val="center"/>
          </w:tcPr>
          <w:p>
            <w:pPr>
              <w:pStyle w:val="14"/>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pPr>
              <w:pStyle w:val="14"/>
              <w:spacing w:line="288" w:lineRule="auto"/>
              <w:jc w:val="center"/>
              <w:outlineLvl w:val="9"/>
              <w:rPr>
                <w:bCs/>
                <w:iCs/>
                <w:kern w:val="2"/>
                <w:sz w:val="21"/>
                <w:szCs w:val="21"/>
              </w:rPr>
            </w:pPr>
          </w:p>
        </w:tc>
        <w:tc>
          <w:tcPr>
            <w:tcW w:w="1143" w:type="dxa"/>
            <w:vAlign w:val="center"/>
          </w:tcPr>
          <w:p>
            <w:pPr>
              <w:pStyle w:val="14"/>
              <w:spacing w:line="288" w:lineRule="auto"/>
              <w:jc w:val="center"/>
              <w:outlineLvl w:val="9"/>
              <w:rPr>
                <w:bCs/>
                <w:iCs/>
                <w:kern w:val="2"/>
                <w:sz w:val="21"/>
                <w:szCs w:val="21"/>
              </w:rPr>
            </w:pPr>
          </w:p>
        </w:tc>
        <w:tc>
          <w:tcPr>
            <w:tcW w:w="1363" w:type="dxa"/>
            <w:vAlign w:val="center"/>
          </w:tcPr>
          <w:p>
            <w:pPr>
              <w:pStyle w:val="14"/>
              <w:spacing w:line="288" w:lineRule="auto"/>
              <w:jc w:val="center"/>
              <w:outlineLvl w:val="9"/>
              <w:rPr>
                <w:bCs/>
                <w:iCs/>
                <w:kern w:val="2"/>
                <w:sz w:val="21"/>
                <w:szCs w:val="21"/>
              </w:rPr>
            </w:pPr>
          </w:p>
        </w:tc>
        <w:tc>
          <w:tcPr>
            <w:tcW w:w="1417"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276" w:type="dxa"/>
            <w:vAlign w:val="center"/>
          </w:tcPr>
          <w:p>
            <w:pPr>
              <w:pStyle w:val="14"/>
              <w:spacing w:line="288" w:lineRule="auto"/>
              <w:jc w:val="center"/>
              <w:outlineLvl w:val="9"/>
              <w:rPr>
                <w:bCs/>
                <w:iCs/>
                <w:kern w:val="2"/>
                <w:sz w:val="21"/>
                <w:szCs w:val="21"/>
              </w:rPr>
            </w:pPr>
          </w:p>
        </w:tc>
        <w:tc>
          <w:tcPr>
            <w:tcW w:w="1843" w:type="dxa"/>
            <w:vAlign w:val="center"/>
          </w:tcPr>
          <w:p>
            <w:pPr>
              <w:pStyle w:val="14"/>
              <w:spacing w:line="288" w:lineRule="auto"/>
              <w:jc w:val="center"/>
              <w:outlineLvl w:val="9"/>
              <w:rPr>
                <w:bCs/>
                <w:iCs/>
                <w:kern w:val="2"/>
                <w:szCs w:val="21"/>
              </w:rPr>
            </w:pPr>
          </w:p>
        </w:tc>
      </w:tr>
    </w:tbl>
    <w:p>
      <w:pPr>
        <w:spacing w:line="288" w:lineRule="auto"/>
        <w:rPr>
          <w:szCs w:val="21"/>
          <w:lang w:val="zh-CN"/>
        </w:rPr>
      </w:pPr>
    </w:p>
    <w:tbl>
      <w:tblPr>
        <w:tblStyle w:val="10"/>
        <w:tblW w:w="9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505"/>
        <w:gridCol w:w="2685"/>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tcPr>
          <w:p>
            <w:pPr>
              <w:spacing w:line="288" w:lineRule="auto"/>
              <w:jc w:val="center"/>
              <w:rPr>
                <w:b/>
                <w:bCs/>
                <w:szCs w:val="21"/>
              </w:rPr>
            </w:pPr>
          </w:p>
          <w:p>
            <w:pPr>
              <w:spacing w:line="288" w:lineRule="auto"/>
              <w:jc w:val="center"/>
              <w:rPr>
                <w:szCs w:val="21"/>
                <w:lang w:val="zh-CN"/>
              </w:rPr>
            </w:pPr>
            <w:r>
              <w:rPr>
                <w:rFonts w:hint="eastAsia"/>
                <w:b/>
                <w:bCs/>
                <w:szCs w:val="21"/>
              </w:rPr>
              <w:t>房间类型</w:t>
            </w:r>
          </w:p>
        </w:tc>
        <w:tc>
          <w:tcPr>
            <w:tcW w:w="2505" w:type="dxa"/>
          </w:tcPr>
          <w:p>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2.5</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2685" w:type="dxa"/>
          </w:tcPr>
          <w:p>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10</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3120" w:type="dxa"/>
            <w:vMerge w:val="restart"/>
          </w:tcPr>
          <w:p>
            <w:pPr>
              <w:pStyle w:val="14"/>
              <w:spacing w:line="288" w:lineRule="auto"/>
              <w:jc w:val="center"/>
              <w:outlineLvl w:val="9"/>
              <w:rPr>
                <w:b/>
                <w:bCs/>
                <w:kern w:val="2"/>
                <w:sz w:val="21"/>
                <w:szCs w:val="21"/>
              </w:rPr>
            </w:pPr>
          </w:p>
          <w:p>
            <w:pPr>
              <w:pStyle w:val="14"/>
              <w:spacing w:line="288" w:lineRule="auto"/>
              <w:jc w:val="center"/>
              <w:outlineLvl w:val="9"/>
              <w:rPr>
                <w:b/>
                <w:bCs/>
                <w:kern w:val="2"/>
                <w:sz w:val="21"/>
                <w:szCs w:val="21"/>
              </w:rPr>
            </w:pPr>
            <w:r>
              <w:rPr>
                <w:rFonts w:hint="eastAsia"/>
                <w:b/>
                <w:bCs/>
                <w:kern w:val="2"/>
                <w:sz w:val="21"/>
                <w:szCs w:val="21"/>
              </w:rPr>
              <w:t>污染物浓度是否超标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tcPr>
          <w:p>
            <w:pPr>
              <w:spacing w:line="288" w:lineRule="auto"/>
              <w:rPr>
                <w:szCs w:val="21"/>
                <w:lang w:val="zh-CN"/>
              </w:rPr>
            </w:pPr>
          </w:p>
        </w:tc>
        <w:tc>
          <w:tcPr>
            <w:tcW w:w="2505" w:type="dxa"/>
          </w:tcPr>
          <w:p>
            <w:pPr>
              <w:spacing w:line="288" w:lineRule="auto"/>
              <w:jc w:val="center"/>
              <w:rPr>
                <w:b/>
                <w:bCs/>
                <w:szCs w:val="21"/>
              </w:rPr>
            </w:pPr>
            <w:r>
              <w:rPr>
                <w:rFonts w:hint="eastAsia"/>
                <w:b/>
                <w:bCs/>
                <w:szCs w:val="21"/>
              </w:rPr>
              <w:t>标准值≤25</w:t>
            </w:r>
          </w:p>
        </w:tc>
        <w:tc>
          <w:tcPr>
            <w:tcW w:w="2685" w:type="dxa"/>
          </w:tcPr>
          <w:p>
            <w:pPr>
              <w:spacing w:line="288" w:lineRule="auto"/>
              <w:jc w:val="center"/>
              <w:rPr>
                <w:b/>
                <w:bCs/>
                <w:szCs w:val="21"/>
              </w:rPr>
            </w:pPr>
            <w:r>
              <w:rPr>
                <w:rFonts w:hint="eastAsia"/>
                <w:b/>
                <w:bCs/>
                <w:szCs w:val="21"/>
              </w:rPr>
              <w:t>标准值≤50</w:t>
            </w:r>
          </w:p>
        </w:tc>
        <w:tc>
          <w:tcPr>
            <w:tcW w:w="3120" w:type="dxa"/>
            <w:vMerge w:val="continue"/>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pPr>
              <w:spacing w:line="288" w:lineRule="auto"/>
              <w:rPr>
                <w:szCs w:val="21"/>
                <w:lang w:val="zh-CN"/>
              </w:rPr>
            </w:pPr>
          </w:p>
        </w:tc>
        <w:tc>
          <w:tcPr>
            <w:tcW w:w="2505" w:type="dxa"/>
          </w:tcPr>
          <w:p>
            <w:pPr>
              <w:spacing w:line="288" w:lineRule="auto"/>
              <w:rPr>
                <w:szCs w:val="21"/>
                <w:lang w:val="zh-CN"/>
              </w:rPr>
            </w:pPr>
          </w:p>
        </w:tc>
        <w:tc>
          <w:tcPr>
            <w:tcW w:w="2685" w:type="dxa"/>
          </w:tcPr>
          <w:p>
            <w:pPr>
              <w:spacing w:line="288" w:lineRule="auto"/>
              <w:rPr>
                <w:szCs w:val="21"/>
                <w:lang w:val="zh-CN"/>
              </w:rPr>
            </w:pPr>
          </w:p>
        </w:tc>
        <w:tc>
          <w:tcPr>
            <w:tcW w:w="3120" w:type="dxa"/>
          </w:tcPr>
          <w:p>
            <w:pPr>
              <w:spacing w:line="288" w:lineRule="auto"/>
              <w:rPr>
                <w:szCs w:val="21"/>
                <w:lang w:val="zh-CN"/>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356" w:type="dxa"/>
        <w:tblInd w:w="108" w:type="dxa"/>
        <w:tblLayout w:type="autofit"/>
        <w:tblCellMar>
          <w:top w:w="0" w:type="dxa"/>
          <w:left w:w="108" w:type="dxa"/>
          <w:bottom w:w="0" w:type="dxa"/>
          <w:right w:w="108" w:type="dxa"/>
        </w:tblCellMar>
      </w:tblPr>
      <w:tblGrid>
        <w:gridCol w:w="740"/>
        <w:gridCol w:w="2020"/>
        <w:gridCol w:w="3960"/>
        <w:gridCol w:w="1360"/>
        <w:gridCol w:w="1276"/>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建筑及装修材料使用说明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应包括建筑及装修材料的种类、用量等信息</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污染物浓度预评估分析报告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应包括室内甲醛、苯、总挥发性有机物等主要污染物浓度的评估分析</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室内空气质量现场检测报告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内应具有颗粒物浓度监测传感设备，至少每小时对建筑内颗粒物浓度进行一次记录、存储，连续监测一年后取算数平均值。对于住宅建筑，应对每种户型主要功能房间进行全年监测；对于公共建筑，应对每层选取一个主要功能房间进行全年监测</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78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PM</w:t>
            </w:r>
            <w:r>
              <w:rPr>
                <w:rFonts w:ascii="宋体" w:hAnsi="宋体" w:eastAsia="宋体" w:cs="宋体"/>
                <w:b/>
                <w:bCs/>
                <w:color w:val="000000"/>
                <w:kern w:val="0"/>
                <w:sz w:val="22"/>
              </w:rPr>
              <w:t>2.5</w:t>
            </w:r>
            <w:r>
              <w:rPr>
                <w:rFonts w:hint="eastAsia" w:ascii="宋体" w:hAnsi="宋体" w:eastAsia="宋体" w:cs="宋体"/>
                <w:b/>
                <w:bCs/>
                <w:color w:val="000000"/>
                <w:kern w:val="0"/>
                <w:sz w:val="22"/>
              </w:rPr>
              <w:t>和PM</w:t>
            </w:r>
            <w:r>
              <w:rPr>
                <w:rFonts w:ascii="宋体" w:hAnsi="宋体" w:eastAsia="宋体" w:cs="宋体"/>
                <w:b/>
                <w:bCs/>
                <w:color w:val="000000"/>
                <w:kern w:val="0"/>
                <w:sz w:val="22"/>
              </w:rPr>
              <w:t>10</w:t>
            </w:r>
            <w:r>
              <w:rPr>
                <w:rFonts w:hint="eastAsia" w:ascii="宋体" w:hAnsi="宋体" w:eastAsia="宋体" w:cs="宋体"/>
                <w:b/>
                <w:bCs/>
                <w:color w:val="000000"/>
                <w:kern w:val="0"/>
                <w:sz w:val="22"/>
              </w:rPr>
              <w:t>浓度计算报告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含原始检测数据</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364" w:type="dxa"/>
          </w:tcPr>
          <w:p>
            <w:pPr>
              <w:spacing w:line="288" w:lineRule="auto"/>
            </w:pPr>
          </w:p>
        </w:tc>
      </w:tr>
    </w:tbl>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5.2.2选用的装饰装修材料满足国家现行绿色产品评价标准中对有害物质限量的要求。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cs="Times New Roman"/>
          <w:bCs/>
          <w:color w:val="000000"/>
          <w:szCs w:val="24"/>
          <w:lang w:val="en-US" w:eastAsia="zh-CN"/>
        </w:rPr>
        <w:t xml:space="preserve">1 </w:t>
      </w:r>
      <w:r>
        <w:rPr>
          <w:rFonts w:hint="eastAsia" w:ascii="Times New Roman" w:hAnsi="Times New Roman" w:eastAsia="宋体" w:cs="Times New Roman"/>
          <w:bCs/>
          <w:color w:val="000000"/>
          <w:szCs w:val="24"/>
        </w:rPr>
        <w:t>选用满足要求的装饰装修材料达到3类及以上，</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5分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cs="Times New Roman"/>
          <w:bCs/>
          <w:color w:val="000000"/>
          <w:szCs w:val="24"/>
          <w:lang w:val="en-US" w:eastAsia="zh-CN"/>
        </w:rPr>
        <w:t xml:space="preserve">2 </w:t>
      </w:r>
      <w:r>
        <w:rPr>
          <w:rFonts w:hint="eastAsia" w:ascii="Times New Roman" w:hAnsi="Times New Roman" w:eastAsia="宋体" w:cs="Times New Roman"/>
          <w:bCs/>
          <w:color w:val="000000"/>
          <w:szCs w:val="24"/>
        </w:rPr>
        <w:t>达到5类以上，</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8分。</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是否选用了满足要求的装饰装修材料：□是、□否</w:t>
      </w:r>
    </w:p>
    <w:p>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选用满足要求的装饰装修材料的种类及相应的名称：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pStyle w:val="14"/>
              <w:spacing w:line="288" w:lineRule="auto"/>
              <w:jc w:val="center"/>
              <w:outlineLvl w:val="9"/>
              <w:rPr>
                <w:b/>
                <w:sz w:val="21"/>
              </w:rPr>
            </w:pPr>
            <w:r>
              <w:rPr>
                <w:rFonts w:hint="eastAsia"/>
                <w:b/>
                <w:sz w:val="21"/>
              </w:rPr>
              <w:t>序号</w:t>
            </w:r>
          </w:p>
        </w:tc>
        <w:tc>
          <w:tcPr>
            <w:tcW w:w="8222" w:type="dxa"/>
          </w:tcPr>
          <w:p>
            <w:pPr>
              <w:pStyle w:val="14"/>
              <w:spacing w:line="288" w:lineRule="auto"/>
              <w:jc w:val="center"/>
              <w:outlineLvl w:val="9"/>
              <w:rPr>
                <w:b/>
                <w:sz w:val="21"/>
              </w:rPr>
            </w:pPr>
            <w:r>
              <w:rPr>
                <w:rFonts w:hint="eastAsia"/>
                <w:b/>
                <w:sz w:val="21"/>
              </w:rPr>
              <w:t>装饰装修材料名称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88" w:lineRule="auto"/>
              <w:outlineLvl w:val="9"/>
            </w:pPr>
          </w:p>
        </w:tc>
        <w:tc>
          <w:tcPr>
            <w:tcW w:w="8222" w:type="dxa"/>
          </w:tcPr>
          <w:p>
            <w:pPr>
              <w:pStyle w:val="14"/>
              <w:spacing w:line="288" w:lineRule="auto"/>
              <w:outlineLvl w:val="9"/>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内装施工图、相关说明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应体现所选用的装饰装修材料的使用部位</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应体现所选用的装饰装修材料的中有害物质的种类和用量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工程决算材料清单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应体现项目选用的全部材料种类、名称，使用部位、用量等信息，应与土建及装修设计图纸对应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绿色产品认证证书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364" w:type="dxa"/>
          </w:tcPr>
          <w:p>
            <w:pPr>
              <w:spacing w:line="288" w:lineRule="auto"/>
            </w:pPr>
          </w:p>
        </w:tc>
      </w:tr>
    </w:tbl>
    <w:p>
      <w:pPr>
        <w:pStyle w:val="3"/>
        <w:spacing w:line="288" w:lineRule="auto"/>
        <w:jc w:val="center"/>
        <w:rPr>
          <w:rFonts w:hint="eastAsia" w:ascii="宋体" w:hAnsi="宋体" w:eastAsia="宋体" w:cs="宋体"/>
        </w:rPr>
      </w:pPr>
      <w:bookmarkStart w:id="34" w:name="_Toc35364736"/>
      <w:bookmarkStart w:id="35" w:name="_Toc22221569"/>
      <w:r>
        <w:rPr>
          <w:rFonts w:hint="eastAsia" w:ascii="宋体" w:hAnsi="宋体" w:eastAsia="宋体" w:cs="宋体"/>
        </w:rPr>
        <w:t>Ⅱ 水质</w:t>
      </w:r>
      <w:bookmarkEnd w:id="34"/>
      <w:bookmarkEnd w:id="35"/>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5.2.3 设置直饮水系统，且直饮水、集中生活用水、采暖空调系统用水、景观水体等的水质满足国家现行有关标准的要求。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 xml:space="preserve">满足国家现行有关标准的要求， </w:t>
      </w:r>
      <w:r>
        <w:rPr>
          <w:rFonts w:hint="eastAsia" w:cs="Times New Roman"/>
          <w:bCs/>
          <w:color w:val="000000"/>
          <w:szCs w:val="24"/>
          <w:lang w:val="zh-CN" w:eastAsia="zh-CN"/>
        </w:rPr>
        <w:t>□</w:t>
      </w:r>
      <w:r>
        <w:rPr>
          <w:rFonts w:hint="eastAsia" w:cs="Times New Roman"/>
          <w:bCs/>
          <w:color w:val="000000"/>
          <w:szCs w:val="24"/>
          <w:lang w:val="en-US" w:eastAsia="zh-CN"/>
        </w:rPr>
        <w:t>5分。</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直饮水水质是否满足国家现行有关标准的要求：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集中生活热水水质是否满足国家现行有关标准的要求：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游泳池水水质是否满足国家现行有关标准的要求：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采暖空调系统用水水质是否满足国家现行有关标准的要求：</w:t>
      </w:r>
      <w:r>
        <w:rPr>
          <w:rFonts w:hint="eastAsia" w:cs="Times New Roman"/>
          <w:bCs/>
          <w:color w:val="000000"/>
          <w:szCs w:val="24"/>
          <w:lang w:val="zh-CN" w:eastAsia="zh-CN"/>
        </w:rPr>
        <w:t>□是、□否</w:t>
      </w:r>
    </w:p>
    <w:p>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景观水体水质是否满足国家现行有关标准的要求：</w:t>
      </w:r>
      <w:r>
        <w:rPr>
          <w:rFonts w:hint="eastAsia" w:cs="Times New Roman"/>
          <w:bCs/>
          <w:color w:val="000000"/>
          <w:szCs w:val="24"/>
          <w:lang w:val="zh-CN" w:eastAsia="zh-CN"/>
        </w:rPr>
        <w:t>□是、□否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245" w:type="dxa"/>
        <w:tblInd w:w="108" w:type="dxa"/>
        <w:tblLayout w:type="autofit"/>
        <w:tblCellMar>
          <w:top w:w="0" w:type="dxa"/>
          <w:left w:w="108" w:type="dxa"/>
          <w:bottom w:w="0" w:type="dxa"/>
          <w:right w:w="108" w:type="dxa"/>
        </w:tblCellMar>
      </w:tblPr>
      <w:tblGrid>
        <w:gridCol w:w="740"/>
        <w:gridCol w:w="2020"/>
        <w:gridCol w:w="4044"/>
        <w:gridCol w:w="1191"/>
        <w:gridCol w:w="125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04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9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给水排水施工图设计说明</w:t>
            </w:r>
          </w:p>
        </w:tc>
        <w:tc>
          <w:tcPr>
            <w:tcW w:w="4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应包括用水压力及分区情况、管材阀门、用水水质要求及水质安全保障措施、管材管件设计情况、污水收集处理排放情况等</w:t>
            </w:r>
          </w:p>
        </w:tc>
        <w:tc>
          <w:tcPr>
            <w:tcW w:w="11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水处理设备工艺设计图</w:t>
            </w:r>
          </w:p>
        </w:tc>
        <w:tc>
          <w:tcPr>
            <w:tcW w:w="4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应体现水处理方式以及水质监测和系统控制</w:t>
            </w:r>
          </w:p>
        </w:tc>
        <w:tc>
          <w:tcPr>
            <w:tcW w:w="11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404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报告取样点至少应包含水源（市政供水、自备井水等）、水处理设施出水及最不利用水点，设计</w:t>
            </w:r>
          </w:p>
        </w:tc>
        <w:tc>
          <w:tcPr>
            <w:tcW w:w="11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36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5.2.4 生活饮用水水池、水箱等储水设施采取措施满足卫生要求。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使用符合国家现行有关标准要求的成品水箱，</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采取保证储水不变质的措施，</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所采用的成品水箱是否符合国家现行有关标准要求：</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否</w:t>
      </w:r>
    </w:p>
    <w:p>
      <w:pPr>
        <w:spacing w:line="360" w:lineRule="auto"/>
        <w:ind w:left="210" w:leftChars="100" w:firstLine="0" w:firstLineChars="0"/>
      </w:pPr>
      <w:r>
        <w:rPr>
          <w:rFonts w:hint="eastAsia" w:ascii="Times New Roman" w:hAnsi="Times New Roman" w:eastAsia="宋体" w:cs="Times New Roman"/>
          <w:bCs/>
          <w:color w:val="000000"/>
          <w:szCs w:val="24"/>
          <w:lang w:val="en-US" w:eastAsia="zh-CN"/>
        </w:rPr>
        <w:t>简要说明所采取的保证储水不变质的措施。（200字以内）。</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spacing w:line="360" w:lineRule="auto"/>
        <w:ind w:left="210" w:leftChars="100" w:firstLine="0" w:firstLineChars="0"/>
        <w:rPr>
          <w:rFonts w:hint="eastAsia" w:cs="Times New Roman"/>
          <w:bCs/>
          <w:color w:val="000000"/>
          <w:szCs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195" w:type="dxa"/>
        <w:tblInd w:w="108" w:type="dxa"/>
        <w:tblLayout w:type="autofit"/>
        <w:tblCellMar>
          <w:top w:w="0" w:type="dxa"/>
          <w:left w:w="108" w:type="dxa"/>
          <w:bottom w:w="0" w:type="dxa"/>
          <w:right w:w="108" w:type="dxa"/>
        </w:tblCellMar>
      </w:tblPr>
      <w:tblGrid>
        <w:gridCol w:w="740"/>
        <w:gridCol w:w="2020"/>
        <w:gridCol w:w="3335"/>
        <w:gridCol w:w="1650"/>
        <w:gridCol w:w="145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335"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6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5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生活饮用水储水设施的给水排水施工设计说明</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生活饮用水储水设施详图</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生活饮用水储水设施设备材料采购清单或进场记录</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成品水箱产品说明书</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生活饮用水储水设施清洗消毒后水质检测报告及清洗消毒记录</w:t>
            </w:r>
          </w:p>
        </w:tc>
        <w:tc>
          <w:tcPr>
            <w:tcW w:w="33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364" w:type="dxa"/>
          </w:tcPr>
          <w:p>
            <w:pPr>
              <w:spacing w:line="288" w:lineRule="auto"/>
            </w:pPr>
          </w:p>
        </w:tc>
      </w:tr>
    </w:tbl>
    <w:p/>
    <w:p>
      <w:pPr>
        <w:pStyle w:val="3"/>
        <w:spacing w:line="288" w:lineRule="auto"/>
        <w:jc w:val="center"/>
        <w:rPr>
          <w:rFonts w:hint="eastAsia" w:ascii="宋体" w:hAnsi="宋体" w:eastAsia="宋体" w:cs="宋体"/>
        </w:rPr>
      </w:pPr>
      <w:r>
        <w:rPr>
          <w:rFonts w:hint="eastAsia" w:ascii="宋体" w:hAnsi="宋体" w:eastAsia="宋体" w:cs="宋体"/>
        </w:rPr>
        <w:t>III声环境与光环境</w:t>
      </w: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5.2.5 针对各主要房间的使用功能，采取有效措施优化其室内声环境。</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1噪声级达到现行国家标准《民用建筑隔声设计规范》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简要说明针对各主要房间的使用功能，采取有效措施优化其室内声环境的情况。（200字以内）。</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364" w:type="dxa"/>
          </w:tcPr>
          <w:p>
            <w:pPr>
              <w:spacing w:line="288" w:lineRule="auto"/>
            </w:pPr>
          </w:p>
        </w:tc>
      </w:tr>
    </w:tbl>
    <w:p>
      <w:pPr>
        <w:spacing w:line="360" w:lineRule="auto"/>
        <w:ind w:left="210" w:leftChars="100" w:firstLine="0" w:firstLineChars="0"/>
        <w:rPr>
          <w:rFonts w:hint="eastAsia" w:cs="Times New Roman"/>
          <w:bCs/>
          <w:color w:val="000000"/>
          <w:szCs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应体现场地内交通干道布置，建筑（群）与周边道路及其他噪声源的距离，噪声源与噪声敏感房间的布置</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声环境专项设计报告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应重点审核基于环评报告室外噪声要求对室内的背景噪声影响（也包括室内噪声源影响）的分析报告以及在图纸上的落实情况，含室内背景噪声计算报告</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室内噪声检测报告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364" w:type="dxa"/>
          </w:tcPr>
          <w:p>
            <w:pPr>
              <w:spacing w:line="288" w:lineRule="auto"/>
            </w:pPr>
          </w:p>
        </w:tc>
      </w:tr>
    </w:tbl>
    <w:p/>
    <w:p/>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5.2.6 主要功能房间的隔声性能良好。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评价总分值为14分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构件及相邻房间之间的空气声隔声性能达到现行国家标准《民用建筑隔声设计规范》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楼板的撞击声隔声性能达到现行国家标准《民用建筑隔声设计规范》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简要说明建筑围护结构的构造做法、采用的隔声措施。（200字以内）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06" w:type="dxa"/>
          </w:tcPr>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主要功能房间围护结构的空气声隔声性能列表：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2943"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pPr>
              <w:pStyle w:val="14"/>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4394" w:type="dxa"/>
            <w:vAlign w:val="center"/>
          </w:tcPr>
          <w:p>
            <w:pPr>
              <w:pStyle w:val="14"/>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9" w:type="dxa"/>
            <w:vMerge w:val="continue"/>
            <w:vAlign w:val="center"/>
          </w:tcPr>
          <w:p>
            <w:pPr>
              <w:pStyle w:val="14"/>
              <w:spacing w:line="288" w:lineRule="auto"/>
              <w:jc w:val="center"/>
              <w:outlineLvl w:val="9"/>
              <w:rPr>
                <w:b/>
                <w:bCs/>
                <w:kern w:val="2"/>
                <w:sz w:val="21"/>
                <w:szCs w:val="21"/>
              </w:rPr>
            </w:pPr>
          </w:p>
        </w:tc>
        <w:tc>
          <w:tcPr>
            <w:tcW w:w="4394" w:type="dxa"/>
            <w:vAlign w:val="center"/>
          </w:tcPr>
          <w:p>
            <w:pPr>
              <w:pStyle w:val="14"/>
              <w:spacing w:line="288" w:lineRule="auto"/>
              <w:jc w:val="center"/>
              <w:outlineLvl w:val="9"/>
              <w:rPr>
                <w:b/>
                <w:bCs/>
                <w:kern w:val="2"/>
                <w:sz w:val="21"/>
                <w:szCs w:val="21"/>
              </w:rPr>
            </w:pPr>
            <w:r>
              <w:rPr>
                <w:rFonts w:hint="eastAsia"/>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9" w:type="dxa"/>
            <w:vAlign w:val="center"/>
          </w:tcPr>
          <w:p>
            <w:pPr>
              <w:pStyle w:val="14"/>
              <w:spacing w:line="288" w:lineRule="auto"/>
              <w:jc w:val="center"/>
              <w:outlineLvl w:val="9"/>
              <w:rPr>
                <w:bCs/>
                <w:iCs/>
                <w:kern w:val="2"/>
                <w:sz w:val="21"/>
                <w:szCs w:val="21"/>
              </w:rPr>
            </w:pPr>
          </w:p>
        </w:tc>
        <w:tc>
          <w:tcPr>
            <w:tcW w:w="4394" w:type="dxa"/>
            <w:vAlign w:val="center"/>
          </w:tcPr>
          <w:p>
            <w:pPr>
              <w:pStyle w:val="14"/>
              <w:spacing w:line="288" w:lineRule="auto"/>
              <w:jc w:val="center"/>
              <w:outlineLvl w:val="9"/>
              <w:rPr>
                <w:bCs/>
                <w:iCs/>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主要功能房间楼板的撞击声隔声性能列表：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4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pPr>
              <w:pStyle w:val="14"/>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pPr>
              <w:pStyle w:val="14"/>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4396" w:type="dxa"/>
            <w:vAlign w:val="center"/>
          </w:tcPr>
          <w:p>
            <w:pPr>
              <w:pStyle w:val="14"/>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pPr>
              <w:pStyle w:val="14"/>
              <w:spacing w:line="288" w:lineRule="auto"/>
              <w:jc w:val="center"/>
              <w:outlineLvl w:val="9"/>
              <w:rPr>
                <w:b/>
                <w:bCs/>
                <w:kern w:val="2"/>
                <w:sz w:val="21"/>
                <w:szCs w:val="21"/>
              </w:rPr>
            </w:pPr>
          </w:p>
        </w:tc>
        <w:tc>
          <w:tcPr>
            <w:tcW w:w="2267" w:type="dxa"/>
            <w:vMerge w:val="continue"/>
            <w:vAlign w:val="center"/>
          </w:tcPr>
          <w:p>
            <w:pPr>
              <w:pStyle w:val="14"/>
              <w:spacing w:line="288" w:lineRule="auto"/>
              <w:jc w:val="center"/>
              <w:outlineLvl w:val="9"/>
              <w:rPr>
                <w:b/>
                <w:bCs/>
                <w:kern w:val="2"/>
                <w:sz w:val="21"/>
                <w:szCs w:val="21"/>
              </w:rPr>
            </w:pPr>
          </w:p>
        </w:tc>
        <w:tc>
          <w:tcPr>
            <w:tcW w:w="4396" w:type="dxa"/>
            <w:vAlign w:val="center"/>
          </w:tcPr>
          <w:p>
            <w:pPr>
              <w:pStyle w:val="14"/>
              <w:spacing w:line="288" w:lineRule="auto"/>
              <w:jc w:val="center"/>
              <w:outlineLvl w:val="9"/>
              <w:rPr>
                <w:b/>
                <w:bCs/>
                <w:kern w:val="2"/>
                <w:sz w:val="21"/>
                <w:szCs w:val="21"/>
              </w:rPr>
            </w:pPr>
            <w:r>
              <w:rPr>
                <w:b/>
                <w:bCs/>
                <w:kern w:val="2"/>
                <w:sz w:val="21"/>
                <w:szCs w:val="21"/>
              </w:rPr>
              <w:t>低限要求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4396"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439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4396" w:type="dxa"/>
            <w:vAlign w:val="center"/>
          </w:tcPr>
          <w:p>
            <w:pPr>
              <w:pStyle w:val="14"/>
              <w:spacing w:line="288" w:lineRule="auto"/>
              <w:jc w:val="center"/>
              <w:outlineLvl w:val="9"/>
              <w:rPr>
                <w:bCs/>
                <w:iCs/>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 w:val="21"/>
                <w:szCs w:val="21"/>
              </w:rPr>
            </w:pPr>
          </w:p>
        </w:tc>
        <w:tc>
          <w:tcPr>
            <w:tcW w:w="2267" w:type="dxa"/>
            <w:vAlign w:val="center"/>
          </w:tcPr>
          <w:p>
            <w:pPr>
              <w:pStyle w:val="14"/>
              <w:spacing w:line="288" w:lineRule="auto"/>
              <w:jc w:val="center"/>
              <w:outlineLvl w:val="9"/>
              <w:rPr>
                <w:bCs/>
                <w:iCs/>
                <w:kern w:val="2"/>
                <w:sz w:val="21"/>
                <w:szCs w:val="21"/>
              </w:rPr>
            </w:pPr>
          </w:p>
        </w:tc>
        <w:tc>
          <w:tcPr>
            <w:tcW w:w="4396" w:type="dxa"/>
            <w:vAlign w:val="center"/>
          </w:tcPr>
          <w:p>
            <w:pPr>
              <w:pStyle w:val="14"/>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pPr>
              <w:pStyle w:val="14"/>
              <w:spacing w:line="288" w:lineRule="auto"/>
              <w:jc w:val="center"/>
              <w:outlineLvl w:val="9"/>
              <w:rPr>
                <w:bCs/>
                <w:iCs/>
                <w:kern w:val="2"/>
                <w:szCs w:val="21"/>
              </w:rPr>
            </w:pPr>
          </w:p>
        </w:tc>
        <w:tc>
          <w:tcPr>
            <w:tcW w:w="2267" w:type="dxa"/>
            <w:vAlign w:val="center"/>
          </w:tcPr>
          <w:p>
            <w:pPr>
              <w:pStyle w:val="14"/>
              <w:spacing w:line="288" w:lineRule="auto"/>
              <w:jc w:val="center"/>
              <w:outlineLvl w:val="9"/>
              <w:rPr>
                <w:bCs/>
                <w:iCs/>
                <w:kern w:val="2"/>
                <w:szCs w:val="21"/>
              </w:rPr>
            </w:pPr>
          </w:p>
        </w:tc>
        <w:tc>
          <w:tcPr>
            <w:tcW w:w="4396" w:type="dxa"/>
            <w:vAlign w:val="center"/>
          </w:tcPr>
          <w:p>
            <w:pPr>
              <w:pStyle w:val="14"/>
              <w:spacing w:line="288" w:lineRule="auto"/>
              <w:jc w:val="center"/>
              <w:outlineLvl w:val="9"/>
              <w:rPr>
                <w:bCs/>
                <w:iCs/>
                <w:kern w:val="2"/>
                <w:szCs w:val="21"/>
              </w:rPr>
            </w:pPr>
          </w:p>
        </w:tc>
      </w:tr>
    </w:tbl>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961" w:type="dxa"/>
        <w:tblInd w:w="108" w:type="dxa"/>
        <w:tblLayout w:type="autofit"/>
        <w:tblCellMar>
          <w:top w:w="0" w:type="dxa"/>
          <w:left w:w="108" w:type="dxa"/>
          <w:bottom w:w="0" w:type="dxa"/>
          <w:right w:w="108" w:type="dxa"/>
        </w:tblCellMar>
      </w:tblPr>
      <w:tblGrid>
        <w:gridCol w:w="740"/>
        <w:gridCol w:w="2020"/>
        <w:gridCol w:w="3960"/>
        <w:gridCol w:w="800"/>
        <w:gridCol w:w="1441"/>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4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围护结构的构造说明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大样图纸</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应体现不同构件的详细构造及热桥部位的处理方式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主要构件隔声性能分析报告或主要构件隔声性能的实验室检测报告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应包含空气隔声性能和撞击声隔声性能两种类型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房间之间空气声隔声性能、楼板撞击声隔声性能的现场检测报告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应涵盖每栋建筑的各类主要房间类型，选取具有代表性的典型房间进行检测，检测的房间数量不少于房间总数的2%，且每个单体建筑中同一功能类型房间的检测数量不少于3间（若该类型房间少于3间，需全检）</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4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4" w:hRule="atLeast"/>
          <w:jc w:val="center"/>
        </w:trPr>
        <w:tc>
          <w:tcPr>
            <w:tcW w:w="8364" w:type="dxa"/>
          </w:tcPr>
          <w:p>
            <w:pPr>
              <w:spacing w:line="288" w:lineRule="auto"/>
            </w:pPr>
          </w:p>
        </w:tc>
      </w:tr>
    </w:tbl>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5.2.7 充分利用天然光。</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1）住宅建筑室内主要功能空间至少60%面积比例区域，其采光照度值不低于300lx的小时数平均不少于6h/d，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3分；不少于8h/d，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2）当套型内三个及以下卫生间时应采用明卫，当套型内有三个以上的卫生间时，最多只有一个卫生间为非明卫，</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公共建筑按下列规则分别评分井累计：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内区采光系数满足采光要求的面积比例达到60%，</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地下空间平均采光系数不小于0.5%的面积与地下室首层面积的比例达到10%以上，</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室内主要功能空间至少60%面积比例区域的采光照度值不低于采光要求的小时数平均不少于4h/d，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主要功能房间有眩光控制措施，</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项目设计是否符合《建筑采光设计标准》中控制不舒适眩光的相关规定：□是、□否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概述改善室内防眩光采用的措施。（200字以内）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305" w:type="dxa"/>
          </w:tcPr>
          <w:p>
            <w:pPr>
              <w:pStyle w:val="14"/>
              <w:spacing w:line="288" w:lineRule="auto"/>
              <w:ind w:firstLine="422" w:firstLineChars="200"/>
              <w:outlineLvl w:val="8"/>
              <w:rPr>
                <w:rFonts w:eastAsia="黑体"/>
                <w:b/>
                <w:bCs/>
                <w:kern w:val="44"/>
                <w:sz w:val="21"/>
                <w:szCs w:val="21"/>
              </w:rPr>
            </w:pPr>
          </w:p>
        </w:tc>
      </w:tr>
    </w:tbl>
    <w:p>
      <w:pPr>
        <w:spacing w:line="288" w:lineRule="auto"/>
        <w:rPr>
          <w:szCs w:val="21"/>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nil"/>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应包括建筑主要功能房间外窗的朝向设置说明</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动态采光计算书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应包括建筑主要功能房间的动态采光计算</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公共建筑内区和地下空间的采光系数计算书或检测报告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应包括建筑主要功能房间的动态采光计算或检测</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364" w:type="dxa"/>
          </w:tcPr>
          <w:p>
            <w:pPr>
              <w:spacing w:line="288" w:lineRule="auto"/>
            </w:pPr>
          </w:p>
        </w:tc>
      </w:tr>
    </w:tbl>
    <w:p/>
    <w:p/>
    <w:p/>
    <w:p/>
    <w:p/>
    <w:p/>
    <w:p/>
    <w:p/>
    <w:p/>
    <w:p/>
    <w:p/>
    <w:p/>
    <w:p/>
    <w:p/>
    <w:p/>
    <w:p/>
    <w:p/>
    <w:p/>
    <w:p/>
    <w:p/>
    <w:p/>
    <w:p/>
    <w:p/>
    <w:p/>
    <w:p/>
    <w:p/>
    <w:p/>
    <w:p/>
    <w:p/>
    <w:p/>
    <w:p/>
    <w:p>
      <w:pPr>
        <w:pStyle w:val="3"/>
        <w:spacing w:line="288" w:lineRule="auto"/>
        <w:jc w:val="center"/>
        <w:rPr>
          <w:rFonts w:hint="eastAsia" w:ascii="宋体" w:hAnsi="宋体" w:eastAsia="宋体" w:cs="宋体"/>
        </w:rPr>
      </w:pPr>
      <w:bookmarkStart w:id="36" w:name="_Toc22221571"/>
      <w:bookmarkStart w:id="37" w:name="_Toc35364738"/>
      <w:r>
        <w:rPr>
          <w:rFonts w:hint="eastAsia" w:ascii="宋体" w:hAnsi="宋体" w:eastAsia="宋体" w:cs="宋体"/>
        </w:rPr>
        <w:t>Ⅳ 室内热湿环境</w:t>
      </w:r>
      <w:bookmarkEnd w:id="36"/>
      <w:bookmarkEnd w:id="37"/>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5.2.8 具有良好的室内热湿环境。</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采用自然通风或复合通风的建筑，室内气流组织应合理，建筑主要功能房间室内热环境参数在适应性热舒适区域的时间比例，达到30％，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2分；每再增加10％，加1分，最高得</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采用人工冷热源的建筑，重要功能区域气流组织满足要求，主要功能房间达到现行国家标准《民用建筑室内热湿环境评价标准》GB/T 50785规定的室内人工冷热源热湿环境整体评价Ⅱ级的面积比例，达到60％，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5分；每再增加10％，再得1分，最高得</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建筑类型：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采用自然通风的建筑</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采用复合通风的建筑</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w:t>
      </w:r>
      <w:r>
        <w:rPr>
          <w:rFonts w:hint="eastAsia" w:ascii="Times New Roman" w:hAnsi="Times New Roman" w:eastAsia="宋体" w:cs="Times New Roman"/>
          <w:bCs/>
          <w:color w:val="000000"/>
          <w:szCs w:val="24"/>
          <w:lang w:val="zh-CN" w:eastAsia="zh-CN"/>
        </w:rPr>
        <w:t>人工冷热源的建筑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采用自然通风或复合通风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4596"/>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lang w:val="zh-CN"/>
              </w:rPr>
            </w:pPr>
            <w:r>
              <w:rPr>
                <w:rFonts w:hint="eastAsia"/>
                <w:lang w:val="zh-CN"/>
              </w:rPr>
              <w:t>主要功能房间</w:t>
            </w:r>
          </w:p>
        </w:tc>
        <w:tc>
          <w:tcPr>
            <w:tcW w:w="5245" w:type="dxa"/>
          </w:tcPr>
          <w:p>
            <w:pPr>
              <w:spacing w:line="288" w:lineRule="auto"/>
              <w:jc w:val="center"/>
              <w:rPr>
                <w:lang w:val="zh-CN"/>
              </w:rPr>
            </w:pPr>
            <w:r>
              <w:rPr>
                <w:rFonts w:hint="eastAsia"/>
                <w:lang w:val="zh-CN"/>
              </w:rPr>
              <w:t>室内</w:t>
            </w:r>
            <w:r>
              <w:rPr>
                <w:rFonts w:hint="eastAsia" w:ascii="宋体" w:hAnsi="宋体" w:cs="宋体"/>
                <w:color w:val="000000"/>
                <w:kern w:val="0"/>
                <w:szCs w:val="21"/>
              </w:rPr>
              <w:t>热环境参数在适应性热舒适区域的时间（min）</w:t>
            </w:r>
          </w:p>
        </w:tc>
        <w:tc>
          <w:tcPr>
            <w:tcW w:w="1899" w:type="dxa"/>
          </w:tcPr>
          <w:p>
            <w:pPr>
              <w:spacing w:line="288" w:lineRule="auto"/>
              <w:jc w:val="center"/>
              <w:rPr>
                <w:b/>
                <w:lang w:val="zh-CN"/>
              </w:rPr>
            </w:pPr>
            <w:r>
              <w:rPr>
                <w:rFonts w:hint="eastAsia" w:ascii="宋体" w:hAnsi="宋体" w:cs="宋体"/>
                <w:color w:val="000000"/>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b/>
                <w:lang w:val="zh-CN"/>
              </w:rPr>
            </w:pPr>
          </w:p>
        </w:tc>
        <w:tc>
          <w:tcPr>
            <w:tcW w:w="5245" w:type="dxa"/>
          </w:tcPr>
          <w:p>
            <w:pPr>
              <w:spacing w:line="288" w:lineRule="auto"/>
              <w:jc w:val="center"/>
              <w:rPr>
                <w:b/>
                <w:lang w:val="zh-CN"/>
              </w:rPr>
            </w:pPr>
          </w:p>
        </w:tc>
        <w:tc>
          <w:tcPr>
            <w:tcW w:w="1899" w:type="dxa"/>
          </w:tcPr>
          <w:p>
            <w:pPr>
              <w:spacing w:line="288" w:lineRule="auto"/>
              <w:jc w:val="center"/>
              <w:rPr>
                <w:b/>
                <w:lang w:val="zh-CN"/>
              </w:rPr>
            </w:pPr>
          </w:p>
        </w:tc>
      </w:tr>
    </w:tbl>
    <w:p>
      <w:pPr>
        <w:spacing w:line="288" w:lineRule="auto"/>
        <w:rPr>
          <w:b/>
          <w:lang w:val="zh-CN"/>
        </w:rPr>
      </w:pP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采用人工冷热源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798"/>
        <w:gridCol w:w="377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lang w:val="zh-CN"/>
              </w:rPr>
            </w:pPr>
            <w:r>
              <w:rPr>
                <w:rFonts w:hint="eastAsia"/>
                <w:lang w:val="zh-CN"/>
              </w:rPr>
              <w:t>主要功能房间</w:t>
            </w:r>
          </w:p>
        </w:tc>
        <w:tc>
          <w:tcPr>
            <w:tcW w:w="1985" w:type="dxa"/>
          </w:tcPr>
          <w:p>
            <w:pPr>
              <w:spacing w:line="288" w:lineRule="auto"/>
              <w:jc w:val="center"/>
              <w:rPr>
                <w:rFonts w:ascii="宋体" w:hAnsi="宋体" w:cs="宋体"/>
                <w:color w:val="000000"/>
                <w:kern w:val="0"/>
                <w:szCs w:val="21"/>
              </w:rPr>
            </w:pPr>
            <w:r>
              <w:rPr>
                <w:rFonts w:hint="eastAsia" w:ascii="宋体" w:hAnsi="宋体" w:cs="宋体"/>
                <w:color w:val="000000"/>
                <w:kern w:val="0"/>
                <w:szCs w:val="21"/>
              </w:rPr>
              <w:t>房间面积（m</w:t>
            </w:r>
            <w:r>
              <w:rPr>
                <w:rFonts w:hint="eastAsia" w:ascii="宋体" w:hAnsi="宋体" w:cs="宋体"/>
                <w:color w:val="000000"/>
                <w:kern w:val="0"/>
                <w:szCs w:val="21"/>
                <w:vertAlign w:val="superscript"/>
              </w:rPr>
              <w:t>2</w:t>
            </w:r>
            <w:r>
              <w:rPr>
                <w:rFonts w:ascii="宋体" w:hAnsi="宋体" w:cs="宋体"/>
                <w:color w:val="000000"/>
                <w:kern w:val="0"/>
                <w:szCs w:val="21"/>
              </w:rPr>
              <w:t>）</w:t>
            </w:r>
          </w:p>
        </w:tc>
        <w:tc>
          <w:tcPr>
            <w:tcW w:w="4394" w:type="dxa"/>
          </w:tcPr>
          <w:p>
            <w:pPr>
              <w:spacing w:line="288" w:lineRule="auto"/>
              <w:jc w:val="center"/>
              <w:rPr>
                <w:lang w:val="zh-CN"/>
              </w:rPr>
            </w:pPr>
            <w:r>
              <w:rPr>
                <w:rFonts w:hint="eastAsia" w:ascii="宋体" w:hAnsi="宋体" w:cs="宋体"/>
                <w:color w:val="000000"/>
                <w:kern w:val="0"/>
                <w:szCs w:val="21"/>
              </w:rPr>
              <w:t>室内热环境参数达到整体评价11 级的面积</w:t>
            </w:r>
          </w:p>
        </w:tc>
        <w:tc>
          <w:tcPr>
            <w:tcW w:w="1332" w:type="dxa"/>
          </w:tcPr>
          <w:p>
            <w:pPr>
              <w:spacing w:line="288" w:lineRule="auto"/>
              <w:jc w:val="center"/>
              <w:rPr>
                <w:b/>
                <w:lang w:val="zh-CN"/>
              </w:rPr>
            </w:pPr>
            <w:r>
              <w:rPr>
                <w:rFonts w:hint="eastAsia" w:ascii="宋体" w:hAnsi="宋体" w:cs="宋体"/>
                <w:color w:val="000000"/>
                <w:kern w:val="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288" w:lineRule="auto"/>
              <w:jc w:val="center"/>
              <w:rPr>
                <w:b/>
                <w:lang w:val="zh-CN"/>
              </w:rPr>
            </w:pPr>
          </w:p>
        </w:tc>
        <w:tc>
          <w:tcPr>
            <w:tcW w:w="1985" w:type="dxa"/>
          </w:tcPr>
          <w:p>
            <w:pPr>
              <w:spacing w:line="288" w:lineRule="auto"/>
              <w:jc w:val="center"/>
              <w:rPr>
                <w:b/>
                <w:lang w:val="zh-CN"/>
              </w:rPr>
            </w:pPr>
          </w:p>
        </w:tc>
        <w:tc>
          <w:tcPr>
            <w:tcW w:w="4394" w:type="dxa"/>
          </w:tcPr>
          <w:p>
            <w:pPr>
              <w:spacing w:line="288" w:lineRule="auto"/>
              <w:jc w:val="center"/>
              <w:rPr>
                <w:b/>
                <w:lang w:val="zh-CN"/>
              </w:rPr>
            </w:pPr>
          </w:p>
        </w:tc>
        <w:tc>
          <w:tcPr>
            <w:tcW w:w="1332" w:type="dxa"/>
          </w:tcPr>
          <w:p>
            <w:pPr>
              <w:spacing w:line="288" w:lineRule="auto"/>
              <w:jc w:val="center"/>
              <w:rPr>
                <w:b/>
                <w:lang w:val="zh-CN"/>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028" w:type="dxa"/>
        <w:tblInd w:w="108" w:type="dxa"/>
        <w:tblLayout w:type="autofit"/>
        <w:tblCellMar>
          <w:top w:w="0" w:type="dxa"/>
          <w:left w:w="108" w:type="dxa"/>
          <w:bottom w:w="0" w:type="dxa"/>
          <w:right w:w="108" w:type="dxa"/>
        </w:tblCellMar>
      </w:tblPr>
      <w:tblGrid>
        <w:gridCol w:w="740"/>
        <w:gridCol w:w="2020"/>
        <w:gridCol w:w="3960"/>
        <w:gridCol w:w="800"/>
        <w:gridCol w:w="150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50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施工图纸及设计说明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室内温度模拟分析报告和舒适温度预计达标比例分析报告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含气流组织分析报告，应以建筑物内主要功能房间或区域为对象，以全年家建筑运行时间为评价范围，按主要功能房间或区域的面积加权计算满足舒适性热舒适区间的时间或百分比进行评分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5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spacing w:line="288" w:lineRule="auto"/>
        <w:jc w:val="left"/>
        <w:rPr>
          <w:b/>
          <w:sz w:val="24"/>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5.2.9 优化建筑空间和平面布局，改善自然通风效果。</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住宅建筑:通风开口面积与房间地板面积的比例达到8%，□5分；每再增加2%，加1分，最高得□8分；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公共建筑:过渡季典型工况下主要功能房间平均自然通风换气次数不小于2次/h的面积比例达到70%，□5分；每再增加10%，加1分，最高得□8分。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首层地下车库的通风开口面积与其地板轴线面积的比例达到2%，□2分。</w:t>
      </w:r>
    </w:p>
    <w:p>
      <w:pPr>
        <w:pStyle w:val="16"/>
        <w:numPr>
          <w:ilvl w:val="0"/>
          <w:numId w:val="0"/>
        </w:numPr>
        <w:ind w:leftChars="-100" w:firstLine="420" w:firstLineChars="200"/>
        <w:rPr>
          <w:rFonts w:hint="eastAsia" w:ascii="Times New Roman" w:hAnsi="Times New Roman" w:eastAsia="宋体" w:cs="Times New Roman"/>
          <w:b w:val="0"/>
          <w:bCs/>
          <w:color w:val="000000"/>
          <w:kern w:val="2"/>
          <w:sz w:val="21"/>
          <w:szCs w:val="24"/>
          <w:lang w:val="en-US" w:eastAsia="zh-CN" w:bidi="ar-SA"/>
        </w:rPr>
      </w:pPr>
      <w:r>
        <w:rPr>
          <w:rFonts w:hint="eastAsia" w:ascii="Times New Roman" w:hAnsi="Times New Roman" w:eastAsia="宋体" w:cs="Times New Roman"/>
          <w:b w:val="0"/>
          <w:bCs/>
          <w:color w:val="000000"/>
          <w:kern w:val="2"/>
          <w:sz w:val="21"/>
          <w:szCs w:val="24"/>
          <w:lang w:val="en-US" w:eastAsia="zh-CN" w:bidi="ar-SA"/>
        </w:rPr>
        <w:t>外窗可开启面积比例：</w:t>
      </w:r>
    </w:p>
    <w:tbl>
      <w:tblPr>
        <w:tblStyle w:val="9"/>
        <w:tblW w:w="0" w:type="auto"/>
        <w:jc w:val="center"/>
        <w:tblLayout w:type="fixed"/>
        <w:tblCellMar>
          <w:top w:w="0" w:type="dxa"/>
          <w:left w:w="108" w:type="dxa"/>
          <w:bottom w:w="0" w:type="dxa"/>
          <w:right w:w="108" w:type="dxa"/>
        </w:tblCellMar>
      </w:tblPr>
      <w:tblGrid>
        <w:gridCol w:w="965"/>
        <w:gridCol w:w="1074"/>
        <w:gridCol w:w="1546"/>
        <w:gridCol w:w="1128"/>
        <w:gridCol w:w="1130"/>
        <w:gridCol w:w="2004"/>
        <w:gridCol w:w="1563"/>
      </w:tblGrid>
      <w:tr>
        <w:tblPrEx>
          <w:tblCellMar>
            <w:top w:w="0" w:type="dxa"/>
            <w:left w:w="108" w:type="dxa"/>
            <w:bottom w:w="0" w:type="dxa"/>
            <w:right w:w="108" w:type="dxa"/>
          </w:tblCellMar>
        </w:tblPrEx>
        <w:trPr>
          <w:cantSplit/>
          <w:trHeight w:val="285" w:hRule="atLeast"/>
          <w:jc w:val="center"/>
        </w:trPr>
        <w:tc>
          <w:tcPr>
            <w:tcW w:w="965"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外窗编号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外窗类型</w:t>
            </w:r>
          </w:p>
        </w:tc>
        <w:tc>
          <w:tcPr>
            <w:tcW w:w="2258" w:type="dxa"/>
            <w:gridSpan w:val="2"/>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外窗尺寸</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数量（个）</w:t>
            </w:r>
          </w:p>
        </w:tc>
        <w:tc>
          <w:tcPr>
            <w:tcW w:w="1563"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28"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30"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rFonts w:hint="eastAsia" w:cs="宋体"/>
                <w:kern w:val="0"/>
                <w:szCs w:val="21"/>
              </w:rPr>
              <w:t>高度（</w:t>
            </w:r>
            <w:r>
              <w:rPr>
                <w:kern w:val="0"/>
                <w:szCs w:val="21"/>
              </w:rPr>
              <w:t>m</w:t>
            </w:r>
            <w:r>
              <w:rPr>
                <w:rFonts w:hint="eastAsia" w:cs="宋体"/>
                <w:kern w:val="0"/>
                <w:szCs w:val="21"/>
              </w:rPr>
              <w:t>）</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563"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r>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pPr>
              <w:spacing w:line="288" w:lineRule="auto"/>
              <w:jc w:val="center"/>
              <w:rPr>
                <w:szCs w:val="21"/>
              </w:rPr>
            </w:pPr>
          </w:p>
        </w:tc>
      </w:tr>
    </w:tbl>
    <w:p>
      <w:pPr>
        <w:pStyle w:val="14"/>
        <w:spacing w:line="288" w:lineRule="auto"/>
        <w:outlineLvl w:val="9"/>
        <w:rPr>
          <w:sz w:val="18"/>
          <w:szCs w:val="18"/>
        </w:rPr>
      </w:pPr>
      <w:r>
        <w:rPr>
          <w:sz w:val="18"/>
          <w:szCs w:val="18"/>
        </w:rPr>
        <w:t>注：当建筑层数大于18层时，仅统计18层及以下的外窗。</w:t>
      </w:r>
    </w:p>
    <w:p>
      <w:pPr>
        <w:pStyle w:val="14"/>
        <w:spacing w:line="288" w:lineRule="auto"/>
        <w:outlineLvl w:val="9"/>
        <w:rPr>
          <w:sz w:val="21"/>
          <w:szCs w:val="21"/>
        </w:rPr>
      </w:pPr>
    </w:p>
    <w:p>
      <w:pPr>
        <w:pStyle w:val="16"/>
        <w:numPr>
          <w:ilvl w:val="0"/>
          <w:numId w:val="0"/>
        </w:numPr>
        <w:ind w:leftChars="-100" w:firstLine="420" w:firstLineChars="200"/>
        <w:rPr>
          <w:rFonts w:hint="eastAsia" w:ascii="Times New Roman" w:hAnsi="Times New Roman" w:eastAsia="宋体" w:cs="Times New Roman"/>
          <w:b w:val="0"/>
          <w:bCs/>
          <w:color w:val="000000"/>
          <w:kern w:val="2"/>
          <w:sz w:val="21"/>
          <w:szCs w:val="24"/>
          <w:lang w:val="en-US" w:eastAsia="zh-CN" w:bidi="ar-SA"/>
        </w:rPr>
      </w:pPr>
      <w:r>
        <w:rPr>
          <w:rFonts w:hint="eastAsia" w:ascii="Times New Roman" w:hAnsi="Times New Roman" w:eastAsia="宋体" w:cs="Times New Roman"/>
          <w:b w:val="0"/>
          <w:bCs/>
          <w:color w:val="000000"/>
          <w:kern w:val="2"/>
          <w:sz w:val="21"/>
          <w:szCs w:val="24"/>
          <w:lang w:val="en-US" w:eastAsia="zh-CN" w:bidi="ar-SA"/>
        </w:rPr>
        <w:t>幕墙可开启面积比例：</w:t>
      </w:r>
    </w:p>
    <w:tbl>
      <w:tblPr>
        <w:tblStyle w:val="9"/>
        <w:tblW w:w="0" w:type="auto"/>
        <w:jc w:val="center"/>
        <w:tblLayout w:type="fixed"/>
        <w:tblCellMar>
          <w:top w:w="0" w:type="dxa"/>
          <w:left w:w="108" w:type="dxa"/>
          <w:bottom w:w="0" w:type="dxa"/>
          <w:right w:w="108" w:type="dxa"/>
        </w:tblCellMar>
      </w:tblPr>
      <w:tblGrid>
        <w:gridCol w:w="1041"/>
        <w:gridCol w:w="1149"/>
        <w:gridCol w:w="1150"/>
        <w:gridCol w:w="1179"/>
        <w:gridCol w:w="1181"/>
        <w:gridCol w:w="2101"/>
        <w:gridCol w:w="1609"/>
      </w:tblGrid>
      <w:tr>
        <w:tblPrEx>
          <w:tblCellMar>
            <w:top w:w="0" w:type="dxa"/>
            <w:left w:w="108" w:type="dxa"/>
            <w:bottom w:w="0" w:type="dxa"/>
            <w:right w:w="108" w:type="dxa"/>
          </w:tblCellMar>
        </w:tblPrEx>
        <w:trPr>
          <w:cantSplit/>
          <w:trHeight w:val="285" w:hRule="atLeast"/>
          <w:jc w:val="center"/>
        </w:trPr>
        <w:tc>
          <w:tcPr>
            <w:tcW w:w="1041" w:type="dxa"/>
            <w:vMerge w:val="restart"/>
            <w:tcBorders>
              <w:top w:val="single" w:color="auto" w:sz="4" w:space="0"/>
              <w:left w:val="single" w:color="auto" w:sz="4" w:space="0"/>
              <w:right w:val="single" w:color="auto" w:sz="4" w:space="0"/>
            </w:tcBorders>
          </w:tcPr>
          <w:p>
            <w:pPr>
              <w:widowControl/>
              <w:spacing w:line="288" w:lineRule="auto"/>
              <w:jc w:val="center"/>
              <w:rPr>
                <w:rFonts w:cs="宋体"/>
                <w:kern w:val="0"/>
                <w:szCs w:val="21"/>
              </w:rPr>
            </w:pPr>
            <w:r>
              <w:rPr>
                <w:rFonts w:hint="eastAsia" w:cs="宋体"/>
                <w:kern w:val="0"/>
                <w:szCs w:val="21"/>
              </w:rPr>
              <w:t>建筑编号</w:t>
            </w:r>
          </w:p>
        </w:tc>
        <w:tc>
          <w:tcPr>
            <w:tcW w:w="1149"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幕墙编号</w:t>
            </w:r>
          </w:p>
        </w:tc>
        <w:tc>
          <w:tcPr>
            <w:tcW w:w="1150"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幕墙类型</w:t>
            </w:r>
          </w:p>
        </w:tc>
        <w:tc>
          <w:tcPr>
            <w:tcW w:w="2360" w:type="dxa"/>
            <w:gridSpan w:val="2"/>
            <w:tcBorders>
              <w:top w:val="single" w:color="auto" w:sz="4" w:space="0"/>
              <w:left w:val="nil"/>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幕墙尺寸</w:t>
            </w:r>
          </w:p>
        </w:tc>
        <w:tc>
          <w:tcPr>
            <w:tcW w:w="2101" w:type="dxa"/>
            <w:vMerge w:val="restart"/>
            <w:tcBorders>
              <w:top w:val="single" w:color="auto" w:sz="4" w:space="0"/>
              <w:left w:val="single" w:color="auto" w:sz="4" w:space="0"/>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数量（个）</w:t>
            </w:r>
          </w:p>
        </w:tc>
        <w:tc>
          <w:tcPr>
            <w:tcW w:w="160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81" w:type="dxa"/>
            <w:tcBorders>
              <w:top w:val="nil"/>
              <w:left w:val="nil"/>
              <w:bottom w:val="single" w:color="auto" w:sz="4" w:space="0"/>
              <w:right w:val="single" w:color="auto" w:sz="4" w:space="0"/>
            </w:tcBorders>
            <w:vAlign w:val="bottom"/>
          </w:tcPr>
          <w:p>
            <w:pPr>
              <w:widowControl/>
              <w:spacing w:line="288" w:lineRule="auto"/>
              <w:jc w:val="center"/>
              <w:rPr>
                <w:rFonts w:cs="宋体"/>
                <w:kern w:val="0"/>
                <w:szCs w:val="21"/>
              </w:rPr>
            </w:pPr>
            <w:r>
              <w:rPr>
                <w:rFonts w:hint="eastAsia" w:cs="宋体"/>
                <w:kern w:val="0"/>
                <w:szCs w:val="21"/>
              </w:rPr>
              <w:t>高度（</w:t>
            </w:r>
            <w:r>
              <w:rPr>
                <w:rFonts w:cs="宋体"/>
                <w:kern w:val="0"/>
                <w:szCs w:val="21"/>
              </w:rPr>
              <w:t>m</w:t>
            </w:r>
            <w:r>
              <w:rPr>
                <w:rFonts w:hint="eastAsia" w:cs="宋体"/>
                <w:kern w:val="0"/>
                <w:szCs w:val="21"/>
              </w:rPr>
              <w:t>）</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6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r>
    </w:tbl>
    <w:p>
      <w:pPr>
        <w:pStyle w:val="14"/>
        <w:spacing w:line="288" w:lineRule="auto"/>
        <w:outlineLvl w:val="9"/>
        <w:rPr>
          <w:sz w:val="18"/>
          <w:szCs w:val="18"/>
        </w:rPr>
      </w:pPr>
      <w:r>
        <w:rPr>
          <w:sz w:val="18"/>
          <w:szCs w:val="18"/>
        </w:rPr>
        <w:t>注：当建筑层数大于18层时，仅统计18层及以下的外窗。</w:t>
      </w:r>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应体现门窗的类型、位置及尺寸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平立剖面图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应体现门窗的类型、位置及尺寸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住宅建筑外窗可开启面积比例计算书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公共建筑室内自然通风模拟分析报告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含自然通风换气次数模拟报告　</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8364" w:type="dxa"/>
          </w:tcPr>
          <w:p>
            <w:pPr>
              <w:spacing w:line="288" w:lineRule="auto"/>
            </w:pPr>
          </w:p>
        </w:tc>
      </w:tr>
    </w:tbl>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5.2.10 设置可调节遮阳设施，改善室内热舒适。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根据可调节遮阳设施的面积占外窗透明部分比例按表5.2.10的规则评分。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表5.2.10 可调节遮阳设施的面积占外窗透明部分比例评分规则</w:t>
      </w:r>
    </w:p>
    <w:tbl>
      <w:tblPr>
        <w:tblStyle w:val="9"/>
        <w:tblW w:w="8292" w:type="dxa"/>
        <w:tblInd w:w="0" w:type="dxa"/>
        <w:tblLayout w:type="fixed"/>
        <w:tblCellMar>
          <w:top w:w="0" w:type="dxa"/>
          <w:left w:w="108" w:type="dxa"/>
          <w:bottom w:w="0" w:type="dxa"/>
          <w:right w:w="108" w:type="dxa"/>
        </w:tblCellMar>
      </w:tblPr>
      <w:tblGrid>
        <w:gridCol w:w="3961"/>
        <w:gridCol w:w="4331"/>
      </w:tblGrid>
      <w:tr>
        <w:tblPrEx>
          <w:tblCellMar>
            <w:top w:w="0" w:type="dxa"/>
            <w:left w:w="108" w:type="dxa"/>
            <w:bottom w:w="0" w:type="dxa"/>
            <w:right w:w="108" w:type="dxa"/>
          </w:tblCellMar>
        </w:tblPrEx>
        <w:trPr>
          <w:trHeight w:val="660" w:hRule="atLeast"/>
        </w:trPr>
        <w:tc>
          <w:tcPr>
            <w:tcW w:w="3961" w:type="dxa"/>
            <w:tcBorders>
              <w:top w:val="single" w:color="1C1C1C" w:sz="8" w:space="0"/>
              <w:left w:val="single" w:color="2B2B2B" w:sz="8" w:space="0"/>
              <w:bottom w:val="single" w:color="282828"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可调节遮阳设施的面积占外窗透明部分比例Sz</w:t>
            </w:r>
          </w:p>
        </w:tc>
        <w:tc>
          <w:tcPr>
            <w:tcW w:w="4331" w:type="dxa"/>
            <w:tcBorders>
              <w:top w:val="single" w:color="1C1C1C" w:sz="8" w:space="0"/>
              <w:left w:val="single" w:color="2B2B2B" w:sz="8" w:space="0"/>
              <w:bottom w:val="single" w:color="282828"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得分</w:t>
            </w:r>
          </w:p>
        </w:tc>
      </w:tr>
      <w:tr>
        <w:tblPrEx>
          <w:tblCellMar>
            <w:top w:w="0" w:type="dxa"/>
            <w:left w:w="108" w:type="dxa"/>
            <w:bottom w:w="0" w:type="dxa"/>
            <w:right w:w="108" w:type="dxa"/>
          </w:tblCellMar>
        </w:tblPrEx>
        <w:tc>
          <w:tcPr>
            <w:tcW w:w="3961" w:type="dxa"/>
            <w:tcBorders>
              <w:top w:val="single" w:color="282828" w:sz="8" w:space="0"/>
              <w:left w:val="single" w:color="2B2B2B" w:sz="8" w:space="0"/>
              <w:bottom w:val="single" w:color="808080"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25%≤Sz＜35%</w:t>
            </w:r>
          </w:p>
        </w:tc>
        <w:tc>
          <w:tcPr>
            <w:tcW w:w="4331" w:type="dxa"/>
            <w:tcBorders>
              <w:top w:val="single" w:color="282828" w:sz="8" w:space="0"/>
              <w:left w:val="single" w:color="2B2B2B" w:sz="8" w:space="0"/>
              <w:bottom w:val="single" w:color="808080"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3</w:t>
            </w:r>
          </w:p>
        </w:tc>
      </w:tr>
      <w:tr>
        <w:tblPrEx>
          <w:tblCellMar>
            <w:top w:w="0" w:type="dxa"/>
            <w:left w:w="108" w:type="dxa"/>
            <w:bottom w:w="0" w:type="dxa"/>
            <w:right w:w="108" w:type="dxa"/>
          </w:tblCellMar>
        </w:tblPrEx>
        <w:tc>
          <w:tcPr>
            <w:tcW w:w="3961" w:type="dxa"/>
            <w:tcBorders>
              <w:top w:val="single" w:color="808080" w:sz="8" w:space="0"/>
              <w:left w:val="single" w:color="2B2B2B" w:sz="8" w:space="0"/>
              <w:bottom w:val="single" w:color="383838"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35%≤Sz＜45%</w:t>
            </w:r>
          </w:p>
        </w:tc>
        <w:tc>
          <w:tcPr>
            <w:tcW w:w="4331" w:type="dxa"/>
            <w:tcBorders>
              <w:top w:val="single" w:color="808080" w:sz="8" w:space="0"/>
              <w:left w:val="single" w:color="2B2B2B" w:sz="8" w:space="0"/>
              <w:bottom w:val="single" w:color="383838"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5</w:t>
            </w:r>
          </w:p>
        </w:tc>
      </w:tr>
      <w:tr>
        <w:tblPrEx>
          <w:tblCellMar>
            <w:top w:w="0" w:type="dxa"/>
            <w:left w:w="108" w:type="dxa"/>
            <w:bottom w:w="0" w:type="dxa"/>
            <w:right w:w="108" w:type="dxa"/>
          </w:tblCellMar>
        </w:tblPrEx>
        <w:tc>
          <w:tcPr>
            <w:tcW w:w="3961" w:type="dxa"/>
            <w:tcBorders>
              <w:top w:val="single" w:color="383838" w:sz="8" w:space="0"/>
              <w:left w:val="single" w:color="2B2B2B" w:sz="8" w:space="0"/>
              <w:bottom w:val="single" w:color="383838"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45%≤Sz＜55 %</w:t>
            </w:r>
          </w:p>
        </w:tc>
        <w:tc>
          <w:tcPr>
            <w:tcW w:w="4331" w:type="dxa"/>
            <w:tcBorders>
              <w:top w:val="single" w:color="383838" w:sz="8" w:space="0"/>
              <w:left w:val="single" w:color="2B2B2B" w:sz="8" w:space="0"/>
              <w:bottom w:val="single" w:color="383838"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7</w:t>
            </w:r>
          </w:p>
        </w:tc>
      </w:tr>
      <w:tr>
        <w:tblPrEx>
          <w:tblCellMar>
            <w:top w:w="0" w:type="dxa"/>
            <w:left w:w="108" w:type="dxa"/>
            <w:bottom w:w="0" w:type="dxa"/>
            <w:right w:w="108" w:type="dxa"/>
          </w:tblCellMar>
        </w:tblPrEx>
        <w:trPr>
          <w:trHeight w:val="90" w:hRule="atLeast"/>
        </w:trPr>
        <w:tc>
          <w:tcPr>
            <w:tcW w:w="3961" w:type="dxa"/>
            <w:tcBorders>
              <w:top w:val="single" w:color="383838" w:sz="8" w:space="0"/>
              <w:left w:val="single" w:color="2B2B2B" w:sz="8" w:space="0"/>
              <w:bottom w:val="single" w:color="2F2F2F" w:sz="8" w:space="0"/>
              <w:right w:val="single" w:color="2B2B2B" w:sz="8" w:space="0"/>
            </w:tcBorders>
            <w:shd w:val="clear" w:color="auto" w:fill="auto"/>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Sz≥ 55%</w:t>
            </w:r>
          </w:p>
        </w:tc>
        <w:tc>
          <w:tcPr>
            <w:tcW w:w="4331" w:type="dxa"/>
            <w:tcBorders>
              <w:top w:val="single" w:color="383838" w:sz="8" w:space="0"/>
              <w:left w:val="single" w:color="2B2B2B" w:sz="8" w:space="0"/>
              <w:bottom w:val="single" w:color="2F2F2F" w:sz="8" w:space="0"/>
              <w:right w:val="single" w:color="1C1C1C" w:sz="8" w:space="0"/>
            </w:tcBorders>
            <w:shd w:val="clear" w:color="auto" w:fill="auto"/>
            <w:vAlign w:val="center"/>
          </w:tcPr>
          <w:p>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9</w:t>
            </w: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应包含可调节遮阳设施的类型、位置及朝向说明</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应体现可调节遮阳设施的类型、位置及朝向</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遮阳装置图纸</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遮阳产品说明书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应体现可调节遮阳设施的类型、最大遮阳面积</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3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可调节遮阳设施的面积占外窗透明部分比例计算书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应包含可调节遮阳形式说明、控制措施、可调节遮阳覆盖率计算过程及结论，并且应对建筑透明围护结构总面积，有太阳直射部分的面积、以及采取可调节遮阳措施的面积进行分项统计</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451"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应体现门窗的类型及尺寸</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364" w:type="dxa"/>
          </w:tcPr>
          <w:p>
            <w:pPr>
              <w:spacing w:line="288" w:lineRule="auto"/>
            </w:pPr>
          </w:p>
        </w:tc>
      </w:tr>
    </w:tbl>
    <w:p>
      <w:pPr>
        <w:pStyle w:val="3"/>
        <w:tabs>
          <w:tab w:val="left" w:pos="2345"/>
          <w:tab w:val="center" w:pos="4213"/>
        </w:tabs>
        <w:spacing w:line="288" w:lineRule="auto"/>
        <w:jc w:val="left"/>
        <w:rPr>
          <w:rFonts w:hint="eastAsia" w:ascii="宋体" w:hAnsi="宋体" w:eastAsia="宋体" w:cs="宋体"/>
        </w:rPr>
      </w:pPr>
      <w:bookmarkStart w:id="38" w:name="_Toc22221572"/>
      <w:bookmarkStart w:id="39" w:name="_Toc35364739"/>
      <w:r>
        <w:rPr>
          <w:rFonts w:hint="eastAsia" w:ascii="宋体" w:hAnsi="宋体" w:cs="宋体"/>
          <w:lang w:eastAsia="zh-CN"/>
        </w:rPr>
        <w:tab/>
      </w:r>
      <w:r>
        <w:rPr>
          <w:rFonts w:hint="eastAsia" w:ascii="宋体" w:hAnsi="宋体" w:eastAsia="宋体" w:cs="宋体"/>
        </w:rPr>
        <w:t>Ⅴ 室内综合环境</w:t>
      </w:r>
      <w:bookmarkEnd w:id="38"/>
      <w:bookmarkEnd w:id="39"/>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bookmarkStart w:id="40" w:name="_Toc428800967"/>
      <w:bookmarkStart w:id="41" w:name="_Toc14261603"/>
      <w:r>
        <w:rPr>
          <w:rFonts w:hint="eastAsia" w:ascii="黑体" w:hAnsi="黑体" w:eastAsia="黑体" w:cs="Times New Roman"/>
          <w:kern w:val="0"/>
          <w:sz w:val="24"/>
          <w:lang w:val="en-US" w:eastAsia="zh-CN"/>
        </w:rPr>
        <w:t>5.2.11 综合考虑室内环境整体质量，综合质量达到下列要求可得分。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室内环境质量各项指标（声、光、热、室内空气品质）均达到下列各表中的较高要求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3分，达到更高要求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5分。</w:t>
      </w:r>
    </w:p>
    <w:p>
      <w:pPr>
        <w:spacing w:line="360" w:lineRule="auto"/>
        <w:jc w:val="center"/>
        <w:rPr>
          <w:rFonts w:ascii="Times New Roman" w:hAnsi="Times New Roman" w:eastAsia="宋体" w:cs="Times New Roman"/>
        </w:rPr>
      </w:pPr>
      <w:r>
        <w:rPr>
          <w:rFonts w:ascii="Times New Roman" w:hAnsi="Times New Roman" w:eastAsia="宋体" w:cs="Times New Roman"/>
        </w:rPr>
        <w:t>表5.2.11-1 室内噪声级等级判定</w:t>
      </w:r>
    </w:p>
    <w:tbl>
      <w:tblPr>
        <w:tblStyle w:val="9"/>
        <w:tblW w:w="6594" w:type="dxa"/>
        <w:jc w:val="center"/>
        <w:tblLayout w:type="fixed"/>
        <w:tblCellMar>
          <w:top w:w="0" w:type="dxa"/>
          <w:left w:w="28" w:type="dxa"/>
          <w:bottom w:w="0" w:type="dxa"/>
          <w:right w:w="28" w:type="dxa"/>
        </w:tblCellMar>
      </w:tblPr>
      <w:tblGrid>
        <w:gridCol w:w="3112"/>
        <w:gridCol w:w="864"/>
        <w:gridCol w:w="839"/>
        <w:gridCol w:w="25"/>
        <w:gridCol w:w="864"/>
        <w:gridCol w:w="864"/>
        <w:gridCol w:w="26"/>
      </w:tblGrid>
      <w:tr>
        <w:tblPrEx>
          <w:tblCellMar>
            <w:top w:w="0" w:type="dxa"/>
            <w:left w:w="28" w:type="dxa"/>
            <w:bottom w:w="0" w:type="dxa"/>
            <w:right w:w="28" w:type="dxa"/>
          </w:tblCellMar>
        </w:tblPrEx>
        <w:trPr>
          <w:trHeight w:val="283" w:hRule="atLeast"/>
          <w:jc w:val="center"/>
        </w:trPr>
        <w:tc>
          <w:tcPr>
            <w:tcW w:w="311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Times New Roman" w:hAnsi="Times New Roman" w:eastAsia="宋体" w:cs="Times New Roman"/>
                <w:b/>
              </w:rPr>
            </w:pPr>
            <w:r>
              <w:rPr>
                <w:rFonts w:hint="eastAsia" w:ascii="Times New Roman" w:hAnsi="Times New Roman" w:eastAsia="宋体" w:cs="Times New Roman"/>
                <w:b/>
              </w:rPr>
              <w:t>房间类型</w:t>
            </w:r>
          </w:p>
        </w:tc>
        <w:tc>
          <w:tcPr>
            <w:tcW w:w="1703"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较高要求</w:t>
            </w:r>
          </w:p>
        </w:tc>
        <w:tc>
          <w:tcPr>
            <w:tcW w:w="1779"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更高要求</w:t>
            </w:r>
          </w:p>
        </w:tc>
      </w:tr>
      <w:tr>
        <w:tblPrEx>
          <w:tblCellMar>
            <w:top w:w="0" w:type="dxa"/>
            <w:left w:w="28" w:type="dxa"/>
            <w:bottom w:w="0" w:type="dxa"/>
            <w:right w:w="28" w:type="dxa"/>
          </w:tblCellMar>
        </w:tblPrEx>
        <w:trPr>
          <w:gridAfter w:val="1"/>
          <w:wAfter w:w="26" w:type="dxa"/>
          <w:trHeight w:val="283" w:hRule="atLeast"/>
          <w:jc w:val="center"/>
        </w:trPr>
        <w:tc>
          <w:tcPr>
            <w:tcW w:w="3112"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Times New Roman" w:hAnsi="Times New Roman" w:eastAsia="宋体" w:cs="Times New Roman"/>
                <w:b/>
              </w:rPr>
            </w:pP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昼间</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夜间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昼间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夜间</w:t>
            </w:r>
          </w:p>
        </w:tc>
      </w:tr>
      <w:tr>
        <w:tblPrEx>
          <w:tblCellMar>
            <w:top w:w="0" w:type="dxa"/>
            <w:left w:w="28" w:type="dxa"/>
            <w:bottom w:w="0" w:type="dxa"/>
            <w:right w:w="28" w:type="dxa"/>
          </w:tblCellMar>
        </w:tblPrEx>
        <w:trPr>
          <w:gridAfter w:val="1"/>
          <w:wAfter w:w="26" w:type="dxa"/>
          <w:trHeight w:val="524"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有睡眠要求的主要功能房间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c>
          <w:tcPr>
            <w:tcW w:w="86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≤33dB</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≤30dB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需要集中精力、提高学习和工作效率的功能房间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需保证人通过自然声进行语言交流的场所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≤42dB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需保证通过扩声系统传输语言信息的大空间人员密集场所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≤50dB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≤45dB</w:t>
            </w:r>
          </w:p>
        </w:tc>
      </w:tr>
      <w:tr>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需保证通过扩声系统传输音乐信息的重要演绎空间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≤30dB</w:t>
            </w:r>
          </w:p>
        </w:tc>
      </w:tr>
    </w:tbl>
    <w:p>
      <w:pPr>
        <w:spacing w:line="360" w:lineRule="auto"/>
        <w:jc w:val="center"/>
        <w:rPr>
          <w:rFonts w:ascii="Times New Roman" w:hAnsi="Times New Roman" w:eastAsia="宋体" w:cs="Times New Roman"/>
        </w:rPr>
      </w:pPr>
    </w:p>
    <w:p>
      <w:pPr>
        <w:spacing w:line="360" w:lineRule="auto"/>
        <w:jc w:val="center"/>
        <w:rPr>
          <w:rFonts w:ascii="Times New Roman" w:hAnsi="Times New Roman" w:eastAsia="宋体" w:cs="Times New Roman"/>
        </w:rPr>
      </w:pPr>
      <w:r>
        <w:rPr>
          <w:rFonts w:ascii="Times New Roman" w:hAnsi="Times New Roman" w:eastAsia="宋体" w:cs="Times New Roman"/>
        </w:rPr>
        <w:t>表5.2.11-2 隔声性能等级判定</w:t>
      </w:r>
    </w:p>
    <w:tbl>
      <w:tblPr>
        <w:tblStyle w:val="9"/>
        <w:tblW w:w="6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12"/>
        <w:gridCol w:w="1703"/>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ind w:firstLine="480"/>
              <w:jc w:val="center"/>
              <w:rPr>
                <w:rFonts w:ascii="Times New Roman" w:hAnsi="Times New Roman" w:eastAsia="宋体" w:cs="Times New Roman"/>
                <w:b/>
              </w:rPr>
            </w:pPr>
            <w:r>
              <w:rPr>
                <w:rFonts w:hint="eastAsia" w:ascii="Times New Roman" w:hAnsi="Times New Roman" w:eastAsia="宋体" w:cs="Times New Roman"/>
                <w:b/>
              </w:rPr>
              <w:t>房间类型</w:t>
            </w:r>
          </w:p>
        </w:tc>
        <w:tc>
          <w:tcPr>
            <w:tcW w:w="1703"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较高要求</w:t>
            </w:r>
          </w:p>
        </w:tc>
        <w:tc>
          <w:tcPr>
            <w:tcW w:w="1779"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噪声敏感房间与产生噪声房间之间的空气声隔声性能</w:t>
            </w:r>
          </w:p>
        </w:tc>
        <w:tc>
          <w:tcPr>
            <w:tcW w:w="1703"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≥50dB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≥55</w:t>
            </w:r>
            <w:r>
              <w:rPr>
                <w:rFonts w:ascii="Times New Roman" w:hAnsi="Times New Roman" w:eastAsia="宋体" w:cs="Times New Roman"/>
                <w:b/>
              </w:rPr>
              <w:t xml:space="preserv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噪声敏感房间与普通房间之间的空气声隔声性能</w:t>
            </w:r>
          </w:p>
        </w:tc>
        <w:tc>
          <w:tcPr>
            <w:tcW w:w="1703" w:type="dxa"/>
            <w:vAlign w:val="center"/>
          </w:tcPr>
          <w:p>
            <w:pPr>
              <w:snapToGrid w:val="0"/>
              <w:spacing w:line="360" w:lineRule="auto"/>
              <w:jc w:val="center"/>
              <w:rPr>
                <w:rFonts w:ascii="Times New Roman" w:hAnsi="Times New Roman" w:eastAsia="宋体" w:cs="Times New Roman"/>
                <w:b/>
                <w:vertAlign w:val="superscript"/>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hint="eastAsia" w:ascii="Times New Roman" w:hAnsi="Times New Roman" w:eastAsia="宋体" w:cs="Times New Roman"/>
                <w:b/>
              </w:rPr>
              <w:t>≥45dB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hint="eastAsia" w:ascii="Times New Roman" w:hAnsi="Times New Roman" w:eastAsia="宋体" w:cs="Times New Roman"/>
                <w:b/>
              </w:rPr>
              <w:t>≥50dB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室外与噪声敏感房间之间的空气声隔声性能</w:t>
            </w:r>
          </w:p>
        </w:tc>
        <w:tc>
          <w:tcPr>
            <w:tcW w:w="1703"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2m,nT,w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≥40dB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2m,nT,w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≥45dB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噪声敏感房间顶部楼板的撞击声隔声性能</w:t>
            </w:r>
          </w:p>
        </w:tc>
        <w:tc>
          <w:tcPr>
            <w:tcW w:w="1703"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L</w:t>
            </w:r>
            <w:r>
              <w:rPr>
                <w:rFonts w:ascii="Times New Roman" w:hAnsi="Times New Roman" w:eastAsia="宋体" w:cs="Times New Roman"/>
                <w:b/>
              </w:rPr>
              <w:t>’</w:t>
            </w:r>
            <w:r>
              <w:rPr>
                <w:rFonts w:ascii="Times New Roman" w:hAnsi="Times New Roman" w:eastAsia="宋体" w:cs="Times New Roman"/>
                <w:b/>
                <w:vertAlign w:val="subscript"/>
              </w:rPr>
              <w:t>nT,w</w:t>
            </w:r>
            <w:r>
              <w:rPr>
                <w:rFonts w:hint="eastAsia" w:ascii="Times New Roman" w:hAnsi="Times New Roman" w:eastAsia="宋体" w:cs="Times New Roman"/>
                <w:b/>
              </w:rPr>
              <w:t>≤70dB</w:t>
            </w:r>
          </w:p>
        </w:tc>
        <w:tc>
          <w:tcPr>
            <w:tcW w:w="1779" w:type="dxa"/>
            <w:vAlign w:val="center"/>
          </w:tcPr>
          <w:p>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L</w:t>
            </w:r>
            <w:r>
              <w:rPr>
                <w:rFonts w:ascii="Times New Roman" w:hAnsi="Times New Roman" w:eastAsia="宋体" w:cs="Times New Roman"/>
                <w:b/>
              </w:rPr>
              <w:t>’</w:t>
            </w:r>
            <w:r>
              <w:rPr>
                <w:rFonts w:ascii="Times New Roman" w:hAnsi="Times New Roman" w:eastAsia="宋体" w:cs="Times New Roman"/>
                <w:b/>
                <w:vertAlign w:val="subscript"/>
              </w:rPr>
              <w:t>nT,w</w:t>
            </w:r>
            <w:r>
              <w:rPr>
                <w:rFonts w:hint="eastAsia" w:ascii="Times New Roman" w:hAnsi="Times New Roman" w:eastAsia="宋体" w:cs="Times New Roman"/>
                <w:b/>
              </w:rPr>
              <w:t>≤65dB</w:t>
            </w:r>
          </w:p>
        </w:tc>
      </w:tr>
    </w:tbl>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表5.2.11-3 光环境等级判定</w:t>
      </w:r>
    </w:p>
    <w:tbl>
      <w:tblPr>
        <w:tblStyle w:val="9"/>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18"/>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Borders>
              <w:top w:val="single" w:color="auto" w:sz="4" w:space="0"/>
              <w:left w:val="single" w:color="auto" w:sz="4" w:space="0"/>
              <w:bottom w:val="single" w:color="auto" w:sz="4" w:space="0"/>
              <w:right w:val="single" w:color="auto" w:sz="4" w:space="0"/>
            </w:tcBorders>
          </w:tcPr>
          <w:p>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等级</w:t>
            </w:r>
          </w:p>
        </w:tc>
        <w:tc>
          <w:tcPr>
            <w:tcW w:w="453" w:type="pct"/>
            <w:tcBorders>
              <w:top w:val="single" w:color="auto" w:sz="4" w:space="0"/>
              <w:left w:val="single" w:color="auto" w:sz="4" w:space="0"/>
              <w:bottom w:val="single" w:color="auto" w:sz="4" w:space="0"/>
              <w:right w:val="single" w:color="auto" w:sz="4" w:space="0"/>
            </w:tcBorders>
          </w:tcPr>
          <w:p>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较高要求</w:t>
            </w:r>
          </w:p>
        </w:tc>
        <w:tc>
          <w:tcPr>
            <w:tcW w:w="4238" w:type="pct"/>
            <w:tcBorders>
              <w:top w:val="single" w:color="auto" w:sz="4" w:space="0"/>
              <w:left w:val="single" w:color="auto" w:sz="4" w:space="0"/>
              <w:bottom w:val="single" w:color="auto" w:sz="4" w:space="0"/>
              <w:right w:val="single" w:color="auto" w:sz="4" w:space="0"/>
            </w:tcBorders>
          </w:tcPr>
          <w:p>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宋体" w:cs="Times New Roman"/>
              </w:rPr>
            </w:pPr>
            <w:r>
              <w:rPr>
                <w:rFonts w:hint="eastAsia" w:ascii="Times New Roman" w:hAnsi="Times New Roman" w:eastAsia="宋体" w:cs="Times New Roman"/>
              </w:rPr>
              <w:t>等级判定规则</w:t>
            </w:r>
          </w:p>
        </w:tc>
        <w:tc>
          <w:tcPr>
            <w:tcW w:w="4692" w:type="pct"/>
            <w:gridSpan w:val="2"/>
            <w:tcBorders>
              <w:top w:val="single" w:color="auto" w:sz="4" w:space="0"/>
              <w:left w:val="single" w:color="auto" w:sz="4" w:space="0"/>
              <w:bottom w:val="single" w:color="auto" w:sz="4" w:space="0"/>
              <w:right w:val="single" w:color="auto" w:sz="4" w:space="0"/>
            </w:tcBorders>
            <w:vAlign w:val="center"/>
          </w:tcPr>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照度、照度均匀度、统一眩光值、眩光值、一般显色指数、色温、频闪满足《建筑照明设计标准》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的要求。</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一般类建筑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重要类建筑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，照度标准值不提升。</w:t>
            </w:r>
          </w:p>
          <w:p>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特殊类建筑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；无电视转播的体育建筑和有电视转播的体育建筑照度标准值不提升，眩光值降低</w:t>
            </w:r>
            <w:r>
              <w:rPr>
                <w:rFonts w:ascii="Times New Roman" w:hAnsi="Times New Roman" w:eastAsia="宋体" w:cs="Times New Roman"/>
                <w:szCs w:val="21"/>
              </w:rPr>
              <w:t>3</w:t>
            </w:r>
            <w:r>
              <w:rPr>
                <w:rFonts w:hint="eastAsia" w:ascii="Times New Roman" w:hAnsi="Times New Roman" w:eastAsia="宋体" w:cs="Times New Roman"/>
                <w:szCs w:val="21"/>
              </w:rPr>
              <w:t>；教育建筑照度标准值不提升，统一眩光值降低</w:t>
            </w:r>
            <w:r>
              <w:rPr>
                <w:rFonts w:ascii="Times New Roman" w:hAnsi="Times New Roman" w:eastAsia="宋体" w:cs="Times New Roman"/>
                <w:szCs w:val="21"/>
              </w:rPr>
              <w:t>2</w:t>
            </w:r>
            <w:r>
              <w:rPr>
                <w:rFonts w:hint="eastAsia" w:ascii="Times New Roman" w:hAnsi="Times New Roman" w:eastAsia="宋体" w:cs="Times New Roman"/>
                <w:szCs w:val="21"/>
              </w:rPr>
              <w:t>，一般照明照度均匀度提升</w:t>
            </w:r>
            <w:r>
              <w:rPr>
                <w:rFonts w:ascii="Times New Roman" w:hAnsi="Times New Roman" w:eastAsia="宋体" w:cs="Times New Roman"/>
                <w:szCs w:val="21"/>
              </w:rPr>
              <w:t>0.10</w:t>
            </w:r>
            <w:r>
              <w:rPr>
                <w:rFonts w:hint="eastAsia" w:ascii="Times New Roman" w:hAnsi="Times New Roman" w:eastAsia="宋体" w:cs="Times New Roman"/>
                <w:szCs w:val="21"/>
              </w:rPr>
              <w:t>。</w:t>
            </w:r>
          </w:p>
          <w:p>
            <w:pPr>
              <w:spacing w:before="156" w:beforeLines="50"/>
              <w:jc w:val="center"/>
              <w:rPr>
                <w:rFonts w:ascii="Times New Roman" w:hAnsi="Times New Roman" w:eastAsia="宋体" w:cs="Times New Roman"/>
                <w:szCs w:val="21"/>
              </w:rPr>
            </w:pPr>
            <w:r>
              <w:rPr>
                <w:rFonts w:hint="eastAsia" w:ascii="Times New Roman" w:hAnsi="Times New Roman" w:eastAsia="宋体" w:cs="Times New Roman"/>
                <w:szCs w:val="21"/>
              </w:rPr>
              <w:t>一般类建筑、重要类建筑中除有特殊照度需求的房间或场所</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，从绿色节能的角度考虑照度宜限制在</w:t>
            </w:r>
            <w:r>
              <w:rPr>
                <w:rFonts w:ascii="Times New Roman" w:hAnsi="Times New Roman" w:eastAsia="宋体" w:cs="Times New Roman"/>
                <w:szCs w:val="21"/>
              </w:rPr>
              <w:t>750lx</w:t>
            </w:r>
            <w:r>
              <w:rPr>
                <w:rFonts w:hint="eastAsia" w:ascii="Times New Roman" w:hAnsi="Times New Roman" w:eastAsia="宋体" w:cs="Times New Roman"/>
                <w:szCs w:val="21"/>
              </w:rPr>
              <w:t>以下，有特殊照度需求的房间或场所和特殊类建筑在二星级基础上根据需求进行合理设定。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rPr>
            </w:pPr>
          </w:p>
        </w:tc>
        <w:tc>
          <w:tcPr>
            <w:tcW w:w="453" w:type="pct"/>
            <w:tcBorders>
              <w:top w:val="single" w:color="auto" w:sz="4" w:space="0"/>
              <w:left w:val="single" w:color="auto" w:sz="4" w:space="0"/>
              <w:bottom w:val="single" w:color="auto" w:sz="4" w:space="0"/>
              <w:right w:val="single" w:color="auto" w:sz="4" w:space="0"/>
            </w:tcBorders>
            <w:vAlign w:val="center"/>
          </w:tcPr>
          <w:p>
            <w:pPr>
              <w:spacing w:before="156" w:beforeLines="50"/>
              <w:jc w:val="center"/>
              <w:rPr>
                <w:rFonts w:ascii="Times New Roman" w:hAnsi="Times New Roman" w:eastAsia="宋体" w:cs="Times New Roman"/>
                <w:szCs w:val="21"/>
              </w:rPr>
            </w:pPr>
          </w:p>
        </w:tc>
        <w:tc>
          <w:tcPr>
            <w:tcW w:w="4238" w:type="pct"/>
            <w:tcBorders>
              <w:top w:val="single" w:color="auto" w:sz="4" w:space="0"/>
              <w:left w:val="single" w:color="auto" w:sz="4" w:space="0"/>
              <w:bottom w:val="single" w:color="auto" w:sz="4" w:space="0"/>
              <w:right w:val="single" w:color="auto" w:sz="4" w:space="0"/>
            </w:tcBorders>
          </w:tcPr>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一般类建筑常用房间或场所在照明功率密度满足《建筑照明设计标准》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，照度标准值不提升。</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重要类建筑常用房间或场所在照明功率密度满足《建筑照明设计标准》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特殊类建筑常用房间或场所在照明功率密度满足《建筑照明设计标准》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不提升，特殊显色指数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9</w:t>
            </w:r>
            <w:r>
              <w:rPr>
                <w:rFonts w:hint="eastAsia" w:ascii="Times New Roman" w:hAnsi="Times New Roman" w:eastAsia="宋体" w:cs="Times New Roman"/>
                <w:szCs w:val="21"/>
              </w:rPr>
              <w:t>大于</w:t>
            </w:r>
            <w:r>
              <w:rPr>
                <w:rFonts w:ascii="Times New Roman" w:hAnsi="Times New Roman" w:eastAsia="宋体" w:cs="Times New Roman"/>
                <w:szCs w:val="21"/>
              </w:rPr>
              <w:t>50</w:t>
            </w:r>
            <w:r>
              <w:rPr>
                <w:rFonts w:hint="eastAsia" w:ascii="Times New Roman" w:hAnsi="Times New Roman" w:eastAsia="宋体" w:cs="Times New Roman"/>
                <w:szCs w:val="21"/>
              </w:rPr>
              <w:t>；无电视转播的体育建筑照度标准值按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条分级提高一级，眩光值降低</w:t>
            </w:r>
            <w:r>
              <w:rPr>
                <w:rFonts w:ascii="Times New Roman" w:hAnsi="Times New Roman" w:eastAsia="宋体" w:cs="Times New Roman"/>
                <w:szCs w:val="21"/>
              </w:rPr>
              <w:t>4</w:t>
            </w:r>
            <w:r>
              <w:rPr>
                <w:rFonts w:hint="eastAsia" w:ascii="Times New Roman" w:hAnsi="Times New Roman" w:eastAsia="宋体" w:cs="Times New Roman"/>
                <w:szCs w:val="21"/>
              </w:rPr>
              <w:t>；有电视转播的体育建筑照度标准值按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条分级提高一级，眩光值降低</w:t>
            </w:r>
            <w:r>
              <w:rPr>
                <w:rFonts w:ascii="Times New Roman" w:hAnsi="Times New Roman" w:eastAsia="宋体" w:cs="Times New Roman"/>
                <w:szCs w:val="21"/>
              </w:rPr>
              <w:t>8</w:t>
            </w:r>
            <w:r>
              <w:rPr>
                <w:rFonts w:hint="eastAsia" w:ascii="Times New Roman" w:hAnsi="Times New Roman" w:eastAsia="宋体" w:cs="Times New Roman"/>
                <w:szCs w:val="21"/>
              </w:rPr>
              <w:t>；教育建筑照度标准值按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条分级提高一级，统一眩光值降低</w:t>
            </w:r>
            <w:r>
              <w:rPr>
                <w:rFonts w:ascii="Times New Roman" w:hAnsi="Times New Roman" w:eastAsia="宋体" w:cs="Times New Roman"/>
                <w:szCs w:val="21"/>
              </w:rPr>
              <w:t>6</w:t>
            </w:r>
            <w:r>
              <w:rPr>
                <w:rFonts w:hint="eastAsia" w:ascii="Times New Roman" w:hAnsi="Times New Roman" w:eastAsia="宋体" w:cs="Times New Roman"/>
                <w:szCs w:val="21"/>
              </w:rPr>
              <w:t>，一般照明照度均匀度提升</w:t>
            </w:r>
            <w:r>
              <w:rPr>
                <w:rFonts w:ascii="Times New Roman" w:hAnsi="Times New Roman" w:eastAsia="宋体" w:cs="Times New Roman"/>
                <w:szCs w:val="21"/>
              </w:rPr>
              <w:t>0.20</w:t>
            </w:r>
            <w:r>
              <w:rPr>
                <w:rFonts w:hint="eastAsia" w:ascii="Times New Roman" w:hAnsi="Times New Roman" w:eastAsia="宋体" w:cs="Times New Roman"/>
                <w:szCs w:val="21"/>
              </w:rPr>
              <w:t>。</w:t>
            </w:r>
          </w:p>
          <w:p>
            <w:pPr>
              <w:spacing w:before="156" w:beforeLines="50"/>
              <w:jc w:val="center"/>
              <w:rPr>
                <w:rFonts w:ascii="Times New Roman" w:hAnsi="Times New Roman" w:eastAsia="宋体" w:cs="Times New Roman"/>
                <w:szCs w:val="21"/>
              </w:rPr>
            </w:pPr>
            <w:r>
              <w:rPr>
                <w:rFonts w:hint="eastAsia" w:ascii="Times New Roman" w:hAnsi="Times New Roman" w:eastAsia="宋体" w:cs="Times New Roman"/>
                <w:szCs w:val="21"/>
              </w:rPr>
              <w:t>一般类建筑、重要类建筑中除有特殊照度需求的房间或场所</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，从绿色节能的角度考虑照度应限制在</w:t>
            </w:r>
            <w:r>
              <w:rPr>
                <w:rFonts w:ascii="Times New Roman" w:hAnsi="Times New Roman" w:eastAsia="宋体" w:cs="Times New Roman"/>
                <w:szCs w:val="21"/>
              </w:rPr>
              <w:t>750lx</w:t>
            </w:r>
            <w:r>
              <w:rPr>
                <w:rFonts w:hint="eastAsia" w:ascii="Times New Roman" w:hAnsi="Times New Roman" w:eastAsia="宋体" w:cs="Times New Roman"/>
                <w:szCs w:val="21"/>
              </w:rPr>
              <w:t>以下，有特殊照度需求的房间或场所和特殊类建筑在三星级基础上根据需求进行合理设定。</w:t>
            </w:r>
          </w:p>
        </w:tc>
      </w:tr>
    </w:tbl>
    <w:p>
      <w:pPr>
        <w:spacing w:line="40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、根据视看功能重要性及有无特殊需求，将建筑光环境划分为以下三大类：</w:t>
      </w:r>
    </w:p>
    <w:p>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①</w:t>
      </w:r>
      <w:r>
        <w:rPr>
          <w:rFonts w:hint="eastAsia" w:ascii="Times New Roman" w:hAnsi="Times New Roman" w:eastAsia="宋体" w:cs="Times New Roman"/>
          <w:sz w:val="18"/>
          <w:szCs w:val="18"/>
        </w:rPr>
        <w:t>一般类建筑：包括观演建筑、交通建筑、商店建筑、旅馆建筑、科技馆建筑、会展建筑、金融建筑、博物馆建筑（除陈列室外）；</w:t>
      </w:r>
    </w:p>
    <w:p>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②</w:t>
      </w:r>
      <w:r>
        <w:rPr>
          <w:rFonts w:hint="eastAsia" w:ascii="Times New Roman" w:hAnsi="Times New Roman" w:eastAsia="宋体" w:cs="Times New Roman"/>
          <w:sz w:val="18"/>
          <w:szCs w:val="18"/>
        </w:rPr>
        <w:t>重要类建筑：包括图书馆建筑、办公建筑、医疗建筑、美术馆建筑；</w:t>
      </w:r>
    </w:p>
    <w:p>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③</w:t>
      </w:r>
      <w:r>
        <w:rPr>
          <w:rFonts w:hint="eastAsia" w:ascii="Times New Roman" w:hAnsi="Times New Roman" w:eastAsia="宋体" w:cs="Times New Roman"/>
          <w:sz w:val="18"/>
          <w:szCs w:val="18"/>
        </w:rPr>
        <w:t>特殊类建筑：博物馆建筑陈列室、教育建筑、无电视转播的体育建筑和有电视转播的体育建筑。</w:t>
      </w:r>
    </w:p>
    <w:p>
      <w:pPr>
        <w:spacing w:line="360" w:lineRule="auto"/>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一般类建筑、重要类建筑有特殊照度需求的房间或场所指：博物馆建筑中的美术制作室、保护修复室、文物复制室、标本制作室，商店建筑中高档商店营业厅、高档超市营业厅、收款台，旅馆建筑中厨房，交通建筑中收款台、海关护照检查，办公建筑中视频会议室，医疗建筑中化验室、手术室、药房等，美术馆中的藏画修理室等。</w:t>
      </w:r>
    </w:p>
    <w:p>
      <w:pPr>
        <w:jc w:val="center"/>
        <w:rPr>
          <w:rFonts w:ascii="Times New Roman" w:hAnsi="Times New Roman" w:eastAsia="宋体" w:cs="Times New Roman"/>
        </w:rPr>
      </w:pPr>
    </w:p>
    <w:p>
      <w:pPr>
        <w:spacing w:line="360" w:lineRule="auto"/>
        <w:jc w:val="center"/>
        <w:rPr>
          <w:rFonts w:ascii="Times New Roman" w:hAnsi="Times New Roman" w:eastAsia="宋体" w:cs="Times New Roman"/>
        </w:rPr>
      </w:pPr>
      <w:r>
        <w:rPr>
          <w:rFonts w:ascii="Times New Roman" w:hAnsi="Times New Roman" w:eastAsia="宋体" w:cs="Times New Roman"/>
        </w:rPr>
        <w:t>表5.2.11-4人工冷热源热环境等级判定</w:t>
      </w:r>
    </w:p>
    <w:tbl>
      <w:tblPr>
        <w:tblStyle w:val="1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16"/>
        <w:gridCol w:w="1731"/>
        <w:gridCol w:w="1400"/>
        <w:gridCol w:w="1581"/>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294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整体评价指标（</w:t>
            </w:r>
            <w:r>
              <w:rPr>
                <w:rFonts w:ascii="Times New Roman" w:hAnsi="Times New Roman" w:eastAsia="宋体" w:cs="Times New Roman"/>
                <w:kern w:val="0"/>
                <w:sz w:val="20"/>
                <w:szCs w:val="20"/>
              </w:rPr>
              <w:t>PMV</w:t>
            </w:r>
            <w:r>
              <w:rPr>
                <w:rFonts w:hint="eastAsia" w:ascii="Times New Roman" w:hAnsi="Times New Roman" w:eastAsia="宋体" w:cs="Times New Roman"/>
                <w:kern w:val="0"/>
                <w:sz w:val="20"/>
                <w:szCs w:val="20"/>
              </w:rPr>
              <w:t>）</w:t>
            </w:r>
          </w:p>
        </w:tc>
        <w:tc>
          <w:tcPr>
            <w:tcW w:w="45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局部评价指标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46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20"/>
                <w:szCs w:val="20"/>
              </w:rPr>
            </w:pP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冷吹风感（</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1</w:t>
            </w:r>
            <w:r>
              <w:rPr>
                <w:rFonts w:hint="eastAsia" w:ascii="Times New Roman" w:hAnsi="Times New Roman" w:eastAsia="宋体" w:cs="Times New Roman"/>
                <w:kern w:val="0"/>
                <w:sz w:val="20"/>
                <w:szCs w:val="20"/>
              </w:rPr>
              <w:t>）不满意度</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垂直空气温度差（</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2</w:t>
            </w:r>
            <w:r>
              <w:rPr>
                <w:rFonts w:hint="eastAsia" w:ascii="Times New Roman" w:hAnsi="Times New Roman" w:eastAsia="宋体" w:cs="Times New Roman"/>
                <w:kern w:val="0"/>
                <w:sz w:val="20"/>
                <w:szCs w:val="20"/>
              </w:rPr>
              <w:t>）不满意度</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地板表面温度（</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3</w:t>
            </w:r>
            <w:r>
              <w:rPr>
                <w:rFonts w:hint="eastAsia" w:ascii="Times New Roman" w:hAnsi="Times New Roman" w:eastAsia="宋体" w:cs="Times New Roman"/>
                <w:kern w:val="0"/>
                <w:sz w:val="20"/>
                <w:szCs w:val="20"/>
              </w:rPr>
              <w:t>）不满意度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r>
              <w:rPr>
                <w:rFonts w:hint="eastAsia" w:ascii="Times New Roman" w:hAnsi="Times New Roman" w:eastAsia="宋体" w:cs="Times New Roman"/>
                <w:kern w:val="0"/>
                <w:sz w:val="20"/>
                <w:szCs w:val="20"/>
              </w:rPr>
              <w:t>＜PPD≤15%</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-0.7≤PMV＜</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或</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＜PMV≤0.7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20%≤LPD1＜</w:t>
            </w:r>
            <w:r>
              <w:rPr>
                <w:rFonts w:ascii="Times New Roman" w:hAnsi="Times New Roman" w:eastAsia="宋体" w:cs="Times New Roman"/>
                <w:kern w:val="0"/>
                <w:sz w:val="20"/>
                <w:szCs w:val="20"/>
              </w:rPr>
              <w:t>30%</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10%≤LPD2＜</w:t>
            </w:r>
            <w:r>
              <w:rPr>
                <w:rFonts w:ascii="Times New Roman" w:hAnsi="Times New Roman" w:eastAsia="宋体" w:cs="Times New Roman"/>
                <w:kern w:val="0"/>
                <w:sz w:val="20"/>
                <w:szCs w:val="20"/>
              </w:rPr>
              <w:t>20%</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10%≤LPD2＜</w:t>
            </w:r>
            <w:r>
              <w:rPr>
                <w:rFonts w:ascii="Times New Roman" w:hAnsi="Times New Roman" w:eastAsia="宋体" w:cs="Times New Roman"/>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PPD≤10%</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-0.5≤PMV≤+0.5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LPD1</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20%</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LPD2</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w:t>
            </w:r>
          </w:p>
        </w:tc>
        <w:tc>
          <w:tcPr>
            <w:tcW w:w="152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LPD3</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w:t>
            </w:r>
          </w:p>
        </w:tc>
      </w:tr>
    </w:tbl>
    <w:p>
      <w:pPr>
        <w:spacing w:line="360" w:lineRule="auto"/>
        <w:jc w:val="left"/>
        <w:rPr>
          <w:rFonts w:ascii="Times New Roman" w:hAnsi="Times New Roman" w:eastAsia="宋体" w:cs="Times New Roman"/>
        </w:rPr>
      </w:pPr>
      <w:r>
        <w:rPr>
          <w:rFonts w:hint="eastAsia" w:ascii="Times New Roman" w:hAnsi="Times New Roman" w:eastAsia="宋体" w:cs="Times New Roman"/>
        </w:rPr>
        <w:t>表中：预计平均热感觉指标（</w:t>
      </w:r>
      <w:r>
        <w:rPr>
          <w:rFonts w:ascii="Times New Roman" w:hAnsi="Times New Roman" w:eastAsia="宋体" w:cs="Times New Roman"/>
        </w:rPr>
        <w:t>PMV</w:t>
      </w:r>
      <w:r>
        <w:rPr>
          <w:rFonts w:hint="eastAsia" w:ascii="Times New Roman" w:hAnsi="Times New Roman" w:eastAsia="宋体" w:cs="Times New Roman"/>
        </w:rPr>
        <w:t>）和预计不满意者的百分数（</w:t>
      </w:r>
      <w:r>
        <w:rPr>
          <w:rFonts w:ascii="Times New Roman" w:hAnsi="Times New Roman" w:eastAsia="宋体" w:cs="Times New Roman"/>
        </w:rPr>
        <w:t>PPD</w:t>
      </w:r>
      <w:r>
        <w:rPr>
          <w:rFonts w:hint="eastAsia" w:ascii="Times New Roman" w:hAnsi="Times New Roman" w:eastAsia="宋体" w:cs="Times New Roman"/>
        </w:rPr>
        <w:t>），其计算按国家标准《民用建筑室内热湿环境评价标准》</w:t>
      </w:r>
      <w:r>
        <w:rPr>
          <w:rFonts w:ascii="Times New Roman" w:hAnsi="Times New Roman" w:eastAsia="宋体" w:cs="Times New Roman"/>
        </w:rPr>
        <w:t>GB/T 50785</w:t>
      </w:r>
      <w:r>
        <w:rPr>
          <w:rFonts w:hint="eastAsia" w:ascii="Times New Roman" w:hAnsi="Times New Roman" w:eastAsia="宋体" w:cs="Times New Roman"/>
        </w:rPr>
        <w:t>附录的规定执行。</w:t>
      </w:r>
    </w:p>
    <w:p>
      <w:pPr>
        <w:spacing w:line="360" w:lineRule="auto"/>
        <w:jc w:val="center"/>
        <w:rPr>
          <w:rFonts w:ascii="Times New Roman" w:hAnsi="Times New Roman" w:eastAsia="宋体" w:cs="Times New Roman"/>
        </w:rPr>
      </w:pPr>
      <w:r>
        <w:rPr>
          <w:rFonts w:ascii="Times New Roman" w:hAnsi="Times New Roman" w:eastAsia="宋体" w:cs="Times New Roman"/>
        </w:rPr>
        <w:t>表5.2.11-5非人工冷热源热环境等级判定</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532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指标（</w:t>
            </w:r>
            <w:r>
              <w:rPr>
                <w:rFonts w:ascii="Times New Roman" w:hAnsi="Times New Roman" w:eastAsia="宋体" w:cs="Times New Roman"/>
                <w:kern w:val="0"/>
                <w:sz w:val="20"/>
                <w:szCs w:val="20"/>
              </w:rPr>
              <w:t>APMV</w:t>
            </w:r>
            <w:r>
              <w:rPr>
                <w:rFonts w:hint="eastAsia" w:ascii="Times New Roman" w:hAnsi="Times New Roman"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532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-0.7≤APMV＜</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或</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＜APMV≤0.7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c>
          <w:tcPr>
            <w:tcW w:w="532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-0.5≤APMV≤+0.5</w:t>
            </w:r>
          </w:p>
        </w:tc>
      </w:tr>
    </w:tbl>
    <w:p>
      <w:pPr>
        <w:spacing w:line="360" w:lineRule="auto"/>
        <w:jc w:val="left"/>
        <w:rPr>
          <w:rFonts w:ascii="Times New Roman" w:hAnsi="Times New Roman" w:eastAsia="宋体" w:cs="Times New Roman"/>
        </w:rPr>
      </w:pPr>
      <w:r>
        <w:rPr>
          <w:rFonts w:hint="eastAsia" w:ascii="Times New Roman" w:hAnsi="Times New Roman" w:eastAsia="宋体" w:cs="Times New Roman"/>
        </w:rPr>
        <w:t>表中：</w:t>
      </w:r>
      <w:r>
        <w:rPr>
          <w:rFonts w:ascii="Times New Roman" w:hAnsi="Times New Roman" w:eastAsia="宋体" w:cs="Times New Roman"/>
        </w:rPr>
        <w:t>APMV</w:t>
      </w:r>
      <w:r>
        <w:rPr>
          <w:rFonts w:hint="eastAsia" w:ascii="Times New Roman" w:hAnsi="Times New Roman" w:eastAsia="宋体" w:cs="Times New Roman"/>
        </w:rPr>
        <w:t>为预计适应性平均热感觉指标，为</w:t>
      </w:r>
      <w:r>
        <w:rPr>
          <w:rFonts w:ascii="Times New Roman" w:hAnsi="Times New Roman" w:eastAsia="宋体" w:cs="Times New Roman"/>
        </w:rPr>
        <w:t>PMV</w:t>
      </w:r>
      <w:r>
        <w:rPr>
          <w:rFonts w:hint="eastAsia" w:ascii="Times New Roman" w:hAnsi="Times New Roman" w:eastAsia="宋体" w:cs="Times New Roman"/>
        </w:rPr>
        <w:t>非空调环境下的修正模型，其计算按国家标准《民用建筑室内热湿环境评价标准》</w:t>
      </w:r>
      <w:r>
        <w:rPr>
          <w:rFonts w:ascii="Times New Roman" w:hAnsi="Times New Roman" w:eastAsia="宋体" w:cs="Times New Roman"/>
        </w:rPr>
        <w:t>GB/T 50785</w:t>
      </w:r>
      <w:r>
        <w:rPr>
          <w:rFonts w:hint="eastAsia" w:ascii="Times New Roman" w:hAnsi="Times New Roman" w:eastAsia="宋体" w:cs="Times New Roman"/>
        </w:rPr>
        <w:t>执行。</w:t>
      </w:r>
    </w:p>
    <w:p>
      <w:pPr>
        <w:spacing w:line="360" w:lineRule="auto"/>
        <w:jc w:val="center"/>
        <w:rPr>
          <w:rFonts w:ascii="Times New Roman" w:hAnsi="Times New Roman" w:eastAsia="宋体" w:cs="Times New Roman"/>
        </w:rPr>
      </w:pPr>
      <w:r>
        <w:rPr>
          <w:rFonts w:ascii="Times New Roman" w:hAnsi="Times New Roman" w:eastAsia="宋体" w:cs="Times New Roman"/>
        </w:rPr>
        <w:t>表5.2.11-6 室内空气品质等级划分及限值要求</w:t>
      </w:r>
    </w:p>
    <w:tbl>
      <w:tblPr>
        <w:tblStyle w:val="19"/>
        <w:tblW w:w="7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59"/>
        <w:gridCol w:w="1499"/>
        <w:gridCol w:w="1136"/>
        <w:gridCol w:w="147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restart"/>
            <w:vAlign w:val="center"/>
          </w:tcPr>
          <w:p>
            <w:pPr>
              <w:spacing w:line="360" w:lineRule="auto"/>
              <w:jc w:val="center"/>
              <w:rPr>
                <w:rFonts w:ascii="Times New Roman" w:hAnsi="Times New Roman" w:eastAsia="宋体" w:cs="Times New Roman"/>
                <w:kern w:val="0"/>
                <w:sz w:val="20"/>
                <w:szCs w:val="20"/>
              </w:rPr>
            </w:pPr>
            <w:bookmarkStart w:id="42" w:name="_Hlk25519167"/>
            <w:r>
              <w:rPr>
                <w:rFonts w:hint="eastAsia" w:ascii="Times New Roman" w:hAnsi="Times New Roman" w:eastAsia="宋体" w:cs="Times New Roman"/>
                <w:kern w:val="0"/>
                <w:sz w:val="20"/>
                <w:szCs w:val="20"/>
              </w:rPr>
              <w:t>指标</w:t>
            </w:r>
          </w:p>
        </w:tc>
        <w:tc>
          <w:tcPr>
            <w:tcW w:w="1259"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w:t>
            </w:r>
          </w:p>
        </w:tc>
        <w:tc>
          <w:tcPr>
            <w:tcW w:w="1499" w:type="dxa"/>
            <w:vMerge w:val="restart"/>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指标类型</w:t>
            </w:r>
          </w:p>
        </w:tc>
        <w:tc>
          <w:tcPr>
            <w:tcW w:w="2631" w:type="dxa"/>
            <w:gridSpan w:val="3"/>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Merge w:val="continue"/>
            <w:vAlign w:val="center"/>
          </w:tcPr>
          <w:p>
            <w:pPr>
              <w:spacing w:line="360" w:lineRule="auto"/>
              <w:jc w:val="center"/>
              <w:rPr>
                <w:rFonts w:ascii="Times New Roman" w:hAnsi="Times New Roman" w:eastAsia="宋体" w:cs="Times New Roman"/>
                <w:kern w:val="0"/>
                <w:sz w:val="20"/>
                <w:szCs w:val="20"/>
              </w:rPr>
            </w:pPr>
          </w:p>
        </w:tc>
        <w:tc>
          <w:tcPr>
            <w:tcW w:w="1259" w:type="dxa"/>
            <w:vMerge w:val="continue"/>
            <w:vAlign w:val="center"/>
          </w:tcPr>
          <w:p>
            <w:pPr>
              <w:spacing w:line="360" w:lineRule="auto"/>
              <w:jc w:val="center"/>
              <w:rPr>
                <w:rFonts w:ascii="Times New Roman" w:hAnsi="Times New Roman" w:eastAsia="宋体" w:cs="Times New Roman"/>
                <w:kern w:val="0"/>
                <w:sz w:val="20"/>
                <w:szCs w:val="20"/>
              </w:rPr>
            </w:pPr>
          </w:p>
        </w:tc>
        <w:tc>
          <w:tcPr>
            <w:tcW w:w="1499" w:type="dxa"/>
            <w:vMerge w:val="continue"/>
            <w:vAlign w:val="center"/>
          </w:tcPr>
          <w:p>
            <w:pPr>
              <w:spacing w:line="360" w:lineRule="auto"/>
              <w:jc w:val="center"/>
              <w:rPr>
                <w:rFonts w:ascii="Times New Roman" w:hAnsi="Times New Roman" w:eastAsia="宋体" w:cs="Times New Roman"/>
                <w:kern w:val="0"/>
                <w:sz w:val="20"/>
                <w:szCs w:val="20"/>
              </w:rPr>
            </w:pPr>
          </w:p>
        </w:tc>
        <w:tc>
          <w:tcPr>
            <w:tcW w:w="1136"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1474"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甲醛（</w:t>
            </w:r>
            <w:r>
              <w:rPr>
                <w:rFonts w:ascii="Times New Roman" w:hAnsi="Times New Roman" w:eastAsia="宋体" w:cs="Times New Roman"/>
                <w:kern w:val="0"/>
                <w:sz w:val="20"/>
                <w:szCs w:val="20"/>
              </w:rPr>
              <w:t>HCHO</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0.07</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臭氧（</w:t>
            </w:r>
            <w:r>
              <w:rPr>
                <w:rFonts w:ascii="Times New Roman" w:hAnsi="Times New Roman" w:eastAsia="宋体" w:cs="Times New Roman"/>
                <w:kern w:val="0"/>
                <w:sz w:val="20"/>
                <w:szCs w:val="20"/>
              </w:rPr>
              <w:t>O</w:t>
            </w:r>
            <w:r>
              <w:rPr>
                <w:rFonts w:ascii="Times New Roman" w:hAnsi="Times New Roman" w:eastAsia="宋体" w:cs="Times New Roman"/>
                <w:kern w:val="0"/>
                <w:sz w:val="20"/>
                <w:szCs w:val="20"/>
                <w:vertAlign w:val="subscript"/>
              </w:rPr>
              <w:t>3</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0.10</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可吸入颗粒物（</w:t>
            </w:r>
            <w:r>
              <w:rPr>
                <w:rFonts w:ascii="Times New Roman" w:hAnsi="Times New Roman" w:eastAsia="宋体" w:cs="Times New Roman"/>
                <w:kern w:val="0"/>
                <w:sz w:val="20"/>
                <w:szCs w:val="20"/>
              </w:rPr>
              <w:t>PM</w:t>
            </w:r>
            <w:r>
              <w:rPr>
                <w:rFonts w:ascii="Times New Roman" w:hAnsi="Times New Roman" w:eastAsia="宋体" w:cs="Times New Roman"/>
                <w:kern w:val="0"/>
                <w:sz w:val="20"/>
                <w:szCs w:val="20"/>
                <w:vertAlign w:val="subscript"/>
              </w:rPr>
              <w:t>10</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ug/ 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细颗粒物（</w:t>
            </w:r>
            <w:r>
              <w:rPr>
                <w:rFonts w:ascii="Times New Roman" w:hAnsi="Times New Roman" w:eastAsia="宋体" w:cs="Times New Roman"/>
                <w:kern w:val="0"/>
                <w:sz w:val="20"/>
                <w:szCs w:val="20"/>
              </w:rPr>
              <w:t>PM</w:t>
            </w:r>
            <w:r>
              <w:rPr>
                <w:rFonts w:ascii="Times New Roman" w:hAnsi="Times New Roman" w:eastAsia="宋体" w:cs="Times New Roman"/>
                <w:kern w:val="0"/>
                <w:sz w:val="20"/>
                <w:szCs w:val="20"/>
                <w:vertAlign w:val="subscript"/>
              </w:rPr>
              <w:t>2.5</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ug/ 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35</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总挥发性有机化合物</w:t>
            </w:r>
            <w:r>
              <w:rPr>
                <w:rFonts w:ascii="Times New Roman" w:hAnsi="Times New Roman" w:eastAsia="宋体" w:cs="Times New Roman"/>
                <w:kern w:val="0"/>
                <w:sz w:val="20"/>
                <w:szCs w:val="20"/>
              </w:rPr>
              <w:t>(TVOC)</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苯（</w:t>
            </w:r>
            <w:r>
              <w:rPr>
                <w:rFonts w:ascii="Times New Roman" w:hAnsi="Times New Roman" w:eastAsia="宋体" w:cs="Times New Roman"/>
                <w:kern w:val="0"/>
                <w:sz w:val="20"/>
                <w:szCs w:val="20"/>
              </w:rPr>
              <w:t>C</w:t>
            </w:r>
            <w:r>
              <w:rPr>
                <w:rFonts w:ascii="Times New Roman" w:hAnsi="Times New Roman" w:eastAsia="宋体" w:cs="Times New Roman"/>
                <w:kern w:val="0"/>
                <w:sz w:val="20"/>
                <w:szCs w:val="20"/>
                <w:vertAlign w:val="subscript"/>
              </w:rPr>
              <w:t>6</w:t>
            </w:r>
            <w:r>
              <w:rPr>
                <w:rFonts w:ascii="Times New Roman" w:hAnsi="Times New Roman" w:eastAsia="宋体" w:cs="Times New Roman"/>
                <w:kern w:val="0"/>
                <w:sz w:val="20"/>
                <w:szCs w:val="20"/>
              </w:rPr>
              <w:t>H</w:t>
            </w:r>
            <w:r>
              <w:rPr>
                <w:rFonts w:ascii="Times New Roman" w:hAnsi="Times New Roman" w:eastAsia="宋体" w:cs="Times New Roman"/>
                <w:kern w:val="0"/>
                <w:sz w:val="20"/>
                <w:szCs w:val="20"/>
                <w:vertAlign w:val="subscript"/>
              </w:rPr>
              <w:t>6</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二氧化碳（</w:t>
            </w:r>
            <w:r>
              <w:rPr>
                <w:rFonts w:ascii="Times New Roman" w:hAnsi="Times New Roman" w:eastAsia="宋体" w:cs="Times New Roman"/>
                <w:kern w:val="0"/>
                <w:sz w:val="20"/>
                <w:szCs w:val="20"/>
              </w:rPr>
              <w:t>CO</w:t>
            </w:r>
            <w:r>
              <w:rPr>
                <w:rFonts w:ascii="Times New Roman" w:hAnsi="Times New Roman" w:eastAsia="宋体" w:cs="Times New Roman"/>
                <w:kern w:val="0"/>
                <w:sz w:val="20"/>
                <w:szCs w:val="20"/>
                <w:vertAlign w:val="subscript"/>
              </w:rPr>
              <w:t>2</w:t>
            </w:r>
            <w:r>
              <w:rPr>
                <w:rFonts w:hint="eastAsia" w:ascii="Times New Roman" w:hAnsi="Times New Roman" w:eastAsia="宋体" w:cs="Times New Roman"/>
                <w:kern w:val="0"/>
                <w:sz w:val="20"/>
                <w:szCs w:val="20"/>
              </w:rPr>
              <w:t>）</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0.09</w:t>
            </w:r>
          </w:p>
        </w:tc>
        <w:tc>
          <w:tcPr>
            <w:tcW w:w="1474"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氨</w:t>
            </w:r>
          </w:p>
        </w:tc>
        <w:tc>
          <w:tcPr>
            <w:tcW w:w="125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p>
        </w:tc>
        <w:tc>
          <w:tcPr>
            <w:tcW w:w="1499" w:type="dxa"/>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0.15</w:t>
            </w:r>
          </w:p>
        </w:tc>
      </w:tr>
      <w:bookmarkEnd w:id="42"/>
    </w:tbl>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rFonts w:hint="eastAsia"/>
          <w:b/>
        </w:rPr>
      </w:pPr>
      <w:r>
        <w:rPr>
          <w:rFonts w:hint="eastAsia"/>
          <w:b/>
        </w:rPr>
        <w:t>建议提交材料及技术要求：</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应包含声、光、热、空气品质方面的设计说明</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建筑室内声、光、热、空气品质计算报告书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建筑室内声、光、热、空气品质检测报告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ind w:left="360"/>
        <w:rPr>
          <w:rFonts w:hint="eastAsia"/>
          <w:b/>
        </w:rPr>
      </w:pPr>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414" w:type="dxa"/>
          </w:tcPr>
          <w:p>
            <w:pPr>
              <w:spacing w:line="288" w:lineRule="auto"/>
            </w:pPr>
          </w:p>
        </w:tc>
      </w:tr>
    </w:tbl>
    <w:p/>
    <w:p/>
    <w:p/>
    <w:p/>
    <w:p/>
    <w:p/>
    <w:p/>
    <w:p/>
    <w:p/>
    <w:p/>
    <w:p/>
    <w:p/>
    <w:p/>
    <w:p>
      <w:pPr>
        <w:pStyle w:val="2"/>
      </w:pPr>
      <w:r>
        <w:t xml:space="preserve">6 </w:t>
      </w:r>
      <w:bookmarkEnd w:id="40"/>
      <w:r>
        <w:rPr>
          <w:rFonts w:hint="eastAsia"/>
        </w:rPr>
        <w:t>生活便利</w:t>
      </w:r>
      <w:bookmarkEnd w:id="41"/>
    </w:p>
    <w:tbl>
      <w:tblPr>
        <w:tblStyle w:val="9"/>
        <w:tblW w:w="8381" w:type="dxa"/>
        <w:tblInd w:w="91" w:type="dxa"/>
        <w:tblLayout w:type="autofit"/>
        <w:tblCellMar>
          <w:top w:w="0" w:type="dxa"/>
          <w:left w:w="108" w:type="dxa"/>
          <w:bottom w:w="0" w:type="dxa"/>
          <w:right w:w="108" w:type="dxa"/>
        </w:tblCellMar>
      </w:tblPr>
      <w:tblGrid>
        <w:gridCol w:w="752"/>
        <w:gridCol w:w="818"/>
        <w:gridCol w:w="5393"/>
        <w:gridCol w:w="709"/>
        <w:gridCol w:w="709"/>
      </w:tblGrid>
      <w:tr>
        <w:tblPrEx>
          <w:tblCellMar>
            <w:top w:w="0" w:type="dxa"/>
            <w:left w:w="108" w:type="dxa"/>
            <w:bottom w:w="0" w:type="dxa"/>
            <w:right w:w="108" w:type="dxa"/>
          </w:tblCellMar>
        </w:tblPrEx>
        <w:trPr>
          <w:trHeight w:val="270" w:hRule="atLeast"/>
          <w:tblHeader/>
        </w:trPr>
        <w:tc>
          <w:tcPr>
            <w:tcW w:w="7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b/>
                <w:bCs/>
                <w:color w:val="000000"/>
                <w:kern w:val="0"/>
                <w:szCs w:val="21"/>
              </w:rPr>
            </w:pPr>
            <w:r>
              <w:rPr>
                <w:rFonts w:hint="eastAsia" w:ascii="宋体" w:hAnsi="宋体"/>
                <w:b/>
                <w:bCs/>
                <w:color w:val="000000"/>
                <w:kern w:val="0"/>
                <w:szCs w:val="21"/>
              </w:rPr>
              <w:t>子项</w:t>
            </w:r>
          </w:p>
        </w:tc>
        <w:tc>
          <w:tcPr>
            <w:tcW w:w="818"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b/>
                <w:bCs/>
                <w:color w:val="000000"/>
                <w:kern w:val="0"/>
                <w:szCs w:val="21"/>
              </w:rPr>
            </w:pPr>
            <w:r>
              <w:rPr>
                <w:rFonts w:hint="eastAsia" w:ascii="宋体" w:hAnsi="宋体"/>
                <w:b/>
                <w:bCs/>
                <w:color w:val="000000"/>
                <w:kern w:val="0"/>
                <w:szCs w:val="21"/>
              </w:rPr>
              <w:t>条文</w:t>
            </w:r>
          </w:p>
          <w:p>
            <w:pPr>
              <w:widowControl/>
              <w:jc w:val="center"/>
              <w:rPr>
                <w:b/>
                <w:bCs/>
                <w:color w:val="000000"/>
                <w:kern w:val="0"/>
                <w:szCs w:val="21"/>
              </w:rPr>
            </w:pPr>
            <w:r>
              <w:rPr>
                <w:rFonts w:hint="eastAsia" w:ascii="宋体" w:hAnsi="宋体"/>
                <w:b/>
                <w:bCs/>
                <w:color w:val="000000"/>
                <w:kern w:val="0"/>
                <w:szCs w:val="21"/>
              </w:rPr>
              <w:t>编号</w:t>
            </w:r>
          </w:p>
        </w:tc>
        <w:tc>
          <w:tcPr>
            <w:tcW w:w="539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818"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6.1.1</w:t>
            </w:r>
          </w:p>
        </w:tc>
        <w:tc>
          <w:tcPr>
            <w:tcW w:w="5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w:t>
            </w:r>
            <w:r>
              <w:rPr>
                <w:rFonts w:hint="eastAsia" w:cs="Times New Roman"/>
                <w:bCs w:val="0"/>
              </w:rPr>
              <w:t>停车场</w:t>
            </w:r>
            <w:r>
              <w:rPr>
                <w:rFonts w:cs="Times New Roman"/>
                <w:bCs w:val="0"/>
              </w:rPr>
              <w:t>(</w:t>
            </w:r>
            <w:r>
              <w:rPr>
                <w:rFonts w:hint="eastAsia" w:cs="Times New Roman"/>
                <w:bCs w:val="0"/>
              </w:rPr>
              <w:t>库</w:t>
            </w:r>
            <w:r>
              <w:rPr>
                <w:rFonts w:cs="Times New Roman"/>
                <w:bCs w:val="0"/>
              </w:rPr>
              <w:t>)、室外场地、公共绿地、城市道路相互之间应设置连贯的无障碍步行系统。</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场地人行出入口500m内应设有公共交通站点或配备有</w:t>
            </w:r>
            <w:r>
              <w:rPr>
                <w:rFonts w:hint="eastAsia" w:cs="Times New Roman"/>
                <w:bCs w:val="0"/>
              </w:rPr>
              <w:t>定时定点</w:t>
            </w:r>
            <w:r>
              <w:rPr>
                <w:rFonts w:cs="Times New Roman"/>
                <w:bCs w:val="0"/>
              </w:rPr>
              <w:t>与公共交通站点联系的专用接驳车。</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停车场应具有电动汽车充电设施或具备充电设施的安装条件，并应合理设置电动汽车和无障碍汽车停车位。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6.1.4</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bookmarkStart w:id="43" w:name="_Hlk25678944"/>
            <w:r>
              <w:rPr>
                <w:rFonts w:hint="eastAsia" w:cs="Times New Roman"/>
                <w:bCs w:val="0"/>
              </w:rPr>
              <w:t>非机动车</w:t>
            </w:r>
            <w:r>
              <w:rPr>
                <w:rFonts w:cs="Times New Roman"/>
                <w:bCs w:val="0"/>
              </w:rPr>
              <w:t>停车位数量、位置合理，方便出入。</w:t>
            </w:r>
            <w:bookmarkEnd w:id="43"/>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6.1.5</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建筑设备管理系统应具有自动监控管理功能。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6.1.6</w:t>
            </w:r>
          </w:p>
        </w:tc>
        <w:tc>
          <w:tcPr>
            <w:tcW w:w="53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cs="Times New Roman"/>
                <w:bCs w:val="0"/>
              </w:rPr>
              <w:t>建筑应设置信息网络系统。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6.1.</w:t>
            </w:r>
            <w:r>
              <w:rPr>
                <w:rFonts w:hint="eastAsia"/>
                <w:color w:val="000000"/>
                <w:kern w:val="0"/>
                <w:szCs w:val="21"/>
                <w:lang w:val="en-US" w:eastAsia="zh-CN"/>
              </w:rPr>
              <w:t>7</w:t>
            </w:r>
          </w:p>
        </w:tc>
        <w:tc>
          <w:tcPr>
            <w:tcW w:w="53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Cs w:val="21"/>
              </w:rPr>
            </w:pPr>
            <w:r>
              <w:rPr>
                <w:rFonts w:cs="Times New Roman"/>
                <w:bCs w:val="0"/>
              </w:rPr>
              <w:t>建筑内外均应设置便于识别和使用、与环境相协调的标识系统。</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495"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出行与无障碍</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6.2.1</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场地与公共交通站点联系便捷</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hint="eastAsia"/>
              </w:rPr>
              <w:t>场地出入口步行距离800m范围内设有不少于2条线路的公共交通站点</w:t>
            </w:r>
            <w:r>
              <w:rPr>
                <w:rFonts w:hint="eastAsia"/>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服务设施</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提供便利的公共服务</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6.2.4</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城市绿地、广场及公共运动场地等开敞空间，步行可达</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6.2.5</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cs="Times New Roman"/>
                <w:bCs w:val="0"/>
              </w:rPr>
            </w:pPr>
            <w:r>
              <w:rPr>
                <w:rFonts w:cs="Times New Roman"/>
                <w:bCs w:val="0"/>
              </w:rPr>
              <w:t>合理设置健身场地和空间，</w:t>
            </w:r>
            <w:r>
              <w:rPr>
                <w:rFonts w:hint="eastAsia" w:cs="Times New Roman"/>
                <w:bCs w:val="0"/>
              </w:rPr>
              <w:t>设置必要的运动设施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6</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cs="Times New Roman"/>
                <w:bCs w:val="0"/>
              </w:rPr>
              <w:t>设置自动体外除颤器、简易呼吸器、氧气瓶、自动洗胃机等急救医疗设施，并对相关物业、安保等服务人员进行专业培训</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40"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智慧运行</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7</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设置分类、分级用能自动远传计量系统，且设置能源管理系统实现对建筑能耗的监测、数据分析和管理</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0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8</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设置PM</w:t>
            </w:r>
            <w:r>
              <w:rPr>
                <w:rFonts w:cs="Times New Roman"/>
                <w:bCs w:val="0"/>
                <w:sz w:val="23"/>
                <w:szCs w:val="23"/>
                <w:vertAlign w:val="subscript"/>
              </w:rPr>
              <w:t>10</w:t>
            </w:r>
            <w:r>
              <w:rPr>
                <w:rFonts w:cs="Times New Roman"/>
                <w:bCs w:val="0"/>
              </w:rPr>
              <w:t>、PM</w:t>
            </w:r>
            <w:r>
              <w:rPr>
                <w:rFonts w:cs="Times New Roman"/>
                <w:bCs w:val="0"/>
                <w:sz w:val="23"/>
                <w:szCs w:val="23"/>
                <w:vertAlign w:val="subscript"/>
              </w:rPr>
              <w:t>2.5</w:t>
            </w:r>
            <w:r>
              <w:rPr>
                <w:rFonts w:cs="Times New Roman"/>
                <w:bCs w:val="0"/>
              </w:rPr>
              <w:t>、CO</w:t>
            </w:r>
            <w:r>
              <w:rPr>
                <w:rFonts w:cs="Times New Roman"/>
                <w:bCs w:val="0"/>
                <w:sz w:val="23"/>
                <w:szCs w:val="23"/>
                <w:vertAlign w:val="subscript"/>
              </w:rPr>
              <w:t>2</w:t>
            </w:r>
            <w:r>
              <w:rPr>
                <w:rFonts w:cs="Times New Roman"/>
                <w:bCs w:val="0"/>
              </w:rPr>
              <w:t>浓度的空气质量监测系统，且具有存储至少一年的监测数据和实时显示等功能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9</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设置用水远传计量系统、水质在线监测系统</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color w:val="000000"/>
                <w:kern w:val="0"/>
                <w:szCs w:val="21"/>
              </w:rPr>
              <w:t>6.2.</w:t>
            </w:r>
            <w:r>
              <w:rPr>
                <w:rFonts w:hint="eastAsia"/>
                <w:color w:val="000000"/>
                <w:kern w:val="0"/>
                <w:szCs w:val="21"/>
                <w:lang w:val="en-US" w:eastAsia="zh-CN"/>
              </w:rPr>
              <w:t>10</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具有智能化服务系统</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22"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物业管理</w:t>
            </w: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color w:val="000000"/>
                <w:kern w:val="0"/>
                <w:szCs w:val="21"/>
              </w:rPr>
              <w:t>6.2.</w:t>
            </w:r>
            <w:r>
              <w:rPr>
                <w:rFonts w:hint="eastAsia"/>
                <w:color w:val="000000"/>
                <w:kern w:val="0"/>
                <w:szCs w:val="21"/>
                <w:lang w:val="en-US" w:eastAsia="zh-CN"/>
              </w:rPr>
              <w:t>11</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制定完善的节能、节水、节材、绿化的操作规程、应急预案，实施能源资源管理激励机制，且有效实施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2</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建筑平均日用水量满足现行国家标准</w:t>
            </w:r>
            <w:bookmarkStart w:id="44" w:name="_Hlk32659426"/>
            <w:r>
              <w:rPr>
                <w:rFonts w:cs="Times New Roman"/>
                <w:bCs w:val="0"/>
              </w:rPr>
              <w:t>《民用建筑节水设计标准》GB 50555</w:t>
            </w:r>
            <w:bookmarkEnd w:id="44"/>
            <w:r>
              <w:rPr>
                <w:rFonts w:cs="Times New Roman"/>
                <w:bCs w:val="0"/>
              </w:rPr>
              <w:t>中节水用水定额的要求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3</w:t>
            </w:r>
          </w:p>
        </w:tc>
        <w:tc>
          <w:tcPr>
            <w:tcW w:w="539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定期对建筑运营效果进行评估，并根据结果进行运行优化</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4</w:t>
            </w:r>
          </w:p>
        </w:tc>
        <w:tc>
          <w:tcPr>
            <w:tcW w:w="539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建立绿色教育宣传和实践机制，编制绿色设施使用手册，形成良好的绿色氛围，并定期开展使用者满意度调查</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
    <w:p>
      <w:pPr>
        <w:pStyle w:val="2"/>
        <w:bidi w:val="0"/>
        <w:rPr>
          <w:rFonts w:hint="eastAsia"/>
        </w:rPr>
      </w:pPr>
      <w:bookmarkStart w:id="45" w:name="_Toc14261604"/>
      <w:r>
        <w:rPr>
          <w:rFonts w:hint="eastAsia"/>
        </w:rPr>
        <w:t>6.1 控制项</w:t>
      </w:r>
      <w:bookmarkEnd w:id="45"/>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6.1.1 建筑、停车场(库)、室外场地、公共绿地、城市道路相互之间应设置连贯的无障碍步行系统。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场地内人行通道</w:t>
      </w:r>
      <w:r>
        <w:rPr>
          <w:rFonts w:hint="eastAsia" w:ascii="Times New Roman" w:hAnsi="Times New Roman" w:eastAsia="宋体" w:cs="Times New Roman"/>
          <w:b/>
          <w:bCs w:val="0"/>
          <w:color w:val="000000"/>
          <w:szCs w:val="24"/>
          <w:lang w:val="zh-CN" w:eastAsia="zh-CN"/>
        </w:rPr>
        <w:t>采用</w:t>
      </w:r>
      <w:r>
        <w:rPr>
          <w:rFonts w:hint="eastAsia" w:ascii="Times New Roman" w:hAnsi="Times New Roman" w:eastAsia="宋体" w:cs="Times New Roman"/>
          <w:b/>
          <w:bCs w:val="0"/>
          <w:color w:val="000000"/>
          <w:szCs w:val="24"/>
          <w:lang w:val="en-US" w:eastAsia="zh-CN"/>
        </w:rPr>
        <w:t>无障碍设计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简要说明建筑、室外场地、公共绿地、城市道路相互之间应设置连贯的无障碍步行系统设计情况。（200字以内）。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414" w:type="dxa"/>
          </w:tcPr>
          <w:p>
            <w:pPr>
              <w:spacing w:line="288" w:lineRule="auto"/>
              <w:ind w:firstLine="420" w:firstLineChars="200"/>
              <w:rPr>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应说明室外场地的无障碍设计内容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建筑总平面施工图和场地竖向设计施工图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应体现建筑主要出入口、人行通道、室外活动场地等部位的无障碍设计内容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室外景观园林平面施工图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应包括场地人行通道、室外绿化小径和活动场地的无障碍设计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无障碍设计重点部位的实景影像资料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6.1.2 场地人行出入口500m内应设有公共交通站点或配备有定时定点与公共交通站点联系的专用接驳车。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设置公共交通站点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是否具有公共交通站点：□是、□否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场地人行出入口到公共交通站点的距离：____m</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配备专用接驳车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是否配备联系公共交通站点的专用接驳车：□是、□否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场地人行出入口到联系公共交通站点的专用接驳车的距离：____m</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应体现场地步行入口与公共交通站点的有机联系，创造便捷的公共交通使用条件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场地周边公共交通设施布局示意图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应体现场地到达公交站点的步行路线、场地出入口到达公交站点的距离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专用接驳车服务的实施方案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公共交通站点或专用接驳车运行的影像资料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6.1.3 停车场应具有电动汽车充电设施或具备充电设施的安装条件，并应合理设置电动汽车和无障碍汽车停车位。</w:t>
      </w:r>
    </w:p>
    <w:p>
      <w:pPr>
        <w:numPr>
          <w:ilvl w:val="0"/>
          <w:numId w:val="0"/>
        </w:numPr>
        <w:spacing w:line="288" w:lineRule="auto"/>
        <w:ind w:leftChars="0"/>
        <w:rPr>
          <w:rFonts w:ascii="宋体" w:hAnsi="宋体"/>
          <w:b/>
          <w:kern w:val="0"/>
          <w:sz w:val="24"/>
        </w:rPr>
      </w:pPr>
      <w:bookmarkStart w:id="46" w:name="_Toc14261610"/>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电动车停车设施</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是否具有电动汽车充电设施或具备充电设施的安装条件：□是、□否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停车方式节约集约用地：□机械式停车库、□地下停车库、□停车楼、□其他方式</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采用错时停车方式向社会开放：□是、□否（原因_________________________）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地面停车设计合理，不挤占步行空间及活动场所：□是、□否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机动车停车位数量：____个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规划条件中要求的数量____个，设计数量____个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简要说明电动车停车位设置、停车方式、停车场管理等。（300字以内）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8414" w:type="dxa"/>
          </w:tcPr>
          <w:p>
            <w:pPr>
              <w:spacing w:line="288" w:lineRule="auto"/>
              <w:ind w:firstLine="420" w:firstLineChars="200"/>
              <w:rPr>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建筑平面图和建筑总平面施工图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应包括电动汽车停车位和无障碍停车位设计内容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应体现充电设施条件、配电系统要求、布线系统要求、计量要求等设计内容</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实景影像资料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47" w:name="_Hlk33025169"/>
      <w:r>
        <w:rPr>
          <w:rFonts w:hint="eastAsia" w:ascii="黑体" w:hAnsi="黑体" w:eastAsia="黑体" w:cs="Times New Roman"/>
          <w:kern w:val="0"/>
          <w:sz w:val="24"/>
          <w:lang w:val="en-US" w:eastAsia="zh-CN"/>
        </w:rPr>
        <w:t>6.1.4 非机动车停车位数量、位置合理，方便出入。</w:t>
      </w:r>
    </w:p>
    <w:bookmarkEnd w:id="47"/>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自行车停车场所</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适宜采用自行车作为交通工具：□是、□否（原因_________________________）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自行车停车场所位置合理、方便出入：□是、□否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自行车停车位数量：____个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规划条件中要求的数量____个，设计数量____个</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简要说明自行车停车位设置、停车方式、停车场管理等。（300字以内）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522" w:type="dxa"/>
          </w:tcPr>
          <w:p>
            <w:pPr>
              <w:pStyle w:val="14"/>
              <w:spacing w:line="288" w:lineRule="auto"/>
              <w:jc w:val="left"/>
              <w:outlineLvl w:val="9"/>
              <w:rPr>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应体现非机动车库/棚位置、地面停车场位置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非机动车库/棚及附属设施施工图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应体现非机动车库/棚位置、地面停车场位置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非机动车停车场所的现场影像资料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41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6.1.5 建筑设备管理系统应具有自动监控管理功能。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建筑是否设置了建筑设备管理系统</w:t>
      </w:r>
      <w:r>
        <w:rPr>
          <w:rFonts w:hint="eastAsia" w:ascii="Times New Roman" w:hAnsi="Times New Roman" w:eastAsia="宋体" w:cs="Times New Roman"/>
          <w:bCs/>
          <w:color w:val="000000"/>
          <w:szCs w:val="24"/>
          <w:lang w:val="zh-CN"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所设置的建筑设备管理系统是否具有自动监控管理功能</w:t>
      </w:r>
      <w:r>
        <w:rPr>
          <w:rFonts w:hint="eastAsia" w:ascii="Times New Roman" w:hAnsi="Times New Roman" w:eastAsia="宋体" w:cs="Times New Roman"/>
          <w:bCs/>
          <w:color w:val="000000"/>
          <w:szCs w:val="24"/>
          <w:lang w:val="zh-CN"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简要说明建筑设备管理系统的自动监控管理功能情况。（300字以内）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应包括冷热源、供暖通风和空气调节、给水排水、供配电、照明、电梯等的自控系统设计</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建筑设备自控系统的系统图、平面图、原理图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应包括冷热源、供暖通风和空气调节、给水排水、供配电、照明、电梯等的自控系统设计，</w:t>
            </w:r>
            <w:r>
              <w:rPr>
                <w:rFonts w:ascii="宋体" w:hAnsi="宋体" w:eastAsia="宋体" w:cs="宋体"/>
                <w:color w:val="000000"/>
                <w:kern w:val="0"/>
                <w:sz w:val="22"/>
              </w:rPr>
              <w:t xml:space="preserve">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建筑设备自控系统的监控点位表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应包括所监控的楼层位置、设备名称及数量、监控内容等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1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48" w:name="_Hlk22059096"/>
      <w:r>
        <w:rPr>
          <w:rFonts w:hint="eastAsia" w:ascii="黑体" w:hAnsi="黑体" w:eastAsia="黑体" w:cs="Times New Roman"/>
          <w:kern w:val="0"/>
          <w:sz w:val="24"/>
          <w:lang w:val="en-US" w:eastAsia="zh-CN"/>
        </w:rPr>
        <w:t>6.1.6 建筑应设置信息网络系统。</w:t>
      </w:r>
    </w:p>
    <w:bookmarkEnd w:id="48"/>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设置物业管理信息系统</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项目是否设置物业管理信息系统：□是 □否。</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物业管理信息系统功能完备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项目物业管理信息系统功能是否完备：□是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该系统是否实现以下功能：□重要资源共享；□系统功能与实际需求相符或贴近；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□系统运行正常；□其他功能</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记录数据完整</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物业信息化系统档案资料是否完备：□是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物业信息化系统档案资料是否包以下资料：□设计图纸；□设备、设施、配件等的型号规格、生产厂家；其他相关资料。</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信息化系统数据是否包括以下数据（至少一年）：□用水量；□用电量；□用气量；□用冷热量；□设备部品更换；□其他相关数据</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简述建筑物业管理信息系统功能完整性及数据记录的有效性（150字以内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信息网络系统设计文件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应包括设计说明、系统图、机房设计、主要设备及参数等，已运行项目应含有智能化工程专项深化设计竣工图纸</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施工变更文件及验收报告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pPr>
              <w:spacing w:line="288" w:lineRule="auto"/>
            </w:pPr>
          </w:p>
        </w:tc>
      </w:tr>
    </w:tbl>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6.1.7 建筑内外均应设置便于识别和使用、与环境相协调的标识系统。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简要说明建筑内外均应设置便于识别和使用、与环境相协调的标识系统</w:t>
      </w:r>
      <w:r>
        <w:rPr>
          <w:rFonts w:hint="eastAsia" w:cs="Times New Roman"/>
          <w:bCs/>
          <w:color w:val="000000"/>
          <w:szCs w:val="24"/>
          <w:lang w:val="en-US" w:eastAsia="zh-CN"/>
        </w:rPr>
        <w:t>分布点。（200字以内）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标识系统设计文件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应包括设计说明、车库划线图、建筑与环境标识系统图</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施工变更文件及验收报告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414" w:type="dxa"/>
          </w:tcPr>
          <w:p>
            <w:pPr>
              <w:spacing w:line="288" w:lineRule="auto"/>
            </w:pPr>
          </w:p>
        </w:tc>
      </w:tr>
    </w:tbl>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bidi w:val="0"/>
        <w:rPr>
          <w:rFonts w:hint="eastAsia"/>
        </w:rPr>
      </w:pPr>
      <w:bookmarkStart w:id="49" w:name="_Toc22221575"/>
      <w:bookmarkStart w:id="50" w:name="_Toc35364742"/>
      <w:r>
        <w:rPr>
          <w:rFonts w:hint="eastAsia"/>
        </w:rPr>
        <w:t>6.2 评分项</w:t>
      </w:r>
      <w:bookmarkEnd w:id="49"/>
      <w:bookmarkEnd w:id="50"/>
    </w:p>
    <w:p>
      <w:pPr>
        <w:pStyle w:val="3"/>
        <w:spacing w:line="288" w:lineRule="auto"/>
        <w:jc w:val="center"/>
        <w:rPr>
          <w:rFonts w:hint="eastAsia" w:ascii="宋体" w:hAnsi="宋体" w:eastAsia="宋体" w:cs="宋体"/>
        </w:rPr>
      </w:pPr>
      <w:bookmarkStart w:id="51" w:name="_Toc35364743"/>
      <w:bookmarkStart w:id="52" w:name="_Toc22221576"/>
      <w:r>
        <w:rPr>
          <w:rFonts w:hint="eastAsia" w:ascii="宋体" w:hAnsi="宋体" w:eastAsia="宋体" w:cs="宋体"/>
        </w:rPr>
        <w:t>I 出行与无障碍</w:t>
      </w:r>
      <w:bookmarkEnd w:id="51"/>
      <w:bookmarkEnd w:id="52"/>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 场地与公共交通站点联系便捷。</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场地出入口到达公共交通站点的步行距离不超过500m，或到达轨道交通站的步行距离不大于800m，</w:t>
      </w:r>
      <w:r>
        <w:rPr>
          <w:rFonts w:hint="eastAsia" w:ascii="宋体" w:hAnsi="宋体"/>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2分；场地出入口到达公共交通站点的步行距离不超过300m，或到达轨道交通站的步行距离不大于500m，</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场地出入口步行距离800m范围内设有不少于2条线路的公共交通站点，</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pStyle w:val="13"/>
        <w:numPr>
          <w:ilvl w:val="0"/>
          <w:numId w:val="0"/>
        </w:numPr>
        <w:spacing w:line="288" w:lineRule="auto"/>
        <w:ind w:leftChars="-100" w:firstLine="210" w:firstLineChars="100"/>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场地出入口到达公共交通站点步行距离:</w:t>
      </w:r>
    </w:p>
    <w:p>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场地出入口到达公共汽车站步行距离____m</w:t>
      </w:r>
    </w:p>
    <w:p>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场地出入口到达轨道交通站步行距离____m</w:t>
      </w:r>
    </w:p>
    <w:p>
      <w:pPr>
        <w:pStyle w:val="13"/>
        <w:numPr>
          <w:ilvl w:val="0"/>
          <w:numId w:val="0"/>
        </w:numPr>
        <w:spacing w:line="288" w:lineRule="auto"/>
        <w:ind w:leftChars="-100" w:firstLine="210" w:firstLineChars="100"/>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步行距离800m范围内公共交通站点线路数量:</w:t>
      </w:r>
    </w:p>
    <w:p>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场地出入口步行距离800m范围内设有__条线路的公共交通站点（含公共汽车站和轨道交通站）。</w:t>
      </w:r>
    </w:p>
    <w:p>
      <w:pPr>
        <w:tabs>
          <w:tab w:val="left" w:pos="2702"/>
        </w:tabs>
        <w:spacing w:line="288" w:lineRule="auto"/>
        <w:rPr>
          <w:rFonts w:hint="eastAsia" w:ascii="Times New Roman" w:hAnsi="Times New Roman" w:eastAsia="宋体" w:cs="Times New Roman"/>
          <w:b/>
          <w:bCs w:val="0"/>
          <w:color w:val="000000"/>
          <w:kern w:val="2"/>
          <w:sz w:val="21"/>
          <w:szCs w:val="24"/>
          <w:lang w:val="zh-CN" w:eastAsia="zh-CN" w:bidi="ar-SA"/>
        </w:rPr>
      </w:pPr>
      <w:r>
        <w:rPr>
          <w:rFonts w:hint="eastAsia" w:ascii="Times New Roman" w:hAnsi="Times New Roman" w:eastAsia="宋体" w:cs="Times New Roman"/>
          <w:b/>
          <w:bCs w:val="0"/>
          <w:color w:val="000000"/>
          <w:kern w:val="2"/>
          <w:sz w:val="21"/>
          <w:szCs w:val="24"/>
          <w:lang w:val="zh-CN" w:eastAsia="zh-CN" w:bidi="ar-SA"/>
        </w:rPr>
        <w:t>公共汽车站统计表：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85"/>
        <w:gridCol w:w="198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26" w:type="dxa"/>
          </w:tcPr>
          <w:p>
            <w:pPr>
              <w:tabs>
                <w:tab w:val="left" w:pos="2702"/>
              </w:tabs>
              <w:spacing w:line="288" w:lineRule="auto"/>
              <w:jc w:val="center"/>
              <w:rPr>
                <w:lang w:val="zh-CN"/>
              </w:rPr>
            </w:pPr>
            <w:r>
              <w:rPr>
                <w:rFonts w:hint="eastAsia"/>
                <w:lang w:val="zh-CN"/>
              </w:rPr>
              <w:t>公交站名称</w:t>
            </w:r>
          </w:p>
        </w:tc>
        <w:tc>
          <w:tcPr>
            <w:tcW w:w="3685" w:type="dxa"/>
          </w:tcPr>
          <w:p>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pPr>
              <w:tabs>
                <w:tab w:val="left" w:pos="2702"/>
              </w:tabs>
              <w:spacing w:line="288" w:lineRule="auto"/>
              <w:jc w:val="center"/>
              <w:rPr>
                <w:lang w:val="zh-CN"/>
              </w:rPr>
            </w:pPr>
            <w:r>
              <w:rPr>
                <w:rFonts w:hint="eastAsia"/>
                <w:lang w:val="zh-CN"/>
              </w:rPr>
              <w:t>公交汽车线路名称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pPr>
              <w:adjustRightInd w:val="0"/>
              <w:snapToGrid w:val="0"/>
              <w:spacing w:line="288" w:lineRule="auto"/>
              <w:jc w:val="center"/>
              <w:rPr>
                <w:bCs/>
                <w:lang w:val="zh-CN"/>
              </w:rPr>
            </w:pPr>
          </w:p>
        </w:tc>
        <w:tc>
          <w:tcPr>
            <w:tcW w:w="3685" w:type="dxa"/>
          </w:tcPr>
          <w:p>
            <w:pPr>
              <w:adjustRightInd w:val="0"/>
              <w:snapToGrid w:val="0"/>
              <w:spacing w:line="288" w:lineRule="auto"/>
              <w:jc w:val="center"/>
              <w:rPr>
                <w:bCs/>
                <w:lang w:val="zh-CN"/>
              </w:rPr>
            </w:pPr>
          </w:p>
        </w:tc>
        <w:tc>
          <w:tcPr>
            <w:tcW w:w="1985" w:type="dxa"/>
          </w:tcPr>
          <w:p>
            <w:pPr>
              <w:adjustRightInd w:val="0"/>
              <w:snapToGrid w:val="0"/>
              <w:spacing w:line="288" w:lineRule="auto"/>
              <w:jc w:val="center"/>
              <w:rPr>
                <w:bCs/>
                <w:lang w:val="zh-CN"/>
              </w:rPr>
            </w:pPr>
          </w:p>
        </w:tc>
        <w:tc>
          <w:tcPr>
            <w:tcW w:w="1326" w:type="dxa"/>
          </w:tcPr>
          <w:p>
            <w:pPr>
              <w:adjustRightInd w:val="0"/>
              <w:snapToGrid w:val="0"/>
              <w:spacing w:line="288" w:lineRule="auto"/>
              <w:jc w:val="center"/>
              <w:rPr>
                <w:bCs/>
                <w:lang w:val="zh-CN"/>
              </w:rPr>
            </w:pPr>
          </w:p>
        </w:tc>
      </w:tr>
    </w:tbl>
    <w:p>
      <w:pPr>
        <w:tabs>
          <w:tab w:val="left" w:pos="2702"/>
        </w:tabs>
        <w:spacing w:line="288" w:lineRule="auto"/>
        <w:rPr>
          <w:lang w:val="zh-CN"/>
        </w:rPr>
      </w:pPr>
      <w:r>
        <w:rPr>
          <w:rFonts w:hint="eastAsia"/>
          <w:lang w:val="zh-CN"/>
        </w:rPr>
        <w:t>轨道交通站统计表：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116"/>
        <w:gridCol w:w="148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92" w:type="dxa"/>
          </w:tcPr>
          <w:p>
            <w:pPr>
              <w:tabs>
                <w:tab w:val="left" w:pos="2702"/>
              </w:tabs>
              <w:spacing w:line="288" w:lineRule="auto"/>
              <w:jc w:val="center"/>
              <w:rPr>
                <w:lang w:val="zh-CN"/>
              </w:rPr>
            </w:pPr>
            <w:r>
              <w:rPr>
                <w:rFonts w:hint="eastAsia"/>
                <w:lang w:val="zh-CN"/>
              </w:rPr>
              <w:t>轨道交通站</w:t>
            </w:r>
          </w:p>
          <w:p>
            <w:pPr>
              <w:tabs>
                <w:tab w:val="left" w:pos="2702"/>
              </w:tabs>
              <w:spacing w:line="288" w:lineRule="auto"/>
              <w:jc w:val="center"/>
              <w:rPr>
                <w:lang w:val="zh-CN"/>
              </w:rPr>
            </w:pPr>
            <w:r>
              <w:rPr>
                <w:rFonts w:hint="eastAsia"/>
                <w:lang w:val="zh-CN"/>
              </w:rPr>
              <w:t>名称</w:t>
            </w:r>
          </w:p>
        </w:tc>
        <w:tc>
          <w:tcPr>
            <w:tcW w:w="4116" w:type="dxa"/>
          </w:tcPr>
          <w:p>
            <w:pPr>
              <w:tabs>
                <w:tab w:val="left" w:pos="2702"/>
              </w:tabs>
              <w:spacing w:line="288" w:lineRule="auto"/>
              <w:rPr>
                <w:lang w:val="zh-CN"/>
              </w:rPr>
            </w:pPr>
            <w:r>
              <w:rPr>
                <w:rFonts w:hint="eastAsia"/>
                <w:lang w:val="zh-CN"/>
              </w:rPr>
              <w:t>场地出入口步行至轨道交通站的距离（</w:t>
            </w:r>
            <w:r>
              <w:rPr>
                <w:lang w:val="zh-CN"/>
              </w:rPr>
              <w:t>m</w:t>
            </w:r>
            <w:r>
              <w:rPr>
                <w:rFonts w:hint="eastAsia"/>
                <w:lang w:val="zh-CN"/>
              </w:rPr>
              <w:t>）</w:t>
            </w:r>
          </w:p>
        </w:tc>
        <w:tc>
          <w:tcPr>
            <w:tcW w:w="1488" w:type="dxa"/>
          </w:tcPr>
          <w:p>
            <w:pPr>
              <w:tabs>
                <w:tab w:val="left" w:pos="2702"/>
              </w:tabs>
              <w:spacing w:line="288" w:lineRule="auto"/>
              <w:jc w:val="center"/>
              <w:rPr>
                <w:lang w:val="zh-CN"/>
              </w:rPr>
            </w:pPr>
            <w:r>
              <w:rPr>
                <w:rFonts w:hint="eastAsia"/>
                <w:lang w:val="zh-CN"/>
              </w:rPr>
              <w:t>轨道线路名称</w:t>
            </w:r>
          </w:p>
        </w:tc>
        <w:tc>
          <w:tcPr>
            <w:tcW w:w="1326" w:type="dxa"/>
          </w:tcPr>
          <w:p>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pPr>
              <w:tabs>
                <w:tab w:val="left" w:pos="2702"/>
              </w:tabs>
              <w:spacing w:line="288" w:lineRule="auto"/>
              <w:jc w:val="center"/>
              <w:rPr>
                <w:lang w:val="zh-CN"/>
              </w:rPr>
            </w:pPr>
          </w:p>
        </w:tc>
        <w:tc>
          <w:tcPr>
            <w:tcW w:w="4116" w:type="dxa"/>
          </w:tcPr>
          <w:p>
            <w:pPr>
              <w:tabs>
                <w:tab w:val="left" w:pos="2702"/>
              </w:tabs>
              <w:spacing w:line="288" w:lineRule="auto"/>
              <w:jc w:val="center"/>
              <w:rPr>
                <w:lang w:val="zh-CN"/>
              </w:rPr>
            </w:pPr>
          </w:p>
        </w:tc>
        <w:tc>
          <w:tcPr>
            <w:tcW w:w="1488" w:type="dxa"/>
          </w:tcPr>
          <w:p>
            <w:pPr>
              <w:tabs>
                <w:tab w:val="left" w:pos="2702"/>
              </w:tabs>
              <w:spacing w:line="288" w:lineRule="auto"/>
              <w:jc w:val="center"/>
              <w:rPr>
                <w:lang w:val="zh-CN"/>
              </w:rPr>
            </w:pPr>
          </w:p>
        </w:tc>
        <w:tc>
          <w:tcPr>
            <w:tcW w:w="1326" w:type="dxa"/>
          </w:tcPr>
          <w:p>
            <w:pPr>
              <w:tabs>
                <w:tab w:val="left" w:pos="2702"/>
              </w:tabs>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pPr>
              <w:tabs>
                <w:tab w:val="left" w:pos="2702"/>
              </w:tabs>
              <w:spacing w:line="288" w:lineRule="auto"/>
              <w:jc w:val="center"/>
              <w:rPr>
                <w:lang w:val="zh-CN"/>
              </w:rPr>
            </w:pPr>
          </w:p>
        </w:tc>
        <w:tc>
          <w:tcPr>
            <w:tcW w:w="4116" w:type="dxa"/>
          </w:tcPr>
          <w:p>
            <w:pPr>
              <w:tabs>
                <w:tab w:val="left" w:pos="2702"/>
              </w:tabs>
              <w:spacing w:line="288" w:lineRule="auto"/>
              <w:jc w:val="center"/>
              <w:rPr>
                <w:lang w:val="zh-CN"/>
              </w:rPr>
            </w:pPr>
          </w:p>
        </w:tc>
        <w:tc>
          <w:tcPr>
            <w:tcW w:w="1488" w:type="dxa"/>
          </w:tcPr>
          <w:p>
            <w:pPr>
              <w:tabs>
                <w:tab w:val="left" w:pos="2702"/>
              </w:tabs>
              <w:spacing w:line="288" w:lineRule="auto"/>
              <w:jc w:val="center"/>
              <w:rPr>
                <w:lang w:val="zh-CN"/>
              </w:rPr>
            </w:pPr>
          </w:p>
        </w:tc>
        <w:tc>
          <w:tcPr>
            <w:tcW w:w="1326" w:type="dxa"/>
          </w:tcPr>
          <w:p>
            <w:pPr>
              <w:tabs>
                <w:tab w:val="left" w:pos="2702"/>
              </w:tabs>
              <w:spacing w:line="288" w:lineRule="auto"/>
              <w:jc w:val="center"/>
              <w:rPr>
                <w:lang w:val="zh-CN"/>
              </w:rPr>
            </w:pPr>
          </w:p>
        </w:tc>
      </w:tr>
    </w:tbl>
    <w:p>
      <w:pPr>
        <w:pStyle w:val="13"/>
        <w:numPr>
          <w:ilvl w:val="0"/>
          <w:numId w:val="0"/>
        </w:numPr>
        <w:spacing w:line="288" w:lineRule="auto"/>
        <w:ind w:leftChars="-100" w:firstLine="211" w:firstLineChars="100"/>
        <w:rPr>
          <w:rFonts w:hint="eastAsia" w:ascii="Times New Roman" w:hAnsi="Times New Roman" w:eastAsia="宋体" w:cs="Times New Roman"/>
          <w:b/>
          <w:bCs w:val="0"/>
          <w:color w:val="000000"/>
          <w:kern w:val="2"/>
          <w:sz w:val="21"/>
          <w:szCs w:val="24"/>
          <w:lang w:val="zh-CN" w:eastAsia="zh-CN" w:bidi="ar-SA"/>
        </w:rPr>
      </w:pPr>
      <w:r>
        <w:rPr>
          <w:rFonts w:hint="eastAsia" w:ascii="Times New Roman" w:hAnsi="Times New Roman" w:eastAsia="宋体" w:cs="Times New Roman"/>
          <w:b/>
          <w:bCs w:val="0"/>
          <w:color w:val="000000"/>
          <w:kern w:val="2"/>
          <w:sz w:val="21"/>
          <w:szCs w:val="24"/>
          <w:lang w:val="zh-CN" w:eastAsia="zh-CN" w:bidi="ar-SA"/>
        </w:rPr>
        <w:t>有便捷的人行通道联系公共交通站点:</w:t>
      </w:r>
    </w:p>
    <w:p>
      <w:pPr>
        <w:tabs>
          <w:tab w:val="left" w:pos="2702"/>
        </w:tabs>
        <w:spacing w:line="288" w:lineRule="auto"/>
        <w:rPr>
          <w:lang w:val="zh-CN"/>
        </w:rPr>
      </w:pPr>
      <w:r>
        <w:rPr>
          <w:rFonts w:hint="eastAsia"/>
          <w:lang w:val="zh-CN"/>
        </w:rPr>
        <w:t>请对交通组织进行简要分析。（如有便捷的人行通道联系公共交通站点，为减少到达公共交通站点的绕行距离设置了专用的人行通道等，请对此情况进行描述，</w:t>
      </w:r>
      <w:r>
        <w:rPr>
          <w:lang w:val="zh-CN"/>
        </w:rPr>
        <w:t>300</w:t>
      </w:r>
      <w:r>
        <w:rPr>
          <w:rFonts w:hint="eastAsia"/>
          <w:lang w:val="zh-CN"/>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应体现场地步行入口与公共交通站点的有机联系，创造便捷的公共交通使用条件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场地周边公共交通设施布局示意图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应体现场地到达公交站点的步行路线、场地出入口到达公交站点的距离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专用接驳车服务的实施方案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公共交通站点或专用接驳车运行的影像资料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pPr>
              <w:spacing w:line="288" w:lineRule="auto"/>
            </w:pPr>
          </w:p>
        </w:tc>
      </w:tr>
    </w:tbl>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6.2.2 建筑室内外公共区域满足全龄化设计要求。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建筑室内公共区域、室外公共活动场地及道路均满足无障碍设计要求，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建筑室内公共区域的墙、柱等处的阳角均为圆角，并设有安全抓杆或扶手，</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设有可容纳担架的无障碍电梯，</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是否设有可容纳担架的无障碍电梯：□是、□否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建筑室内公共区域是否设有安全抓杆或扶手：□是、□否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建筑室内公共区域的墙、柱等处的阳角形状：____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简要说明建筑室内公共区域、室外公共活动场地及道路的无障碍设计情况。（200字以内）。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应包括室内公共区域、室外公共活动场地及道路等无障碍设计的详细说明，并与无障碍设计详图吻合</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建筑出入口及其他室内公共区域平面图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应体现室内公共区域、室外公共活动场地及道路等无障碍设计的内容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应体现室内公共区域、室外公共活动场地与外部城市道路连接的竖向关系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室外公共活动场地及道路设计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应体现室内公共区域、室外公共活动场地及道路等无障碍设计的内容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室内公共区域装修平面图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墙柱等阳角节点设计详图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室内抓杆或扶手节点等无障碍设计详图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无障碍电梯室内设计详图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装修设计材料表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全龄化设计相关的图片及视频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364" w:type="dxa"/>
          </w:tcPr>
          <w:p>
            <w:pPr>
              <w:spacing w:line="288" w:lineRule="auto"/>
            </w:pPr>
          </w:p>
        </w:tc>
      </w:tr>
    </w:tbl>
    <w:p/>
    <w:p>
      <w:pPr>
        <w:pStyle w:val="3"/>
        <w:spacing w:line="288" w:lineRule="auto"/>
        <w:jc w:val="center"/>
        <w:rPr>
          <w:rFonts w:hint="eastAsia" w:ascii="宋体" w:hAnsi="宋体" w:eastAsia="宋体" w:cs="宋体"/>
        </w:rPr>
      </w:pPr>
      <w:bookmarkStart w:id="53" w:name="_Toc35364744"/>
      <w:bookmarkStart w:id="54" w:name="_Toc22221577"/>
      <w:r>
        <w:rPr>
          <w:rFonts w:hint="eastAsia" w:ascii="宋体" w:hAnsi="宋体" w:eastAsia="宋体" w:cs="宋体"/>
        </w:rPr>
        <w:t>Ⅱ 服务设施</w:t>
      </w:r>
      <w:bookmarkEnd w:id="53"/>
      <w:bookmarkEnd w:id="54"/>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6.2.3 提供便利的公共服务。</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住宅建筑，满足下列要求中的4项，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5分；满足6项及以上，</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场地人行出入口到达幼儿园的步行距离不大于300m；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场地人行出入口到达小学的步行距离不大于500m；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场地人行出入口到达中学的步行距离不大于1000m；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场地人行出入口到达医院的步行距离不大于1000m；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5） 场地人行出入口到达群众文化活动设施的步行距离不大于800m；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6） 场地人行出入口到达老年人日间照料设施的步行距离不大于500m；</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7） 场地周边500m范围内具有不少于3种商业服务设施。</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公共建筑，满足下列要求中的3项，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5分；满足5项，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建筑内至少兼容2种面向社会的公共服务功能；</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建筑向社会公众提供一定面积的、开放的公共活动空间；</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场地周边500m范围内设有社会公共停车场(库)；</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场地不封闭或场地内步行公共通道向社会开放。</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5） 电动汽车充电车位建成数量占总车位数的比例在国家和当地规定的最低要求的基础上至少提升5个百分点。</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en-US"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场地出入口到达周边建筑的步行距离:</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幼儿园的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小学的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中学的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医院的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群众文化活动设施的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老年人日间照料设施的</w:t>
      </w:r>
      <w:r>
        <w:rPr>
          <w:rFonts w:hint="eastAsia" w:ascii="Times New Roman" w:hAnsi="Times New Roman" w:eastAsia="宋体" w:cs="Times New Roman"/>
          <w:bCs/>
          <w:color w:val="000000"/>
          <w:szCs w:val="24"/>
          <w:lang w:val="zh-CN" w:eastAsia="zh-CN"/>
        </w:rPr>
        <w:t>步行距离____m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场地周边 500m 范围内具有商业服务设施的种类</w:t>
      </w:r>
      <w:r>
        <w:rPr>
          <w:rFonts w:hint="eastAsia" w:ascii="Times New Roman" w:hAnsi="Times New Roman" w:eastAsia="宋体" w:cs="Times New Roman"/>
          <w:bCs/>
          <w:color w:val="000000"/>
          <w:szCs w:val="24"/>
          <w:lang w:val="zh-CN" w:eastAsia="zh-CN"/>
        </w:rPr>
        <w:t>:___种</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en-US"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建筑内兼容面向社会的公共服务功能的种类</w:t>
      </w:r>
      <w:r>
        <w:rPr>
          <w:rFonts w:hint="eastAsia" w:ascii="Times New Roman" w:hAnsi="Times New Roman" w:eastAsia="宋体" w:cs="Times New Roman"/>
          <w:bCs/>
          <w:color w:val="000000"/>
          <w:szCs w:val="24"/>
          <w:lang w:val="zh-CN" w:eastAsia="zh-CN"/>
        </w:rPr>
        <w:t>：___种</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建筑是否向社会公众提供开放的公共活动空间：</w:t>
      </w:r>
      <w:r>
        <w:rPr>
          <w:rFonts w:hint="eastAsia" w:ascii="Times New Roman" w:hAnsi="Times New Roman" w:eastAsia="宋体" w:cs="Times New Roman"/>
          <w:bCs/>
          <w:color w:val="000000"/>
          <w:szCs w:val="24"/>
          <w:lang w:val="zh-CN" w:eastAsia="zh-CN"/>
        </w:rPr>
        <w:t>□是 □否</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电动汽车充电桩的车位数占总车位数的比例</w:t>
      </w:r>
      <w:r>
        <w:rPr>
          <w:rFonts w:hint="eastAsia" w:ascii="Times New Roman" w:hAnsi="Times New Roman" w:eastAsia="宋体" w:cs="Times New Roman"/>
          <w:bCs/>
          <w:color w:val="000000"/>
          <w:szCs w:val="24"/>
          <w:lang w:val="zh-CN" w:eastAsia="zh-CN"/>
        </w:rPr>
        <w:t>：___%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周边 500m 范围内是否设有社会公共停车场（库）：</w:t>
      </w:r>
      <w:r>
        <w:rPr>
          <w:rFonts w:hint="eastAsia" w:ascii="Times New Roman" w:hAnsi="Times New Roman" w:eastAsia="宋体" w:cs="Times New Roman"/>
          <w:bCs/>
          <w:color w:val="000000"/>
          <w:szCs w:val="24"/>
          <w:lang w:val="zh-CN" w:eastAsia="zh-CN"/>
        </w:rPr>
        <w:t>□是 □否</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场地不封闭或场地内步行公共通道是否向社会开放：</w:t>
      </w:r>
      <w:r>
        <w:rPr>
          <w:rFonts w:hint="eastAsia" w:ascii="Times New Roman" w:hAnsi="Times New Roman" w:eastAsia="宋体" w:cs="Times New Roman"/>
          <w:bCs/>
          <w:color w:val="000000"/>
          <w:szCs w:val="24"/>
          <w:lang w:val="zh-CN" w:eastAsia="zh-CN"/>
        </w:rPr>
        <w:t>□是 □否</w:t>
      </w:r>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公共服务设施布局图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公共服务位置标识图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设施向社会共享的管理办法、实施方案、使用说明、工作记录等</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应明确公共服务设施向社会共享的时间方式</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相关照片或视频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6.2.4 城市绿地、广场及公共运动场地等开敞空间，步行可达。</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场地出入口到达城市公园绿地、居住区公园、广场的步行距离不大于300m，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到达中型多功能运动场地的步行距离不大于500m，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场地出入口到达城市公园绿地、居住区公园、广场的步行距离：</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场地出入口到达中型多功能运动场地的步行距离：</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场地周边公共设施布局图/规划图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场地周边公共设施步行路线图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场地周边公共设施位置标识图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开敞空间出入口照片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364" w:type="dxa"/>
          </w:tcPr>
          <w:p>
            <w:pPr>
              <w:spacing w:line="288" w:lineRule="auto"/>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 xml:space="preserve">6.2.5 </w:t>
      </w:r>
      <w:bookmarkStart w:id="55" w:name="_Hlk25521667"/>
      <w:r>
        <w:rPr>
          <w:rFonts w:hint="eastAsia" w:ascii="黑体" w:hAnsi="黑体" w:eastAsia="黑体" w:cs="Times New Roman"/>
          <w:kern w:val="0"/>
          <w:sz w:val="24"/>
          <w:lang w:val="en-US" w:eastAsia="zh-CN"/>
        </w:rPr>
        <w:t>合理设置健身场地和空间</w:t>
      </w:r>
      <w:bookmarkEnd w:id="55"/>
      <w:r>
        <w:rPr>
          <w:rFonts w:hint="eastAsia" w:ascii="黑体" w:hAnsi="黑体" w:eastAsia="黑体" w:cs="Times New Roman"/>
          <w:kern w:val="0"/>
          <w:sz w:val="24"/>
          <w:lang w:val="en-US" w:eastAsia="zh-CN"/>
        </w:rPr>
        <w:t>，</w:t>
      </w:r>
      <w:bookmarkStart w:id="56" w:name="_Hlk25521654"/>
      <w:r>
        <w:rPr>
          <w:rFonts w:hint="eastAsia" w:ascii="黑体" w:hAnsi="黑体" w:eastAsia="黑体" w:cs="Times New Roman"/>
          <w:kern w:val="0"/>
          <w:sz w:val="24"/>
          <w:lang w:val="en-US" w:eastAsia="zh-CN"/>
        </w:rPr>
        <w:t>设置必要的运动设施</w:t>
      </w:r>
      <w:bookmarkEnd w:id="56"/>
      <w:r>
        <w:rPr>
          <w:rFonts w:hint="eastAsia" w:ascii="黑体" w:hAnsi="黑体" w:eastAsia="黑体" w:cs="Times New Roman"/>
          <w:kern w:val="0"/>
          <w:sz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场地内室外健身场地面积不少于总用地面积的0.5％，</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场地内设置宽度不少于1.25m的专用健身慢行道，健身慢行道长度不少于用地红线周长的1/4且不少于100m，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场地内室内健身空间的面积不少于地上建筑面积的0.3％且不少于60m2，</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建筑内楼梯间具有天然采光和良好的视野，且距离主入口的距离不大于15m，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是否设置了健身场地和空间：</w:t>
      </w:r>
      <w:r>
        <w:rPr>
          <w:rFonts w:hint="eastAsia" w:ascii="Times New Roman" w:hAnsi="Times New Roman" w:eastAsia="宋体" w:cs="Times New Roman"/>
          <w:bCs/>
          <w:color w:val="000000"/>
          <w:szCs w:val="24"/>
          <w:lang w:val="zh-CN" w:eastAsia="zh-CN"/>
        </w:rPr>
        <w:t>□是 □否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室外健身场地面积：</w:t>
      </w:r>
      <w:r>
        <w:rPr>
          <w:rFonts w:hint="eastAsia" w:ascii="Times New Roman" w:hAnsi="Times New Roman" w:eastAsia="宋体" w:cs="Times New Roman"/>
          <w:bCs/>
          <w:color w:val="000000"/>
          <w:szCs w:val="24"/>
          <w:lang w:val="zh-CN" w:eastAsia="zh-CN"/>
        </w:rPr>
        <w:t>____m2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室外健身场地与总用地面积比例：</w:t>
      </w:r>
      <w:r>
        <w:rPr>
          <w:rFonts w:hint="eastAsia" w:ascii="Times New Roman" w:hAnsi="Times New Roman" w:eastAsia="宋体" w:cs="Times New Roman"/>
          <w:bCs/>
          <w:color w:val="000000"/>
          <w:szCs w:val="24"/>
          <w:lang w:val="en-US" w:eastAsia="zh-CN"/>
        </w:rPr>
        <w:t>____</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室内健身空间的面积：</w:t>
      </w:r>
      <w:r>
        <w:rPr>
          <w:rFonts w:hint="eastAsia" w:ascii="Times New Roman" w:hAnsi="Times New Roman" w:eastAsia="宋体" w:cs="Times New Roman"/>
          <w:bCs/>
          <w:color w:val="000000"/>
          <w:szCs w:val="24"/>
          <w:lang w:val="zh-CN" w:eastAsia="zh-CN"/>
        </w:rPr>
        <w:t>____m2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室内健身空间与地上建筑面积比例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____</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健身慢行道宽度：</w:t>
      </w:r>
      <w:r>
        <w:rPr>
          <w:rFonts w:hint="eastAsia" w:ascii="Times New Roman" w:hAnsi="Times New Roman" w:eastAsia="宋体" w:cs="Times New Roman"/>
          <w:bCs/>
          <w:color w:val="000000"/>
          <w:szCs w:val="24"/>
          <w:lang w:val="zh-CN" w:eastAsia="zh-CN"/>
        </w:rPr>
        <w:t>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健身慢行道长度：</w:t>
      </w:r>
      <w:r>
        <w:rPr>
          <w:rFonts w:hint="eastAsia" w:ascii="Times New Roman" w:hAnsi="Times New Roman" w:eastAsia="宋体" w:cs="Times New Roman"/>
          <w:bCs/>
          <w:color w:val="000000"/>
          <w:szCs w:val="24"/>
          <w:lang w:val="zh-CN" w:eastAsia="zh-CN"/>
        </w:rPr>
        <w:t>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用地红线周长：</w:t>
      </w:r>
      <w:r>
        <w:rPr>
          <w:rFonts w:hint="eastAsia" w:ascii="Times New Roman" w:hAnsi="Times New Roman" w:eastAsia="宋体" w:cs="Times New Roman"/>
          <w:bCs/>
          <w:color w:val="000000"/>
          <w:szCs w:val="24"/>
          <w:lang w:val="zh-CN" w:eastAsia="zh-CN"/>
        </w:rPr>
        <w:t>____m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楼梯间是否具有天然采光和良好的视野：</w:t>
      </w:r>
      <w:r>
        <w:rPr>
          <w:rFonts w:hint="eastAsia" w:ascii="Times New Roman" w:hAnsi="Times New Roman" w:eastAsia="宋体" w:cs="Times New Roman"/>
          <w:bCs/>
          <w:color w:val="000000"/>
          <w:szCs w:val="24"/>
          <w:lang w:val="zh-CN" w:eastAsia="zh-CN"/>
        </w:rPr>
        <w:t>□是 □否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楼梯间距离主入口的距离：</w:t>
      </w:r>
      <w:r>
        <w:rPr>
          <w:rFonts w:hint="eastAsia" w:ascii="Times New Roman" w:hAnsi="Times New Roman" w:eastAsia="宋体" w:cs="Times New Roman"/>
          <w:bCs/>
          <w:color w:val="000000"/>
          <w:szCs w:val="24"/>
          <w:lang w:val="zh-CN" w:eastAsia="zh-CN"/>
        </w:rPr>
        <w:t>____m</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含健身设施布局、健身慢行道路线、健身设施场地布置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含平面功能布局、楼梯间位置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含楼梯间及楼梯间照明系统设计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各公共服务设施的照片或视频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364" w:type="dxa"/>
          </w:tcPr>
          <w:p>
            <w:pPr>
              <w:spacing w:line="288" w:lineRule="auto"/>
            </w:pPr>
          </w:p>
        </w:tc>
      </w:tr>
    </w:tbl>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6.2.6设置自动体外除颤器、简易呼吸器、氧气瓶、自动洗胃机等急救医疗设施，并对相关物业、安保等服务人员进行专业培训。</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设置自动体外除颤器、简易呼吸器、氧气瓶、自动洗胃机等急救医疗设施，并对相关物业、安保等服务人员进行专业培训</w:t>
      </w:r>
      <w:r>
        <w:rPr>
          <w:rFonts w:hint="eastAsia" w:cs="Times New Roman"/>
          <w:bCs/>
          <w:color w:val="000000"/>
          <w:szCs w:val="24"/>
          <w:lang w:val="en-US" w:eastAsia="zh-CN"/>
        </w:rPr>
        <w:t>；</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简要说明是否选用质量合格的专业设备，并有定期检查记录；对物业人员是否定期培训考核达标。（200字以内）。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平面位置图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应标明技术设施在平面上的位置布置</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自动体外除颤器、简易呼吸器、氧气瓶、自动洗胃机等急救医疗设施产品</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物业人员的培训记录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现场实物影像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自动体外除颤器、简易呼吸器、氧气瓶、自动洗胃机等急救医疗设施实物照片或视频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364" w:type="dxa"/>
          </w:tcPr>
          <w:p>
            <w:pPr>
              <w:spacing w:line="288" w:lineRule="auto"/>
            </w:pPr>
          </w:p>
        </w:tc>
      </w:tr>
    </w:tbl>
    <w:p/>
    <w:p/>
    <w:p>
      <w:pPr>
        <w:pStyle w:val="3"/>
        <w:spacing w:line="288" w:lineRule="auto"/>
        <w:jc w:val="center"/>
        <w:rPr>
          <w:rFonts w:hint="eastAsia" w:ascii="宋体" w:hAnsi="宋体" w:eastAsia="宋体" w:cs="宋体"/>
        </w:rPr>
      </w:pPr>
      <w:bookmarkStart w:id="57" w:name="_Toc22221578"/>
      <w:bookmarkStart w:id="58" w:name="_Toc35364745"/>
      <w:r>
        <w:rPr>
          <w:rFonts w:hint="eastAsia" w:ascii="宋体" w:hAnsi="宋体" w:eastAsia="宋体" w:cs="宋体"/>
        </w:rPr>
        <w:t>Ⅲ 智慧运行</w:t>
      </w:r>
      <w:bookmarkEnd w:id="57"/>
      <w:bookmarkEnd w:id="58"/>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6.2.7 设置分类、分级用能自动远传计量系统，且设置能源管理系统实现对建筑能耗的监测、数据分析和管理。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设置分类、分级用能自动远传计量系统，且设置能源管理系统实现对建筑能耗的监测、数据分析和管理；</w:t>
      </w:r>
      <w:r>
        <w:rPr>
          <w:rFonts w:hint="eastAsia" w:ascii="宋体" w:hAnsi="宋体"/>
          <w:b/>
          <w:bCs/>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简要说明分类、分级用能自动远传计量系统及能源管理系统的设置情况。（200字以内）。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522" w:type="dxa"/>
          </w:tcPr>
          <w:p>
            <w:pPr>
              <w:spacing w:line="288" w:lineRule="auto"/>
              <w:ind w:firstLine="482" w:firstLineChars="200"/>
              <w:outlineLvl w:val="8"/>
              <w:rPr>
                <w:rFonts w:ascii="宋体" w:eastAsia="黑体"/>
                <w:b/>
                <w:bCs/>
                <w:kern w:val="44"/>
                <w:sz w:val="24"/>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736"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用能系统设计说明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自动远传计量系统设计说明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能源管理系统设计说明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应体现数据传输、存储（可存储数据不少于一年）、分析功能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系统配置设计说明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364" w:type="dxa"/>
          </w:tcPr>
          <w:p>
            <w:pPr>
              <w:spacing w:line="288" w:lineRule="auto"/>
            </w:pPr>
          </w:p>
        </w:tc>
      </w:tr>
    </w:tbl>
    <w:p/>
    <w:p/>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6.2.8 设置PM10、PM2.5、CO2浓度的空气质量监测系统，且具有存储至少一年的监测数据和实时显示等功能。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1实时显示室内外空气质量状况，</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对公共部位人员密集场所的室内污染物浓度实现实时超标警示，并与通风系统联动，</w:t>
      </w:r>
      <w:r>
        <w:rPr>
          <w:rFonts w:hint="eastAsia" w:cs="Times New Roman"/>
          <w:bCs/>
          <w:color w:val="000000"/>
          <w:szCs w:val="24"/>
          <w:lang w:val="en-US" w:eastAsia="zh-CN"/>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简要说明PM10 、PM2.5、CO2 浓度的空气质量监测系统设置及功能情况。（200字以内）。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监测系统设计说明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监测点位图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监测系统功能说明书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36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6.2.9 设置用水远传计量系统、水质在线监测系统。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评价总分值为7分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设置用水量远传计量系统，能分类、分级记录、统计分析各种用水情况，</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利用计量数据进行管网漏损自动检测、分析与整改，管道漏损率低于5％，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设置水质在线监测系统，监测生活饮用水、管道直饮水、游泳池水、非传统水源、空调冷却水的水质指标，记录并保存水质监测结果，且能随时供用户查询，</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简要说明用水远传计量系统、水质在线监测系统的设置情况。（200字以内）。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用水量远传计量系统设置及设计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分级水表设置及位置说明或示意图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水质监测系统设置及点位设计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监测与发布系统说明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远传水表或水质监测设备的型式检验报告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用水量远传计量及水质在线监测的管理制度、历史监测数据、运行记录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用水量分类、分项计量记录及统计分析报告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管网漏损自动检测分析记录和整改报告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8364" w:type="dxa"/>
          </w:tcPr>
          <w:p>
            <w:pPr>
              <w:spacing w:line="288" w:lineRule="auto"/>
            </w:pPr>
          </w:p>
        </w:tc>
      </w:tr>
    </w:tbl>
    <w:p/>
    <w:p/>
    <w:p/>
    <w:p/>
    <w:p/>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6.2.10 具有智能化服务系统。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具有智能家居、照明智能控制、安全报警、环境监测、建筑设备控制、智能化停车管理及物业管理平台等至少4种类型的服务功能，□3分；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具有智能化系统集成动态管理平台，□3分；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具有接入智慧城市(城区、社区)的功能，□3分。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智能化服务系统</w:t>
      </w:r>
      <w:r>
        <w:rPr>
          <w:rFonts w:hint="eastAsia" w:cs="Times New Roman"/>
          <w:b/>
          <w:bCs w:val="0"/>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具有的服务功能包括：□家电控制、□照明控制、□安全报警、□环境监测、□建筑设备控制、□工作生活服务、□其他</w:t>
      </w:r>
      <w:r>
        <w:rPr>
          <w:rFonts w:hint="eastAsia" w:ascii="Times New Roman" w:hAnsi="Times New Roman" w:eastAsia="宋体" w:cs="Times New Roman"/>
          <w:bCs/>
          <w:color w:val="000000"/>
          <w:szCs w:val="24"/>
          <w:lang w:val="zh-CN" w:eastAsia="zh-CN"/>
        </w:rPr>
        <w:t>__     __</w:t>
      </w:r>
      <w:r>
        <w:rPr>
          <w:rFonts w:hint="eastAsia" w:ascii="Times New Roman" w:hAnsi="Times New Roman" w:eastAsia="宋体" w:cs="Times New Roman"/>
          <w:bCs/>
          <w:color w:val="000000"/>
          <w:szCs w:val="24"/>
          <w:lang w:val="en-US" w:eastAsia="zh-CN"/>
        </w:rPr>
        <w:t>、□以上皆无</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是否具有远程监控的功能：□是、□否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是否具有接入智慧城市（城区、社区）的功能：□是、□否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智能家居或环境设备监控系统设计方案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含智能化设计图纸、装修图纸</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智能化服务平台方案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应明确其可实现的服务功能、远程监控功能、接入上一级智慧平台功能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64" w:type="dxa"/>
          </w:tcPr>
          <w:p>
            <w:pPr>
              <w:spacing w:line="288" w:lineRule="auto"/>
            </w:pPr>
          </w:p>
        </w:tc>
      </w:tr>
    </w:tbl>
    <w:p/>
    <w:p>
      <w:pPr>
        <w:pStyle w:val="3"/>
        <w:spacing w:line="288" w:lineRule="auto"/>
        <w:jc w:val="center"/>
        <w:rPr>
          <w:rFonts w:hint="eastAsia" w:ascii="宋体" w:hAnsi="宋体" w:eastAsia="宋体" w:cs="宋体"/>
        </w:rPr>
      </w:pPr>
      <w:bookmarkStart w:id="59" w:name="_Toc22221579"/>
      <w:bookmarkStart w:id="60" w:name="_Toc35364746"/>
      <w:r>
        <w:rPr>
          <w:rFonts w:hint="eastAsia" w:ascii="宋体" w:hAnsi="宋体" w:eastAsia="宋体" w:cs="宋体"/>
        </w:rPr>
        <w:t>Ⅳ 物业管理</w:t>
      </w:r>
      <w:bookmarkEnd w:id="59"/>
      <w:bookmarkEnd w:id="60"/>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6.2.11 制定完善的节能、节水、节材、绿化的操作规程、应急预案，实施能源资源管理激励机制，且有效实施。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相关设施具有完善的操作规程和应急预案，□2分；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物业管理机构的工作考核体系中包含节能和节水绩效考核激励机制，□3分。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操作规程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相关设施的操作规程是否上墙：□是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操作人员是否有上岗证书：□是 □否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具有的上岗证书有：</w:t>
      </w:r>
      <w:r>
        <w:rPr>
          <w:rFonts w:hint="eastAsia" w:ascii="Times New Roman" w:hAnsi="Times New Roman" w:eastAsia="宋体" w:cs="Times New Roman"/>
          <w:bCs/>
          <w:color w:val="000000"/>
          <w:szCs w:val="24"/>
          <w:lang w:val="zh-CN" w:eastAsia="zh-CN"/>
        </w:rPr>
        <w:t>___           _</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应急预案</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节能、节水设施运行有无应急预案：□有 □无</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简要说明项目节能、节水、节材、绿化的操作规程、应急预案的合理性与完善性，及其实施情况。（300字以内）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节能、节水、节材、绿化的相关管理制度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应包括操作规程、应急预案、操作人员的专业证书；应急预案中应明确规定各种突发事故的处理流程、人员分工、严格的上报和记录程序，并对专业维修人员的安全有严格的保障措施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节能、节水、节材、绿化的运维管理记录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节能、节水设施设备应具有巡回检查制度、保养维护制度，并有完善的运行记录等；节材应具有详细、完整的购置和使用记录；绿化保养应具有完善的保养维护制度，并有完整的养护记录、药品的购置和使用记录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运行管理机构的工作考核体系文件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应包括节能和节水绩效考核激励机制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36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6.2.12 建筑平均日用水量满足现行国家标准《民用建筑节水设计标准》（GB 50555）中节水用水定额的要求。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平均日用水量大于节水用水定额的平均值、不大于上限值， □1分。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平均日用水量大于节水用水定额下限值、不大于平均值， □2分。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平均日用水量不大于节水用水定额下限值，□3分。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节水用水定额</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275"/>
        <w:gridCol w:w="1276"/>
        <w:gridCol w:w="1556"/>
        <w:gridCol w:w="1420"/>
        <w:gridCol w:w="1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r>
              <w:rPr>
                <w:rFonts w:hint="eastAsia" w:ascii="宋体" w:hAnsi="宋体"/>
                <w:szCs w:val="21"/>
              </w:rPr>
              <w:t>用水部门</w:t>
            </w:r>
          </w:p>
        </w:tc>
        <w:tc>
          <w:tcPr>
            <w:tcW w:w="1275" w:type="dxa"/>
            <w:vAlign w:val="center"/>
          </w:tcPr>
          <w:p>
            <w:pPr>
              <w:spacing w:line="288" w:lineRule="auto"/>
              <w:jc w:val="center"/>
              <w:rPr>
                <w:rFonts w:ascii="宋体" w:hAnsi="宋体"/>
                <w:szCs w:val="21"/>
              </w:rPr>
            </w:pPr>
            <w:r>
              <w:rPr>
                <w:rFonts w:hint="eastAsia" w:ascii="宋体" w:hAnsi="宋体"/>
                <w:szCs w:val="21"/>
              </w:rPr>
              <w:t>年实际用水总量</w:t>
            </w:r>
          </w:p>
        </w:tc>
        <w:tc>
          <w:tcPr>
            <w:tcW w:w="1276" w:type="dxa"/>
            <w:vAlign w:val="center"/>
          </w:tcPr>
          <w:p>
            <w:pPr>
              <w:spacing w:line="288" w:lineRule="auto"/>
              <w:jc w:val="center"/>
              <w:rPr>
                <w:rFonts w:ascii="宋体" w:hAnsi="宋体"/>
                <w:szCs w:val="21"/>
              </w:rPr>
            </w:pPr>
            <w:r>
              <w:rPr>
                <w:rFonts w:hint="eastAsia" w:ascii="宋体" w:hAnsi="宋体"/>
                <w:szCs w:val="21"/>
              </w:rPr>
              <w:t xml:space="preserve">年实际用水天数 </w:t>
            </w:r>
          </w:p>
        </w:tc>
        <w:tc>
          <w:tcPr>
            <w:tcW w:w="1556" w:type="dxa"/>
            <w:vAlign w:val="center"/>
          </w:tcPr>
          <w:p>
            <w:pPr>
              <w:spacing w:line="288" w:lineRule="auto"/>
              <w:jc w:val="center"/>
              <w:rPr>
                <w:rFonts w:ascii="宋体" w:hAnsi="宋体"/>
                <w:szCs w:val="21"/>
              </w:rPr>
            </w:pPr>
            <w:r>
              <w:rPr>
                <w:rFonts w:hint="eastAsia" w:ascii="宋体" w:hAnsi="宋体"/>
                <w:szCs w:val="21"/>
              </w:rPr>
              <w:t>实际用水单位数量</w:t>
            </w:r>
          </w:p>
        </w:tc>
        <w:tc>
          <w:tcPr>
            <w:tcW w:w="1420" w:type="dxa"/>
            <w:vAlign w:val="center"/>
          </w:tcPr>
          <w:p>
            <w:pPr>
              <w:spacing w:line="288" w:lineRule="auto"/>
              <w:jc w:val="center"/>
              <w:rPr>
                <w:rFonts w:ascii="宋体" w:hAnsi="宋体"/>
                <w:szCs w:val="21"/>
              </w:rPr>
            </w:pPr>
            <w:r>
              <w:rPr>
                <w:rFonts w:hint="eastAsia" w:ascii="宋体" w:hAnsi="宋体"/>
                <w:szCs w:val="21"/>
              </w:rPr>
              <w:t>平均日用水量</w:t>
            </w:r>
          </w:p>
        </w:tc>
        <w:tc>
          <w:tcPr>
            <w:tcW w:w="1770" w:type="dxa"/>
            <w:vAlign w:val="center"/>
          </w:tcPr>
          <w:p>
            <w:pPr>
              <w:spacing w:line="288" w:lineRule="auto"/>
              <w:jc w:val="center"/>
              <w:rPr>
                <w:rFonts w:ascii="宋体" w:hAnsi="宋体"/>
                <w:szCs w:val="21"/>
              </w:rPr>
            </w:pPr>
            <w:r>
              <w:rPr>
                <w:rFonts w:ascii="宋体" w:hAnsi="宋体"/>
                <w:szCs w:val="21"/>
              </w:rPr>
              <w:t>节水定额</w:t>
            </w:r>
          </w:p>
          <w:p>
            <w:pPr>
              <w:spacing w:line="288" w:lineRule="auto"/>
              <w:jc w:val="center"/>
              <w:rPr>
                <w:rFonts w:ascii="宋体" w:hAnsi="宋体"/>
                <w:szCs w:val="21"/>
              </w:rPr>
            </w:pPr>
            <w:r>
              <w:rPr>
                <w:rFonts w:hint="eastAsia" w:ascii="宋体" w:hAnsi="宋体"/>
                <w:szCs w:val="21"/>
              </w:rPr>
              <w:t>（</w:t>
            </w:r>
            <w:r>
              <w:rPr>
                <w:rFonts w:ascii="宋体" w:hAnsi="宋体"/>
                <w:szCs w:val="21"/>
              </w:rPr>
              <w:t>GB 50555</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pPr>
              <w:spacing w:line="288" w:lineRule="auto"/>
              <w:jc w:val="center"/>
              <w:rPr>
                <w:rFonts w:ascii="宋体" w:hAnsi="宋体"/>
                <w:szCs w:val="21"/>
              </w:rPr>
            </w:pPr>
          </w:p>
        </w:tc>
        <w:tc>
          <w:tcPr>
            <w:tcW w:w="1275"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556" w:type="dxa"/>
            <w:vAlign w:val="center"/>
          </w:tcPr>
          <w:p>
            <w:pPr>
              <w:spacing w:line="288" w:lineRule="auto"/>
              <w:jc w:val="center"/>
              <w:rPr>
                <w:rFonts w:ascii="宋体" w:hAnsi="宋体"/>
                <w:szCs w:val="21"/>
              </w:rPr>
            </w:pPr>
          </w:p>
        </w:tc>
        <w:tc>
          <w:tcPr>
            <w:tcW w:w="1420" w:type="dxa"/>
            <w:vAlign w:val="center"/>
          </w:tcPr>
          <w:p>
            <w:pPr>
              <w:spacing w:line="288" w:lineRule="auto"/>
              <w:jc w:val="center"/>
              <w:rPr>
                <w:rFonts w:ascii="宋体" w:hAnsi="宋体"/>
                <w:szCs w:val="21"/>
              </w:rPr>
            </w:pPr>
          </w:p>
        </w:tc>
        <w:tc>
          <w:tcPr>
            <w:tcW w:w="1770" w:type="dxa"/>
            <w:vAlign w:val="center"/>
          </w:tcPr>
          <w:p>
            <w:pPr>
              <w:spacing w:line="288" w:lineRule="auto"/>
              <w:jc w:val="center"/>
              <w:rPr>
                <w:rFonts w:ascii="宋体" w:hAnsi="宋体"/>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如项目为住宅建筑，则项目所在城市：，所属地区：□一区 □二区 □三区</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项目所在城市规模：□特大城市 □大城市□中、小城市</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简要说明所采用的节水措施、年实际用水量、年用水天数、用水单位数量（如用水人数、用水面积）等平均日用水量计算依据。（200字以内）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分类用水量计量报告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实际用水单元数量统计报告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建筑各类用水的平均日用水量计算书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应明确用水的使用人数、用水面积等，应包括运行期间建筑平均日用水量的计算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8364" w:type="dxa"/>
          </w:tcPr>
          <w:p>
            <w:pPr>
              <w:spacing w:line="288" w:lineRule="auto"/>
            </w:pPr>
          </w:p>
        </w:tc>
      </w:tr>
    </w:tbl>
    <w:p/>
    <w:p/>
    <w:p/>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6.2.13 定期对建筑运营效果进行评估，并根据结果进行运行优化。</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评价总分值为11分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制定绿色建筑运营效果评估的技术方案和计划，</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定期检查、调适公共设施设备，具有检查、调试、运行、标定的记录，且记录完整</w:t>
      </w:r>
      <w:r>
        <w:rPr>
          <w:rFonts w:hint="eastAsia" w:cs="Times New Roman"/>
          <w:bCs/>
          <w:color w:val="000000"/>
          <w:szCs w:val="24"/>
          <w:lang w:val="en-US" w:eastAsia="zh-CN"/>
        </w:rPr>
        <w:t xml:space="preserve">，      </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定期开展节能诊断评估，并根据评估结果制定优化方案并实施，</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 xml:space="preserve">4分；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定期对各类用水水质进行检测、公示，</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简述绿色建筑运营效果评估的技术方案和计划（300字以内）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绿色运营效果评估相关的工作制度文件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应包括开展绿色建筑运营效果评估工作的责任分工、时间安排和具体流程内容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nil"/>
              <w:right w:val="nil"/>
            </w:tcBorders>
            <w:shd w:val="clear" w:color="auto" w:fill="auto"/>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公共设施最近一年的巡检、调试、维保、标定记录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应包括时间、巡检员和部门配合人员的签名、及发现问题后的整改情况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能耗管理制度、历年的能耗记录、节能诊断评估报告、优化方案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能耗记录数据应全面、报告应明确项目所处的节能水平及优化潜力、优化方案应明确优化目标及措施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水质检测管理制度、历年的水质检测记录、检测报告、整改及公示记录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应保证至少每季度对各类用水水质的常规指标进行1次检测，明确不同周期的检测内容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7" w:hRule="atLeast"/>
          <w:jc w:val="center"/>
        </w:trPr>
        <w:tc>
          <w:tcPr>
            <w:tcW w:w="8364" w:type="dxa"/>
          </w:tcPr>
          <w:p>
            <w:pPr>
              <w:spacing w:line="288" w:lineRule="auto"/>
            </w:pPr>
          </w:p>
        </w:tc>
      </w:tr>
    </w:tbl>
    <w:p/>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6.2.14 建立绿色教育宣传和实践机制，编制绿色设施使用手册，形成良好的绿色氛围，并定期开展使用者满意度调查。</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每年组织不少于2次的绿色建筑技术宣传、绿色生活引导、灾害应急演练等绿色教育宣传和实践活动，并有活动记录，</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具有绿色生活展示、体验或交流分享的平台，并向使用者提供绿色设施使用手册，</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每年开展1次针对建筑绿色性能的使用者满意度调查，且根据调查结果制定改进措施并实施、公示，</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简要说明项目的绿色教育宣传机制（300字以内）。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物业管理的管理制度及部门素质的绿色教育宣传实践活动的内容和存档记录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应包括宣传内容和方式，参与人员数量、照片等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实体或网络平台及活动开展情况</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应包括媒体名称、报道时间、主要内容、报道链接或照片扫描件等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绿色设施使用手册及发放记录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应包括各类绿色设备设施的功能、作用及使用说明的文件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使用者满意度调查工作记录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调查内容应至少包括声环境、热舒适（采暖季和空调季至少各调查一次）、采光与照明、室内空气质量、服务设施保洁和围护、物业服务水平</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年度调查报告及整改方案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364" w:type="dxa"/>
          </w:tcPr>
          <w:p>
            <w:pPr>
              <w:spacing w:line="288" w:lineRule="auto"/>
            </w:pPr>
          </w:p>
        </w:tc>
      </w:tr>
    </w:tbl>
    <w:p/>
    <w:p/>
    <w:p/>
    <w:p/>
    <w:p/>
    <w:p/>
    <w:p/>
    <w:p/>
    <w:p/>
    <w:p/>
    <w:p/>
    <w:p/>
    <w:p/>
    <w:p/>
    <w:p/>
    <w:p/>
    <w:p/>
    <w:p/>
    <w:p/>
    <w:p/>
    <w:p/>
    <w:p/>
    <w:p/>
    <w:p/>
    <w:p/>
    <w:p/>
    <w:p/>
    <w:p/>
    <w:p/>
    <w:p/>
    <w:p/>
    <w:p/>
    <w:p/>
    <w:p>
      <w:pPr>
        <w:pStyle w:val="2"/>
      </w:pPr>
      <w:r>
        <w:rPr>
          <w:rFonts w:hint="eastAsia"/>
        </w:rPr>
        <w:t xml:space="preserve">7 </w:t>
      </w:r>
      <w:r>
        <w:t>资源</w:t>
      </w:r>
      <w:r>
        <w:rPr>
          <w:rFonts w:hint="eastAsia"/>
        </w:rPr>
        <w:t>节约</w:t>
      </w:r>
      <w:bookmarkEnd w:id="46"/>
    </w:p>
    <w:tbl>
      <w:tblPr>
        <w:tblStyle w:val="9"/>
        <w:tblW w:w="8381" w:type="dxa"/>
        <w:tblInd w:w="91" w:type="dxa"/>
        <w:tblLayout w:type="autofit"/>
        <w:tblCellMar>
          <w:top w:w="0" w:type="dxa"/>
          <w:left w:w="108" w:type="dxa"/>
          <w:bottom w:w="0" w:type="dxa"/>
          <w:right w:w="108" w:type="dxa"/>
        </w:tblCellMar>
      </w:tblPr>
      <w:tblGrid>
        <w:gridCol w:w="816"/>
        <w:gridCol w:w="761"/>
        <w:gridCol w:w="5386"/>
        <w:gridCol w:w="709"/>
        <w:gridCol w:w="709"/>
      </w:tblGrid>
      <w:tr>
        <w:tblPrEx>
          <w:tblCellMar>
            <w:top w:w="0" w:type="dxa"/>
            <w:left w:w="108" w:type="dxa"/>
            <w:bottom w:w="0" w:type="dxa"/>
            <w:right w:w="108" w:type="dxa"/>
          </w:tblCellMar>
        </w:tblPrEx>
        <w:trPr>
          <w:trHeight w:val="540" w:hRule="atLeast"/>
          <w:tblHeader/>
        </w:trPr>
        <w:tc>
          <w:tcPr>
            <w:tcW w:w="81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540" w:hRule="atLeast"/>
        </w:trPr>
        <w:tc>
          <w:tcPr>
            <w:tcW w:w="816"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7.1.1</w:t>
            </w:r>
          </w:p>
        </w:tc>
        <w:tc>
          <w:tcPr>
            <w:tcW w:w="538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应结合场地自然条件和建筑功能需求，对建筑的体形、平面布局、空间尺度、围护结构等进行节能设计，且应符合国家和</w:t>
            </w:r>
            <w:r>
              <w:rPr>
                <w:rFonts w:hint="eastAsia" w:cs="Times New Roman"/>
                <w:bCs w:val="0"/>
              </w:rPr>
              <w:t>重庆市</w:t>
            </w:r>
            <w:r>
              <w:rPr>
                <w:rFonts w:cs="Times New Roman"/>
                <w:bCs w:val="0"/>
              </w:rPr>
              <w:t>有关节能设计的要求。</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108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7.1.2</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应采取措施降低部分负荷、部分空间使用下的供暖、空调系统能耗，并应符合下列规定：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应区分房间的朝向细分供暖、空调区域，并应对系统进行分区控制；</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空调冷源的部分负荷性能系数(IPLV)、电冷源综合制冷性能系数(SCOP)应符合现行国家标准</w:t>
            </w:r>
            <w:bookmarkStart w:id="61" w:name="_Hlk32659446"/>
            <w:r>
              <w:rPr>
                <w:rFonts w:ascii="Times New Roman" w:hAnsi="Times New Roman" w:cs="Times New Roman"/>
                <w:b w:val="0"/>
                <w:color w:val="auto"/>
              </w:rPr>
              <w:t>《公共建筑节能设计标准》GB 50189</w:t>
            </w:r>
            <w:bookmarkEnd w:id="61"/>
            <w:r>
              <w:rPr>
                <w:rFonts w:ascii="Times New Roman" w:hAnsi="Times New Roman" w:cs="Times New Roman"/>
                <w:b w:val="0"/>
                <w:color w:val="auto"/>
              </w:rPr>
              <w:t>的规定。</w:t>
            </w:r>
          </w:p>
          <w:p>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7.1.3</w:t>
            </w:r>
          </w:p>
        </w:tc>
        <w:tc>
          <w:tcPr>
            <w:tcW w:w="5386" w:type="dxa"/>
            <w:tcBorders>
              <w:top w:val="nil"/>
              <w:left w:val="nil"/>
              <w:bottom w:val="single" w:color="auto" w:sz="4" w:space="0"/>
              <w:right w:val="single" w:color="auto" w:sz="4" w:space="0"/>
            </w:tcBorders>
            <w:shd w:val="clear" w:color="auto" w:fill="auto"/>
            <w:vAlign w:val="center"/>
          </w:tcPr>
          <w:p>
            <w:pPr>
              <w:pStyle w:val="5"/>
              <w:rPr>
                <w:rFonts w:ascii="宋体" w:hAnsi="宋体" w:cs="宋体"/>
                <w:color w:val="000000"/>
                <w:kern w:val="0"/>
                <w:szCs w:val="21"/>
              </w:rPr>
            </w:pPr>
            <w:r>
              <w:rPr>
                <w:rFonts w:cs="Times New Roman"/>
                <w:bCs w:val="0"/>
              </w:rPr>
              <w:t>应根据建筑空间功能设置分区温度，合理降低室内过渡区空间的温度设定标准。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Times New Roman"/>
                <w:bCs w:val="0"/>
              </w:rPr>
              <w:t>各类建筑</w:t>
            </w:r>
            <w:r>
              <w:rPr>
                <w:rFonts w:cs="Times New Roman"/>
                <w:bCs w:val="0"/>
              </w:rPr>
              <w:t>的照明功率密度值不应高于现行国家标准《建筑照明设计标准》GB 50034规定的现行值；公共区域的照明系统应采用分区、定时、感应等节能控制；采光区域的照明控制应独立于其他区域的照明控制。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冷热源、输配系统和照明等各部分能耗应进行独立分项计量。</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垂直电梯应采取群控、变频调速、</w:t>
            </w:r>
            <w:r>
              <w:rPr>
                <w:rFonts w:hint="eastAsia" w:cs="Times New Roman"/>
                <w:bCs w:val="0"/>
              </w:rPr>
              <w:t>轿内误指令取消功能</w:t>
            </w:r>
            <w:r>
              <w:rPr>
                <w:rFonts w:cs="Times New Roman"/>
                <w:bCs w:val="0"/>
              </w:rPr>
              <w:t>或能量反馈等节能措施；自动扶梯应采用变频感应启动等节能控制措施。</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7.1.7</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应制定水资源利用方案，统筹利用各种水资源，并应符合下列规定：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应按使用用途、付费或管理单元，分别设置用水计量装置；</w:t>
            </w:r>
          </w:p>
          <w:p>
            <w:pPr>
              <w:pStyle w:val="12"/>
              <w:ind w:firstLine="210" w:firstLineChars="100"/>
              <w:rPr>
                <w:rFonts w:ascii="宋体" w:hAnsi="宋体" w:cs="宋体"/>
                <w:color w:val="000000"/>
                <w:kern w:val="0"/>
                <w:szCs w:val="21"/>
              </w:rPr>
            </w:pPr>
            <w:r>
              <w:rPr>
                <w:rFonts w:ascii="Times New Roman" w:hAnsi="Times New Roman" w:cs="Times New Roman"/>
                <w:b w:val="0"/>
                <w:color w:val="auto"/>
              </w:rPr>
              <w:t>2 用水点处水压大于0.2MPa的配水支管应设置减压设施，并应满足给水配件最低工作压力的要求；</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不应采用建筑形体和布置严重不规则的建筑结构。</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7.1.9</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建筑造型要素应简约，应无大量装饰性构件，并应符合下列规定：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住宅建筑的装饰性构件造价占建筑总造价的比例不应大于2％；</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公共建筑的装饰性构件造价占建筑总造价的比例不应大于1％。</w:t>
            </w:r>
          </w:p>
          <w:p>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7.1.10</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bCs w:val="0"/>
              </w:rPr>
            </w:pPr>
            <w:r>
              <w:rPr>
                <w:rFonts w:cs="Times New Roman"/>
                <w:bCs w:val="0"/>
              </w:rPr>
              <w:t>选用的建筑材料应符合下列规定：</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1 500km以内生产的建筑材料重量占建筑材料总重量的比例应大于60％；</w:t>
            </w:r>
          </w:p>
          <w:p>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现浇混凝土应采用预拌混凝土，建筑砂浆应采用预拌砂浆。</w:t>
            </w:r>
          </w:p>
          <w:p>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eastAsia="宋体"/>
                <w:color w:val="000000"/>
                <w:kern w:val="0"/>
                <w:szCs w:val="21"/>
                <w:lang w:eastAsia="zh-CN"/>
              </w:rPr>
            </w:pPr>
            <w:r>
              <w:rPr>
                <w:color w:val="000000"/>
                <w:kern w:val="0"/>
                <w:szCs w:val="21"/>
              </w:rPr>
              <w:t>7.1.1</w:t>
            </w:r>
            <w:r>
              <w:rPr>
                <w:rFonts w:hint="eastAsia"/>
                <w:color w:val="000000"/>
                <w:kern w:val="0"/>
                <w:szCs w:val="21"/>
                <w:lang w:val="en-US" w:eastAsia="zh-CN"/>
              </w:rPr>
              <w:t>1</w:t>
            </w:r>
          </w:p>
        </w:tc>
        <w:tc>
          <w:tcPr>
            <w:tcW w:w="5386" w:type="dxa"/>
            <w:tcBorders>
              <w:top w:val="nil"/>
              <w:left w:val="nil"/>
              <w:bottom w:val="single" w:color="auto" w:sz="4" w:space="0"/>
              <w:right w:val="single" w:color="auto" w:sz="4" w:space="0"/>
            </w:tcBorders>
            <w:shd w:val="clear" w:color="auto" w:fill="auto"/>
            <w:vAlign w:val="center"/>
          </w:tcPr>
          <w:p>
            <w:pPr>
              <w:pStyle w:val="5"/>
              <w:rPr>
                <w:rFonts w:cs="Times New Roman"/>
              </w:rPr>
            </w:pPr>
            <w:r>
              <w:rPr>
                <w:rFonts w:hint="eastAsia" w:cs="Times New Roman"/>
                <w:bCs w:val="0"/>
              </w:rPr>
              <w:t>积极推进建筑产业化技术措施应用，并满足下列规定：</w:t>
            </w:r>
          </w:p>
          <w:p>
            <w:pPr>
              <w:pStyle w:val="12"/>
              <w:ind w:firstLine="210" w:firstLineChars="100"/>
              <w:rPr>
                <w:rFonts w:ascii="Times New Roman" w:hAnsi="Times New Roman" w:cs="Times New Roman"/>
                <w:b w:val="0"/>
                <w:color w:val="auto"/>
              </w:rPr>
            </w:pPr>
            <w:r>
              <w:rPr>
                <w:rFonts w:hint="eastAsia" w:ascii="Times New Roman" w:hAnsi="Times New Roman" w:cs="Times New Roman"/>
                <w:b w:val="0"/>
                <w:color w:val="auto"/>
              </w:rPr>
              <w:t>1</w:t>
            </w:r>
            <w:r>
              <w:rPr>
                <w:rFonts w:ascii="Times New Roman" w:hAnsi="Times New Roman" w:cs="Times New Roman"/>
                <w:b w:val="0"/>
                <w:color w:val="auto"/>
              </w:rPr>
              <w:t xml:space="preserve"> </w:t>
            </w:r>
            <w:r>
              <w:rPr>
                <w:rFonts w:hint="eastAsia" w:ascii="Times New Roman" w:hAnsi="Times New Roman" w:cs="Times New Roman"/>
                <w:b w:val="0"/>
                <w:color w:val="auto"/>
              </w:rPr>
              <w:t>内隔墙非砌筑比例≥50%；</w:t>
            </w:r>
          </w:p>
          <w:p>
            <w:pPr>
              <w:widowControl/>
              <w:ind w:firstLine="210" w:firstLineChars="100"/>
              <w:jc w:val="left"/>
              <w:rPr>
                <w:rFonts w:ascii="宋体" w:hAnsi="宋体" w:cs="宋体"/>
                <w:color w:val="000000"/>
                <w:kern w:val="0"/>
                <w:szCs w:val="21"/>
              </w:rPr>
            </w:pPr>
            <w:r>
              <w:rPr>
                <w:rFonts w:ascii="Times New Roman" w:hAnsi="Times New Roman" w:cs="Times New Roman"/>
                <w:b w:val="0"/>
                <w:color w:val="auto"/>
              </w:rPr>
              <w:t xml:space="preserve">2 </w:t>
            </w:r>
            <w:r>
              <w:rPr>
                <w:rFonts w:hint="eastAsia" w:ascii="Times New Roman" w:hAnsi="Times New Roman" w:cs="Times New Roman"/>
                <w:b w:val="0"/>
                <w:color w:val="auto"/>
              </w:rPr>
              <w:t>预制装配式楼板应用面积不低于单体建筑地上建筑面积的6</w:t>
            </w:r>
            <w:r>
              <w:rPr>
                <w:rFonts w:ascii="Times New Roman" w:hAnsi="Times New Roman" w:cs="Times New Roman"/>
                <w:b w:val="0"/>
                <w:color w:val="auto"/>
              </w:rPr>
              <w:t>0%</w:t>
            </w:r>
            <w:r>
              <w:rPr>
                <w:rFonts w:hint="eastAsia" w:ascii="Times New Roman" w:hAnsi="Times New Roman" w:cs="Times New Roman"/>
                <w:b w:val="0"/>
                <w:color w:val="auto"/>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节地与土地利用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节约集约利用土地</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合理开发利用地下空间</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采用机械式停车设施、地下停车库或地面停车楼等方式</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节能与能源利用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优化建筑围护结构的热工性能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供暖空调系统的冷、热源机组能效均优于现行国家标准《公共建筑节能设计标准》GB50189的规定以及现行有关国家标准能效限定值的要求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采取有效措施降低供暖空调系统的末端系统及输配系统的能耗，且</w:t>
            </w:r>
            <w:r>
              <w:rPr>
                <w:rFonts w:hint="eastAsia" w:cs="Times New Roman"/>
                <w:bCs w:val="0"/>
              </w:rPr>
              <w:t>供暖空调系统应采用变流量输配系统，过渡季节通风量需满足余热去除需求</w:t>
            </w:r>
            <w:r>
              <w:rPr>
                <w:rFonts w:cs="Times New Roman"/>
                <w:bCs w:val="0"/>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采用节能型电气设备及节能控制措施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采取措施降低建筑能耗</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7.2.9</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结合当地气候和自然资源条件合理利用可再生能源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7.2.10</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合理采用被动式技术措施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3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节水与水资源利用</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7.2.11</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cs="Times New Roman"/>
                <w:bCs w:val="0"/>
              </w:rPr>
              <w:t>使用较高用水效率等级的卫生器具</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7.2.12</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绿化灌溉及空调冷却水系统采用节水设备或技术</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7.2.13</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结合雨水综合利用设施营造室外景观水体，室外景观水体利用雨水的补水量大于水体蒸发量的60％，且采用保障水体水质的生态水处理技术</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7.2.14</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使用非传统水源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节材与绿色建材</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7.2.15</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建筑所有区域实施土建工程与装修工程一体化设计及施工</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7.2.16</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合理选用建筑结构材料与构件</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7.2.17</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建筑装修选用工业化内装部品</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7.2.18</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选用可再循环材料、可再利用材料及利废建材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color w:val="000000"/>
                <w:kern w:val="0"/>
                <w:szCs w:val="21"/>
                <w:lang w:val="en-US" w:eastAsia="zh-CN"/>
              </w:rPr>
            </w:pPr>
            <w:r>
              <w:rPr>
                <w:rFonts w:hint="eastAsia"/>
                <w:color w:val="000000"/>
                <w:kern w:val="0"/>
                <w:szCs w:val="21"/>
                <w:lang w:val="en-US" w:eastAsia="zh-CN"/>
              </w:rPr>
              <w:t>7.2.19</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选用绿色建材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7.2.20</w:t>
            </w:r>
          </w:p>
        </w:tc>
        <w:tc>
          <w:tcPr>
            <w:tcW w:w="5386"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cs="Times New Roman"/>
                <w:bCs w:val="0"/>
              </w:rPr>
              <w:t>采用建筑形体和布置规则的建筑结构</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5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2"/>
        <w:bidi w:val="0"/>
        <w:rPr>
          <w:rFonts w:hint="eastAsia"/>
        </w:rPr>
      </w:pPr>
      <w:bookmarkStart w:id="62" w:name="_Toc22221581"/>
      <w:bookmarkStart w:id="63" w:name="_Toc35364748"/>
      <w:bookmarkStart w:id="64" w:name="_Toc428800978"/>
      <w:bookmarkStart w:id="65" w:name="_Toc349912337"/>
      <w:bookmarkStart w:id="66" w:name="_Toc378354206"/>
      <w:bookmarkStart w:id="67" w:name="_Toc14261617"/>
      <w:r>
        <w:rPr>
          <w:rFonts w:hint="eastAsia"/>
        </w:rPr>
        <w:t>7.1 控制项</w:t>
      </w:r>
      <w:bookmarkEnd w:id="62"/>
      <w:bookmarkEnd w:id="63"/>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 应结合场地自然条件和建筑功能需求，对建筑的体形、平面布局、空间尺度、围护结构等进行节能设计，且应符合国家和重庆市有关节能设计的要求。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建筑设计参数：</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68"/>
        <w:gridCol w:w="1134"/>
        <w:gridCol w:w="99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jc w:val="center"/>
              <w:rPr>
                <w:rFonts w:ascii="宋体" w:hAnsi="宋体"/>
                <w:color w:val="000000"/>
                <w:szCs w:val="21"/>
              </w:rPr>
            </w:pPr>
            <w:r>
              <w:rPr>
                <w:rFonts w:hint="eastAsia" w:ascii="宋体" w:hAnsi="宋体"/>
                <w:color w:val="000000"/>
                <w:szCs w:val="21"/>
              </w:rPr>
              <w:t>楼栋编号</w:t>
            </w:r>
          </w:p>
        </w:tc>
        <w:tc>
          <w:tcPr>
            <w:tcW w:w="3686" w:type="dxa"/>
            <w:gridSpan w:val="2"/>
            <w:vAlign w:val="center"/>
          </w:tcPr>
          <w:p>
            <w:pPr>
              <w:spacing w:line="288" w:lineRule="auto"/>
              <w:jc w:val="center"/>
              <w:rPr>
                <w:rFonts w:ascii="宋体" w:hAnsi="宋体"/>
                <w:color w:val="000000"/>
                <w:szCs w:val="21"/>
              </w:rPr>
            </w:pPr>
            <w:r>
              <w:rPr>
                <w:rFonts w:hint="eastAsia" w:ascii="宋体" w:hAnsi="宋体"/>
                <w:color w:val="000000"/>
                <w:szCs w:val="21"/>
              </w:rPr>
              <w:t>建筑体形</w:t>
            </w:r>
          </w:p>
        </w:tc>
        <w:tc>
          <w:tcPr>
            <w:tcW w:w="1134" w:type="dxa"/>
            <w:vAlign w:val="center"/>
          </w:tcPr>
          <w:p>
            <w:pPr>
              <w:spacing w:line="288" w:lineRule="auto"/>
              <w:jc w:val="center"/>
              <w:rPr>
                <w:rFonts w:ascii="宋体" w:hAnsi="宋体"/>
                <w:color w:val="000000"/>
                <w:szCs w:val="21"/>
              </w:rPr>
            </w:pPr>
            <w:r>
              <w:rPr>
                <w:rFonts w:hint="eastAsia" w:ascii="宋体" w:hAnsi="宋体"/>
                <w:color w:val="000000"/>
                <w:szCs w:val="21"/>
              </w:rPr>
              <w:t>建筑朝向</w:t>
            </w:r>
          </w:p>
        </w:tc>
        <w:tc>
          <w:tcPr>
            <w:tcW w:w="2835" w:type="dxa"/>
            <w:gridSpan w:val="2"/>
            <w:vAlign w:val="center"/>
          </w:tcPr>
          <w:p>
            <w:pPr>
              <w:spacing w:line="288" w:lineRule="auto"/>
              <w:jc w:val="center"/>
              <w:rPr>
                <w:rFonts w:ascii="宋体" w:hAnsi="宋体"/>
                <w:color w:val="000000"/>
                <w:szCs w:val="21"/>
              </w:rPr>
            </w:pPr>
            <w:r>
              <w:rPr>
                <w:rFonts w:hint="eastAsia" w:ascii="宋体" w:hAnsi="宋体"/>
                <w:color w:val="000000"/>
                <w:szCs w:val="21"/>
              </w:rPr>
              <w:t>窗墙比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288" w:lineRule="auto"/>
              <w:rPr>
                <w:rFonts w:ascii="宋体" w:hAnsi="宋体"/>
                <w:color w:val="000000"/>
                <w:szCs w:val="21"/>
              </w:rPr>
            </w:pPr>
          </w:p>
        </w:tc>
        <w:tc>
          <w:tcPr>
            <w:tcW w:w="1418" w:type="dxa"/>
            <w:vAlign w:val="center"/>
          </w:tcPr>
          <w:p>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pPr>
              <w:spacing w:line="288" w:lineRule="auto"/>
              <w:rPr>
                <w:rFonts w:ascii="宋体" w:hAnsi="宋体"/>
                <w:color w:val="000000"/>
                <w:szCs w:val="21"/>
              </w:rPr>
            </w:pPr>
            <w:r>
              <w:rPr>
                <w:rFonts w:hint="eastAsia" w:ascii="宋体" w:hAnsi="宋体"/>
                <w:color w:val="000000"/>
                <w:szCs w:val="21"/>
              </w:rPr>
              <w:t>□点式</w:t>
            </w:r>
          </w:p>
          <w:p>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pPr>
              <w:spacing w:line="288" w:lineRule="auto"/>
              <w:rPr>
                <w:rFonts w:ascii="宋体" w:hAnsi="宋体"/>
                <w:color w:val="000000"/>
                <w:szCs w:val="21"/>
              </w:rPr>
            </w:pPr>
          </w:p>
        </w:tc>
        <w:tc>
          <w:tcPr>
            <w:tcW w:w="992" w:type="dxa"/>
            <w:vAlign w:val="center"/>
          </w:tcPr>
          <w:p>
            <w:pPr>
              <w:spacing w:line="288" w:lineRule="auto"/>
              <w:rPr>
                <w:u w:val="single"/>
              </w:rPr>
            </w:pPr>
            <w:r>
              <w:rPr>
                <w:rFonts w:hint="eastAsia"/>
              </w:rPr>
              <w:t>东向</w:t>
            </w:r>
          </w:p>
          <w:p>
            <w:pPr>
              <w:spacing w:line="288" w:lineRule="auto"/>
              <w:rPr>
                <w:u w:val="single"/>
              </w:rPr>
            </w:pPr>
            <w:r>
              <w:rPr>
                <w:rFonts w:hint="eastAsia"/>
              </w:rPr>
              <w:t>南向</w:t>
            </w:r>
          </w:p>
          <w:p>
            <w:pPr>
              <w:spacing w:line="288" w:lineRule="auto"/>
              <w:rPr>
                <w:u w:val="single"/>
              </w:rPr>
            </w:pPr>
            <w:r>
              <w:rPr>
                <w:rFonts w:hint="eastAsia"/>
              </w:rPr>
              <w:t>西向</w:t>
            </w:r>
          </w:p>
          <w:p>
            <w:pPr>
              <w:spacing w:line="288" w:lineRule="auto"/>
              <w:rPr>
                <w:rFonts w:ascii="宋体" w:hAnsi="宋体"/>
                <w:color w:val="000000"/>
                <w:szCs w:val="21"/>
              </w:rPr>
            </w:pPr>
            <w:r>
              <w:rPr>
                <w:rFonts w:hint="eastAsia"/>
              </w:rPr>
              <w:t>北向</w:t>
            </w:r>
          </w:p>
        </w:tc>
        <w:tc>
          <w:tcPr>
            <w:tcW w:w="1843" w:type="dxa"/>
            <w:vAlign w:val="center"/>
          </w:tcPr>
          <w:p>
            <w:pPr>
              <w:spacing w:line="288" w:lineRule="auto"/>
              <w:rPr>
                <w:rFonts w:ascii="宋体" w:hAnsi="宋体"/>
                <w:color w:val="000000"/>
                <w:szCs w:val="21"/>
              </w:rPr>
            </w:pPr>
            <w:r>
              <w:rPr>
                <w:rFonts w:hint="eastAsia" w:ascii="宋体" w:hAnsi="宋体"/>
                <w:color w:val="000000"/>
                <w:szCs w:val="21"/>
              </w:rPr>
              <w:t>是否满足国家或地方节能标准：</w:t>
            </w:r>
          </w:p>
          <w:p>
            <w:pPr>
              <w:spacing w:line="288" w:lineRule="auto"/>
              <w:rPr>
                <w:rFonts w:ascii="宋体" w:hAnsi="宋体"/>
                <w:color w:val="000000"/>
                <w:szCs w:val="21"/>
              </w:rPr>
            </w:pPr>
            <w:r>
              <w:rPr>
                <w:rFonts w:hint="eastAsia" w:ascii="宋体" w:hAnsi="宋体"/>
                <w:color w:val="000000"/>
                <w:szCs w:val="21"/>
              </w:rPr>
              <w:t>□是□否</w:t>
            </w:r>
          </w:p>
        </w:tc>
      </w:tr>
    </w:tbl>
    <w:p>
      <w:pPr>
        <w:spacing w:line="288" w:lineRule="auto"/>
        <w:rPr>
          <w:rFonts w:ascii="宋体" w:hAnsi="宋体"/>
          <w:color w:val="000000"/>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建筑的楼间距最小是</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和</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之间，距离为</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简要说明对建筑体形、朝向、楼距、窗墙比等进行的优化设计：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1、概述项目所在地气候条件特点，在建筑朝向、布局设计时如何考虑冬季获得足够的日照，避开主导风向，夏季利用自然通风，降低太阳辐射影响及防止暴风雨袭击等。（150字以内）</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64" w:type="dxa"/>
            <w:tcBorders>
              <w:top w:val="single" w:color="auto" w:sz="4" w:space="0"/>
              <w:left w:val="single" w:color="auto" w:sz="4" w:space="0"/>
              <w:bottom w:val="single" w:color="auto" w:sz="4" w:space="0"/>
              <w:right w:val="single" w:color="auto" w:sz="4" w:space="0"/>
            </w:tcBorders>
          </w:tcPr>
          <w:p>
            <w:pPr>
              <w:spacing w:line="288" w:lineRule="auto"/>
              <w:ind w:firstLine="420" w:firstLineChars="200"/>
            </w:pPr>
          </w:p>
        </w:tc>
      </w:tr>
    </w:tbl>
    <w:p>
      <w:pPr>
        <w:pStyle w:val="14"/>
        <w:spacing w:line="288" w:lineRule="auto"/>
        <w:outlineLvl w:val="9"/>
        <w:rPr>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2、概述自然通风效果优化模拟计算结论（100字以内）</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364" w:type="dxa"/>
            <w:tcBorders>
              <w:top w:val="single" w:color="auto" w:sz="4" w:space="0"/>
              <w:left w:val="single" w:color="auto" w:sz="4" w:space="0"/>
              <w:bottom w:val="single" w:color="auto" w:sz="4" w:space="0"/>
              <w:right w:val="single" w:color="auto" w:sz="4" w:space="0"/>
            </w:tcBorders>
          </w:tcPr>
          <w:p>
            <w:pPr>
              <w:pStyle w:val="6"/>
              <w:spacing w:line="288" w:lineRule="auto"/>
              <w:ind w:firstLine="420"/>
              <w:rPr>
                <w:rFonts w:ascii="Times New Roman" w:hAnsi="Times New Roman" w:eastAsia="宋体"/>
                <w:kern w:val="2"/>
                <w:sz w:val="21"/>
              </w:rPr>
            </w:pPr>
          </w:p>
        </w:tc>
      </w:tr>
    </w:tbl>
    <w:p>
      <w:pPr>
        <w:pStyle w:val="14"/>
        <w:spacing w:line="288" w:lineRule="auto"/>
        <w:jc w:val="left"/>
        <w:outlineLvl w:val="9"/>
        <w:rPr>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3、概述自然采光效果优化模拟计算结论（100字以内）</w:t>
      </w:r>
    </w:p>
    <w:p>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433"/>
        <w:gridCol w:w="4521"/>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09"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33"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521"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433"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52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应包括对建筑总平面设计原则的简要阐述，以及对朝向、体形系数、窗墙比的具体说明，并与图纸吻合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应体现建筑的窗墙比并与建筑设计说明吻合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建筑效果图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应包括建筑鸟瞰图、单体效果图，反映建筑的窗墙比并与说明吻合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建筑优化设计报告</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如建筑体形、楼间距、窗墙比不满足要求，或公共建筑窗墙比不低于0.5，需提供建筑优化设计报告，包括对建筑体形、朝向、楼距、窗墙比的优化设计（包括节能设计目标、设计思路、设计效果及有关模拟分析报告，模拟报告应对模拟计算的计算模型、初始条件、计算参数、计算结果进行详细说明）</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节能计算书</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含室内采光数值分析报告、室内风环境数值分析报告、建筑日照模拟计算报告，建筑朝向比例计算书</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设计文件审查报告</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1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7.1.2 应采取措施降低部分负荷、部分空间使用下的供暖、空调系统能耗，并应符合下列规定：1 应区分房间的朝向细分供暖、空调区域，并应对系统进行分区控制；2 空调冷源的部分负荷性能系数(IPLV)、电冷源综合制冷性能系数(SCOP)应符合现行国家标准《公共建筑节能设计标准》（GB 50189）的规定。</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空调系统分区：</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根据建筑的功能及房间朝向细分供暖、空调区域：□是、□否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系统可以实现分区控制：□是、□否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简要说明建筑功能分区、空调系统分区情况和空调系统分区控制方式。（100字以内）</w:t>
      </w:r>
    </w:p>
    <w:tbl>
      <w:tblPr>
        <w:tblStyle w:val="9"/>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6" w:type="dxa"/>
            <w:tcBorders>
              <w:top w:val="single" w:color="auto" w:sz="4" w:space="0"/>
              <w:left w:val="single" w:color="auto" w:sz="4" w:space="0"/>
              <w:bottom w:val="single" w:color="auto" w:sz="4" w:space="0"/>
              <w:right w:val="single" w:color="auto" w:sz="4" w:space="0"/>
            </w:tcBorders>
          </w:tcPr>
          <w:p>
            <w:pPr>
              <w:pStyle w:val="14"/>
              <w:spacing w:line="288" w:lineRule="auto"/>
              <w:outlineLvl w:val="9"/>
              <w:rPr>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采用多联机：□是、□否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冷热源机组配置：</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空调系统计算冷负荷：kW，设计冷负荷：kW</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空调系统计算热负荷：kW，设计热负荷：kW</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冷热源机组设备参数：</w:t>
      </w:r>
    </w:p>
    <w:tbl>
      <w:tblPr>
        <w:tblStyle w:val="9"/>
        <w:tblW w:w="83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0"/>
        <w:gridCol w:w="603"/>
        <w:gridCol w:w="1818"/>
        <w:gridCol w:w="1818"/>
        <w:gridCol w:w="1185"/>
        <w:gridCol w:w="1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restart"/>
            <w:vAlign w:val="center"/>
          </w:tcPr>
          <w:p>
            <w:pPr>
              <w:widowControl/>
              <w:spacing w:line="288" w:lineRule="auto"/>
              <w:jc w:val="center"/>
              <w:rPr>
                <w:kern w:val="0"/>
                <w:sz w:val="18"/>
                <w:szCs w:val="18"/>
              </w:rPr>
            </w:pPr>
            <w:r>
              <w:rPr>
                <w:rFonts w:hint="eastAsia"/>
                <w:kern w:val="0"/>
                <w:sz w:val="18"/>
                <w:szCs w:val="18"/>
              </w:rPr>
              <w:t>设备编号</w:t>
            </w:r>
          </w:p>
        </w:tc>
        <w:tc>
          <w:tcPr>
            <w:tcW w:w="980" w:type="dxa"/>
            <w:vMerge w:val="restart"/>
            <w:vAlign w:val="center"/>
          </w:tcPr>
          <w:p>
            <w:pPr>
              <w:widowControl/>
              <w:spacing w:line="288" w:lineRule="auto"/>
              <w:jc w:val="center"/>
              <w:rPr>
                <w:kern w:val="0"/>
                <w:sz w:val="18"/>
                <w:szCs w:val="18"/>
              </w:rPr>
            </w:pPr>
            <w:r>
              <w:rPr>
                <w:kern w:val="0"/>
                <w:sz w:val="18"/>
                <w:szCs w:val="18"/>
              </w:rPr>
              <w:t>设备类型</w:t>
            </w:r>
          </w:p>
        </w:tc>
        <w:tc>
          <w:tcPr>
            <w:tcW w:w="603" w:type="dxa"/>
            <w:vMerge w:val="restart"/>
            <w:vAlign w:val="center"/>
          </w:tcPr>
          <w:p>
            <w:pPr>
              <w:widowControl/>
              <w:spacing w:line="288" w:lineRule="auto"/>
              <w:jc w:val="center"/>
              <w:rPr>
                <w:kern w:val="0"/>
                <w:sz w:val="18"/>
                <w:szCs w:val="18"/>
              </w:rPr>
            </w:pPr>
            <w:r>
              <w:rPr>
                <w:kern w:val="0"/>
                <w:sz w:val="18"/>
                <w:szCs w:val="18"/>
              </w:rPr>
              <w:t>台数</w:t>
            </w:r>
          </w:p>
        </w:tc>
        <w:tc>
          <w:tcPr>
            <w:tcW w:w="1818" w:type="dxa"/>
            <w:vMerge w:val="restart"/>
            <w:vAlign w:val="center"/>
          </w:tcPr>
          <w:p>
            <w:pPr>
              <w:widowControl/>
              <w:spacing w:line="288" w:lineRule="auto"/>
              <w:jc w:val="center"/>
              <w:rPr>
                <w:kern w:val="0"/>
                <w:sz w:val="18"/>
                <w:szCs w:val="18"/>
              </w:rPr>
            </w:pPr>
            <w:r>
              <w:rPr>
                <w:kern w:val="0"/>
                <w:sz w:val="18"/>
                <w:szCs w:val="18"/>
              </w:rPr>
              <w:t>额定制冷量（kW）</w:t>
            </w:r>
          </w:p>
        </w:tc>
        <w:tc>
          <w:tcPr>
            <w:tcW w:w="1818" w:type="dxa"/>
            <w:vMerge w:val="restart"/>
            <w:vAlign w:val="center"/>
          </w:tcPr>
          <w:p>
            <w:pPr>
              <w:widowControl/>
              <w:spacing w:line="288" w:lineRule="auto"/>
              <w:jc w:val="center"/>
              <w:rPr>
                <w:kern w:val="0"/>
                <w:sz w:val="18"/>
                <w:szCs w:val="18"/>
              </w:rPr>
            </w:pPr>
            <w:r>
              <w:rPr>
                <w:kern w:val="0"/>
                <w:sz w:val="18"/>
                <w:szCs w:val="18"/>
              </w:rPr>
              <w:t>额定制热量（kW）</w:t>
            </w:r>
          </w:p>
        </w:tc>
        <w:tc>
          <w:tcPr>
            <w:tcW w:w="2418" w:type="dxa"/>
            <w:gridSpan w:val="2"/>
            <w:vAlign w:val="center"/>
          </w:tcPr>
          <w:p>
            <w:pPr>
              <w:widowControl/>
              <w:spacing w:line="288" w:lineRule="auto"/>
              <w:jc w:val="center"/>
              <w:rPr>
                <w:kern w:val="0"/>
                <w:sz w:val="18"/>
                <w:szCs w:val="18"/>
              </w:rPr>
            </w:pPr>
            <w:r>
              <w:rPr>
                <w:kern w:val="0"/>
                <w:sz w:val="18"/>
                <w:szCs w:val="18"/>
              </w:rPr>
              <w:t>部分负荷性能系数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continue"/>
            <w:vAlign w:val="center"/>
          </w:tcPr>
          <w:p>
            <w:pPr>
              <w:widowControl/>
              <w:spacing w:line="288" w:lineRule="auto"/>
              <w:jc w:val="center"/>
              <w:rPr>
                <w:kern w:val="0"/>
                <w:sz w:val="18"/>
                <w:szCs w:val="18"/>
              </w:rPr>
            </w:pPr>
          </w:p>
        </w:tc>
        <w:tc>
          <w:tcPr>
            <w:tcW w:w="980" w:type="dxa"/>
            <w:vMerge w:val="continue"/>
            <w:vAlign w:val="center"/>
          </w:tcPr>
          <w:p>
            <w:pPr>
              <w:widowControl/>
              <w:spacing w:line="288" w:lineRule="auto"/>
              <w:jc w:val="center"/>
              <w:rPr>
                <w:kern w:val="0"/>
                <w:sz w:val="18"/>
                <w:szCs w:val="18"/>
              </w:rPr>
            </w:pPr>
          </w:p>
        </w:tc>
        <w:tc>
          <w:tcPr>
            <w:tcW w:w="603"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818" w:type="dxa"/>
            <w:vMerge w:val="continue"/>
            <w:vAlign w:val="center"/>
          </w:tcPr>
          <w:p>
            <w:pPr>
              <w:widowControl/>
              <w:spacing w:line="288" w:lineRule="auto"/>
              <w:jc w:val="center"/>
              <w:rPr>
                <w:kern w:val="0"/>
                <w:sz w:val="18"/>
                <w:szCs w:val="18"/>
              </w:rPr>
            </w:pPr>
          </w:p>
        </w:tc>
        <w:tc>
          <w:tcPr>
            <w:tcW w:w="1185" w:type="dxa"/>
            <w:vAlign w:val="center"/>
          </w:tcPr>
          <w:p>
            <w:pPr>
              <w:spacing w:line="288" w:lineRule="auto"/>
              <w:jc w:val="center"/>
              <w:rPr>
                <w:kern w:val="0"/>
                <w:sz w:val="18"/>
                <w:szCs w:val="18"/>
              </w:rPr>
            </w:pPr>
            <w:r>
              <w:rPr>
                <w:rFonts w:hint="eastAsia"/>
                <w:kern w:val="0"/>
                <w:sz w:val="18"/>
                <w:szCs w:val="18"/>
              </w:rPr>
              <w:t>设计值</w:t>
            </w:r>
          </w:p>
        </w:tc>
        <w:tc>
          <w:tcPr>
            <w:tcW w:w="1233" w:type="dxa"/>
            <w:vAlign w:val="center"/>
          </w:tcPr>
          <w:p>
            <w:pPr>
              <w:spacing w:line="288" w:lineRule="auto"/>
              <w:jc w:val="center"/>
              <w:rPr>
                <w:kern w:val="0"/>
                <w:sz w:val="18"/>
                <w:szCs w:val="18"/>
              </w:rPr>
            </w:pPr>
            <w:r>
              <w:rPr>
                <w:rFonts w:hint="eastAsia"/>
                <w:kern w:val="0"/>
                <w:sz w:val="18"/>
                <w:szCs w:val="18"/>
              </w:rPr>
              <w:t>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kern w:val="0"/>
                <w:sz w:val="18"/>
                <w:szCs w:val="1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pPr>
              <w:widowControl/>
              <w:spacing w:line="288" w:lineRule="auto"/>
              <w:jc w:val="center"/>
              <w:rPr>
                <w:kern w:val="0"/>
                <w:sz w:val="18"/>
                <w:szCs w:val="18"/>
              </w:rPr>
            </w:pPr>
          </w:p>
        </w:tc>
        <w:tc>
          <w:tcPr>
            <w:tcW w:w="980" w:type="dxa"/>
            <w:vAlign w:val="center"/>
          </w:tcPr>
          <w:p>
            <w:pPr>
              <w:widowControl/>
              <w:spacing w:line="288" w:lineRule="auto"/>
              <w:jc w:val="center"/>
              <w:rPr>
                <w:szCs w:val="28"/>
              </w:rPr>
            </w:pPr>
          </w:p>
        </w:tc>
        <w:tc>
          <w:tcPr>
            <w:tcW w:w="603"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818" w:type="dxa"/>
            <w:vAlign w:val="center"/>
          </w:tcPr>
          <w:p>
            <w:pPr>
              <w:widowControl/>
              <w:spacing w:line="288" w:lineRule="auto"/>
              <w:jc w:val="center"/>
              <w:rPr>
                <w:kern w:val="0"/>
                <w:sz w:val="18"/>
                <w:szCs w:val="18"/>
              </w:rPr>
            </w:pPr>
          </w:p>
        </w:tc>
        <w:tc>
          <w:tcPr>
            <w:tcW w:w="1185" w:type="dxa"/>
            <w:vAlign w:val="center"/>
          </w:tcPr>
          <w:p>
            <w:pPr>
              <w:widowControl/>
              <w:spacing w:line="288" w:lineRule="auto"/>
              <w:jc w:val="center"/>
              <w:rPr>
                <w:kern w:val="0"/>
                <w:sz w:val="18"/>
                <w:szCs w:val="18"/>
              </w:rPr>
            </w:pPr>
          </w:p>
        </w:tc>
        <w:tc>
          <w:tcPr>
            <w:tcW w:w="1233" w:type="dxa"/>
            <w:vAlign w:val="center"/>
          </w:tcPr>
          <w:p>
            <w:pPr>
              <w:widowControl/>
              <w:spacing w:line="288" w:lineRule="auto"/>
              <w:jc w:val="center"/>
              <w:rPr>
                <w:kern w:val="0"/>
                <w:sz w:val="18"/>
                <w:szCs w:val="18"/>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简要说明冷热源机组根据负荷变化调整制冷（热）量的控制策略。（100字以内）</w:t>
      </w:r>
    </w:p>
    <w:tbl>
      <w:tblPr>
        <w:tblStyle w:val="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8" w:type="dxa"/>
            <w:tcBorders>
              <w:top w:val="single" w:color="auto" w:sz="4" w:space="0"/>
              <w:left w:val="single" w:color="auto" w:sz="4" w:space="0"/>
              <w:bottom w:val="single" w:color="auto" w:sz="4" w:space="0"/>
              <w:right w:val="single" w:color="auto" w:sz="4" w:space="0"/>
            </w:tcBorders>
          </w:tcPr>
          <w:p>
            <w:pPr>
              <w:pStyle w:val="14"/>
              <w:spacing w:line="288" w:lineRule="auto"/>
              <w:outlineLvl w:val="9"/>
              <w:rPr>
                <w:kern w:val="2"/>
                <w:sz w:val="21"/>
                <w:szCs w:val="21"/>
              </w:rPr>
            </w:pPr>
          </w:p>
        </w:tc>
      </w:tr>
    </w:tbl>
    <w:p>
      <w:pPr>
        <w:pStyle w:val="14"/>
        <w:spacing w:line="288" w:lineRule="auto"/>
        <w:outlineLvl w:val="9"/>
        <w:rPr>
          <w:rFonts w:cs="宋体"/>
          <w:sz w:val="21"/>
          <w:szCs w:val="21"/>
        </w:rPr>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变频技术：</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空调水系统采用变频技术：□是、□否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空调水系统采取相应的水力平衡措施：□是、□否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空调风系统采用变频技术：□是、□否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空调风系统采取相应的水力平衡措施：□是、□否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采用变制冷剂流量的多联机：□是、□否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空调水系统或风系统如果采取水力平衡措施，请简要说明。（100字以内）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应体现空调采暖系统冷热源的设备类型、型号和容量、额定工况性能参数和能效等级（关联自评）</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风系统图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部分负荷性能系数(LPLV)计算书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电冷源综合制冷性能系数（SCOP）计算书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pPr>
              <w:spacing w:line="288" w:lineRule="auto"/>
            </w:pPr>
          </w:p>
        </w:tc>
      </w:tr>
    </w:tbl>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7.1.3 应根据建筑空间功能设置分区温度，合理降低室内过渡区空间的温度设定标准。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空调系统分区：</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根据建筑的功能及房间朝向细分供暖、空调区域：□是、□否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系统可以实现分区控制：□是、□否</w:t>
      </w:r>
    </w:p>
    <w:p>
      <w:pPr>
        <w:spacing w:line="360" w:lineRule="auto"/>
        <w:ind w:left="210" w:leftChars="100" w:firstLine="0" w:firstLineChars="0"/>
        <w:rPr>
          <w:sz w:val="21"/>
          <w:szCs w:val="21"/>
        </w:rPr>
      </w:pPr>
      <w:r>
        <w:rPr>
          <w:rFonts w:hint="eastAsia" w:ascii="Times New Roman" w:hAnsi="Times New Roman" w:eastAsia="宋体" w:cs="Times New Roman"/>
          <w:bCs/>
          <w:color w:val="000000"/>
          <w:szCs w:val="24"/>
          <w:lang w:val="en-US" w:eastAsia="zh-CN"/>
        </w:rPr>
        <w:t>简要说明建筑功能分区、空调系统分区情况和空调系统分区控制方式。（100字以内）</w:t>
      </w:r>
    </w:p>
    <w:tbl>
      <w:tblPr>
        <w:tblStyle w:val="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1" w:type="dxa"/>
            <w:tcBorders>
              <w:top w:val="single" w:color="auto" w:sz="4" w:space="0"/>
              <w:left w:val="single" w:color="auto" w:sz="4" w:space="0"/>
              <w:bottom w:val="single" w:color="auto" w:sz="4" w:space="0"/>
              <w:right w:val="single" w:color="auto" w:sz="4" w:space="0"/>
            </w:tcBorders>
          </w:tcPr>
          <w:p>
            <w:pPr>
              <w:pStyle w:val="14"/>
              <w:spacing w:line="288" w:lineRule="auto"/>
              <w:outlineLvl w:val="9"/>
              <w:rPr>
                <w:kern w:val="2"/>
                <w:sz w:val="21"/>
                <w:szCs w:val="21"/>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采用多联机：□是、□否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414" w:type="dxa"/>
          </w:tcPr>
          <w:p>
            <w:pPr>
              <w:spacing w:line="288" w:lineRule="auto"/>
            </w:pPr>
          </w:p>
        </w:tc>
      </w:tr>
    </w:tbl>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7.1.4 各类建筑的照明功率密度值不应高于现行国家标准《建筑照明设计标准》（GB 50034）规定的现行值；公共区域的照明系统应采用分区、定时、感应等节能控制；采光区域的照明控制应独立于其他区域的照明控制。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照明功率密度：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简要说明照明系统灯具类型、主要灯具型号和参数：（150字以内）</w:t>
      </w:r>
    </w:p>
    <w:tbl>
      <w:tblPr>
        <w:tblStyle w:val="9"/>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44"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ind w:firstLine="420" w:firstLineChars="200"/>
              <w:rPr>
                <w:kern w:val="0"/>
                <w:szCs w:val="21"/>
              </w:rPr>
            </w:pPr>
          </w:p>
        </w:tc>
      </w:tr>
    </w:tbl>
    <w:p>
      <w:pPr>
        <w:pStyle w:val="14"/>
        <w:spacing w:line="288" w:lineRule="auto"/>
        <w:outlineLvl w:val="9"/>
        <w:rPr>
          <w:rFonts w:cs="宋体"/>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照明功率设计值：</w:t>
      </w:r>
    </w:p>
    <w:tbl>
      <w:tblPr>
        <w:tblStyle w:val="9"/>
        <w:tblW w:w="8358" w:type="dxa"/>
        <w:jc w:val="center"/>
        <w:tblLayout w:type="fixed"/>
        <w:tblCellMar>
          <w:top w:w="0" w:type="dxa"/>
          <w:left w:w="108" w:type="dxa"/>
          <w:bottom w:w="0" w:type="dxa"/>
          <w:right w:w="108" w:type="dxa"/>
        </w:tblCellMar>
      </w:tblPr>
      <w:tblGrid>
        <w:gridCol w:w="1058"/>
        <w:gridCol w:w="1238"/>
        <w:gridCol w:w="1417"/>
        <w:gridCol w:w="1407"/>
        <w:gridCol w:w="1382"/>
        <w:gridCol w:w="1856"/>
      </w:tblGrid>
      <w:tr>
        <w:tblPrEx>
          <w:tblCellMar>
            <w:top w:w="0" w:type="dxa"/>
            <w:left w:w="108" w:type="dxa"/>
            <w:bottom w:w="0" w:type="dxa"/>
            <w:right w:w="108" w:type="dxa"/>
          </w:tblCellMar>
        </w:tblPrEx>
        <w:trPr>
          <w:cantSplit/>
          <w:trHeight w:val="285" w:hRule="atLeast"/>
          <w:jc w:val="center"/>
        </w:trPr>
        <w:tc>
          <w:tcPr>
            <w:tcW w:w="2296" w:type="dxa"/>
            <w:gridSpan w:val="2"/>
            <w:vMerge w:val="restart"/>
            <w:tcBorders>
              <w:top w:val="single" w:color="auto" w:sz="4" w:space="0"/>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主要功能</w:t>
            </w:r>
            <w:r>
              <w:rPr>
                <w:rFonts w:hAnsi="宋体"/>
                <w:kern w:val="0"/>
                <w:szCs w:val="20"/>
              </w:rPr>
              <w:t>房间</w:t>
            </w:r>
          </w:p>
        </w:tc>
        <w:tc>
          <w:tcPr>
            <w:tcW w:w="2824"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设计照度值（</w:t>
            </w:r>
            <w:r>
              <w:rPr>
                <w:kern w:val="0"/>
                <w:szCs w:val="20"/>
              </w:rPr>
              <w:t>Lx</w:t>
            </w:r>
            <w:r>
              <w:rPr>
                <w:rFonts w:hAnsi="宋体"/>
                <w:kern w:val="0"/>
                <w:szCs w:val="20"/>
              </w:rPr>
              <w:t>）</w:t>
            </w:r>
          </w:p>
        </w:tc>
        <w:tc>
          <w:tcPr>
            <w:tcW w:w="3238" w:type="dxa"/>
            <w:gridSpan w:val="2"/>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照明功率密度（</w:t>
            </w:r>
            <w:r>
              <w:rPr>
                <w:kern w:val="0"/>
                <w:szCs w:val="20"/>
              </w:rPr>
              <w:t>W/m</w:t>
            </w:r>
            <w:r>
              <w:rPr>
                <w:kern w:val="0"/>
                <w:szCs w:val="20"/>
                <w:vertAlign w:val="superscript"/>
              </w:rPr>
              <w:t>2</w:t>
            </w:r>
            <w:r>
              <w:rPr>
                <w:kern w:val="0"/>
                <w:szCs w:val="20"/>
              </w:rPr>
              <w:t>)</w:t>
            </w:r>
          </w:p>
        </w:tc>
      </w:tr>
      <w:tr>
        <w:tblPrEx>
          <w:tblCellMar>
            <w:top w:w="0" w:type="dxa"/>
            <w:left w:w="108" w:type="dxa"/>
            <w:bottom w:w="0" w:type="dxa"/>
            <w:right w:w="108" w:type="dxa"/>
          </w:tblCellMar>
        </w:tblPrEx>
        <w:trPr>
          <w:cantSplit/>
          <w:trHeight w:val="285" w:hRule="atLeast"/>
          <w:jc w:val="center"/>
        </w:trPr>
        <w:tc>
          <w:tcPr>
            <w:tcW w:w="2296" w:type="dxa"/>
            <w:gridSpan w:val="2"/>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标准值</w:t>
            </w: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实际值</w:t>
            </w: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r>
              <w:rPr>
                <w:rFonts w:hAnsi="宋体"/>
                <w:kern w:val="0"/>
                <w:szCs w:val="20"/>
              </w:rPr>
              <w:t>现行值</w:t>
            </w:r>
            <w:r>
              <w:rPr>
                <w:rFonts w:hint="eastAsia" w:hAnsi="宋体"/>
                <w:kern w:val="0"/>
                <w:szCs w:val="20"/>
              </w:rPr>
              <w:t>折算值</w:t>
            </w:r>
          </w:p>
        </w:tc>
      </w:tr>
      <w:tr>
        <w:tblPrEx>
          <w:tblCellMar>
            <w:top w:w="0" w:type="dxa"/>
            <w:left w:w="108" w:type="dxa"/>
            <w:bottom w:w="0" w:type="dxa"/>
            <w:right w:w="108" w:type="dxa"/>
          </w:tblCellMar>
        </w:tblPrEx>
        <w:trPr>
          <w:cantSplit/>
          <w:trHeight w:val="285" w:hRule="atLeast"/>
          <w:jc w:val="center"/>
        </w:trPr>
        <w:tc>
          <w:tcPr>
            <w:tcW w:w="1058" w:type="dxa"/>
            <w:vMerge w:val="restart"/>
            <w:tcBorders>
              <w:top w:val="nil"/>
              <w:left w:val="single" w:color="auto" w:sz="4" w:space="0"/>
              <w:right w:val="single" w:color="auto" w:sz="4" w:space="0"/>
            </w:tcBorders>
            <w:vAlign w:val="center"/>
          </w:tcPr>
          <w:p>
            <w:pPr>
              <w:widowControl/>
              <w:spacing w:line="288" w:lineRule="auto"/>
              <w:jc w:val="center"/>
              <w:rPr>
                <w:kern w:val="0"/>
                <w:szCs w:val="20"/>
              </w:rPr>
            </w:pPr>
            <w:r>
              <w:rPr>
                <w:rFonts w:hint="eastAsia"/>
                <w:kern w:val="0"/>
                <w:szCs w:val="20"/>
              </w:rPr>
              <w:t>房间类型</w:t>
            </w: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pPr>
              <w:widowControl/>
              <w:spacing w:line="288" w:lineRule="auto"/>
              <w:jc w:val="center"/>
              <w:rPr>
                <w:kern w:val="0"/>
                <w:szCs w:val="20"/>
              </w:rPr>
            </w:pPr>
          </w:p>
        </w:tc>
      </w:tr>
      <w:tr>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c>
          <w:tcPr>
            <w:tcW w:w="1382"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0"/>
              </w:rPr>
            </w:pPr>
          </w:p>
        </w:tc>
        <w:tc>
          <w:tcPr>
            <w:tcW w:w="1856"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0"/>
              </w:rPr>
            </w:pPr>
          </w:p>
        </w:tc>
      </w:tr>
    </w:tbl>
    <w:p>
      <w:pPr>
        <w:pStyle w:val="14"/>
        <w:spacing w:line="288" w:lineRule="auto"/>
        <w:outlineLvl w:val="9"/>
        <w:rPr>
          <w:color w:val="7030A0"/>
          <w:sz w:val="21"/>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照明功率密度统计表：（填写检测值）</w:t>
      </w:r>
    </w:p>
    <w:tbl>
      <w:tblPr>
        <w:tblStyle w:val="9"/>
        <w:tblW w:w="8364" w:type="dxa"/>
        <w:tblInd w:w="108" w:type="dxa"/>
        <w:tblLayout w:type="fixed"/>
        <w:tblCellMar>
          <w:top w:w="0" w:type="dxa"/>
          <w:left w:w="108" w:type="dxa"/>
          <w:bottom w:w="0" w:type="dxa"/>
          <w:right w:w="108" w:type="dxa"/>
        </w:tblCellMar>
      </w:tblPr>
      <w:tblGrid>
        <w:gridCol w:w="1134"/>
        <w:gridCol w:w="1560"/>
        <w:gridCol w:w="1417"/>
        <w:gridCol w:w="1418"/>
        <w:gridCol w:w="1417"/>
        <w:gridCol w:w="1418"/>
      </w:tblGrid>
      <w:tr>
        <w:tblPrEx>
          <w:tblCellMar>
            <w:top w:w="0" w:type="dxa"/>
            <w:left w:w="108" w:type="dxa"/>
            <w:bottom w:w="0" w:type="dxa"/>
            <w:right w:w="108" w:type="dxa"/>
          </w:tblCellMar>
        </w:tblPrEx>
        <w:trPr>
          <w:cantSplit/>
          <w:trHeight w:val="285" w:hRule="atLeast"/>
        </w:trPr>
        <w:tc>
          <w:tcPr>
            <w:tcW w:w="2694" w:type="dxa"/>
            <w:gridSpan w:val="2"/>
            <w:vMerge w:val="restart"/>
            <w:tcBorders>
              <w:top w:val="single" w:color="auto" w:sz="8" w:space="0"/>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主要功能</w:t>
            </w:r>
            <w:r>
              <w:rPr>
                <w:kern w:val="0"/>
                <w:szCs w:val="21"/>
              </w:rPr>
              <w:t>房间</w:t>
            </w:r>
          </w:p>
        </w:tc>
        <w:tc>
          <w:tcPr>
            <w:tcW w:w="2835" w:type="dxa"/>
            <w:gridSpan w:val="2"/>
            <w:tcBorders>
              <w:top w:val="single" w:color="auto" w:sz="8"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照度值（Lx）</w:t>
            </w:r>
          </w:p>
        </w:tc>
        <w:tc>
          <w:tcPr>
            <w:tcW w:w="2835" w:type="dxa"/>
            <w:gridSpan w:val="2"/>
            <w:tcBorders>
              <w:top w:val="single" w:color="auto" w:sz="8" w:space="0"/>
              <w:left w:val="single" w:color="auto" w:sz="4" w:space="0"/>
              <w:bottom w:val="single" w:color="auto" w:sz="4" w:space="0"/>
              <w:right w:val="single" w:color="auto" w:sz="8" w:space="0"/>
            </w:tcBorders>
            <w:vAlign w:val="center"/>
          </w:tcPr>
          <w:p>
            <w:pPr>
              <w:widowControl/>
              <w:spacing w:line="288" w:lineRule="auto"/>
              <w:jc w:val="center"/>
              <w:rPr>
                <w:kern w:val="0"/>
                <w:szCs w:val="21"/>
              </w:rPr>
            </w:pPr>
            <w:r>
              <w:rPr>
                <w:kern w:val="0"/>
                <w:szCs w:val="21"/>
              </w:rPr>
              <w:t>照明功率密度（W/m</w:t>
            </w:r>
            <w:r>
              <w:rPr>
                <w:kern w:val="0"/>
                <w:szCs w:val="21"/>
                <w:vertAlign w:val="superscript"/>
              </w:rPr>
              <w:t>2</w:t>
            </w:r>
            <w:r>
              <w:rPr>
                <w:kern w:val="0"/>
                <w:szCs w:val="21"/>
              </w:rPr>
              <w:t>)</w:t>
            </w:r>
          </w:p>
        </w:tc>
      </w:tr>
      <w:tr>
        <w:tblPrEx>
          <w:tblCellMar>
            <w:top w:w="0" w:type="dxa"/>
            <w:left w:w="108" w:type="dxa"/>
            <w:bottom w:w="0" w:type="dxa"/>
            <w:right w:w="108" w:type="dxa"/>
          </w:tblCellMar>
        </w:tblPrEx>
        <w:trPr>
          <w:cantSplit/>
          <w:trHeight w:val="285" w:hRule="atLeast"/>
        </w:trPr>
        <w:tc>
          <w:tcPr>
            <w:tcW w:w="2694" w:type="dxa"/>
            <w:gridSpan w:val="2"/>
            <w:vMerge w:val="continue"/>
            <w:tcBorders>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标准值</w:t>
            </w: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r>
              <w:rPr>
                <w:kern w:val="0"/>
                <w:szCs w:val="21"/>
              </w:rPr>
              <w:t>设计值</w:t>
            </w: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r>
              <w:rPr>
                <w:kern w:val="0"/>
                <w:szCs w:val="21"/>
              </w:rPr>
              <w:t>现行值</w:t>
            </w:r>
          </w:p>
        </w:tc>
      </w:tr>
      <w:tr>
        <w:tblPrEx>
          <w:tblCellMar>
            <w:top w:w="0" w:type="dxa"/>
            <w:left w:w="108" w:type="dxa"/>
            <w:bottom w:w="0" w:type="dxa"/>
            <w:right w:w="108" w:type="dxa"/>
          </w:tblCellMar>
        </w:tblPrEx>
        <w:trPr>
          <w:cantSplit/>
          <w:trHeight w:val="285" w:hRule="atLeast"/>
        </w:trPr>
        <w:tc>
          <w:tcPr>
            <w:tcW w:w="1134" w:type="dxa"/>
            <w:vMerge w:val="restart"/>
            <w:tcBorders>
              <w:top w:val="nil"/>
              <w:left w:val="single" w:color="auto" w:sz="8" w:space="0"/>
              <w:right w:val="single" w:color="auto" w:sz="4" w:space="0"/>
            </w:tcBorders>
            <w:vAlign w:val="center"/>
          </w:tcPr>
          <w:p>
            <w:pPr>
              <w:widowControl/>
              <w:spacing w:line="288" w:lineRule="auto"/>
              <w:jc w:val="center"/>
              <w:rPr>
                <w:kern w:val="0"/>
                <w:szCs w:val="21"/>
              </w:rPr>
            </w:pPr>
            <w:r>
              <w:rPr>
                <w:rFonts w:hint="eastAsia"/>
                <w:kern w:val="0"/>
                <w:szCs w:val="21"/>
              </w:rPr>
              <w:t>房间类型</w:t>
            </w: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right w:val="single" w:color="auto" w:sz="4" w:space="0"/>
            </w:tcBorders>
            <w:vAlign w:val="center"/>
          </w:tcPr>
          <w:p>
            <w:pPr>
              <w:widowControl/>
              <w:spacing w:line="288" w:lineRule="auto"/>
              <w:jc w:val="center"/>
              <w:rPr>
                <w:kern w:val="0"/>
                <w:szCs w:val="21"/>
              </w:rPr>
            </w:pP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560" w:type="dxa"/>
            <w:tcBorders>
              <w:top w:val="nil"/>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nil"/>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nil"/>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nil"/>
              <w:left w:val="nil"/>
              <w:bottom w:val="single" w:color="auto" w:sz="4" w:space="0"/>
              <w:right w:val="single" w:color="auto" w:sz="8" w:space="0"/>
            </w:tcBorders>
            <w:vAlign w:val="center"/>
          </w:tcPr>
          <w:p>
            <w:pPr>
              <w:widowControl/>
              <w:spacing w:line="288" w:lineRule="auto"/>
              <w:jc w:val="center"/>
              <w:rPr>
                <w:color w:val="7030A0"/>
                <w:kern w:val="0"/>
                <w:szCs w:val="21"/>
              </w:rPr>
            </w:pPr>
          </w:p>
        </w:tc>
      </w:tr>
      <w:tr>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560" w:type="dxa"/>
            <w:tcBorders>
              <w:top w:val="single" w:color="auto" w:sz="4" w:space="0"/>
              <w:left w:val="single" w:color="auto" w:sz="8"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pPr>
              <w:widowControl/>
              <w:spacing w:line="288" w:lineRule="auto"/>
              <w:jc w:val="center"/>
              <w:rPr>
                <w:color w:val="7030A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8" w:space="0"/>
            </w:tcBorders>
            <w:vAlign w:val="center"/>
          </w:tcPr>
          <w:p>
            <w:pPr>
              <w:widowControl/>
              <w:spacing w:line="288" w:lineRule="auto"/>
              <w:jc w:val="center"/>
              <w:rPr>
                <w:color w:val="7030A0"/>
                <w:kern w:val="0"/>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414" w:type="dxa"/>
        <w:tblInd w:w="108" w:type="dxa"/>
        <w:tblLayout w:type="autofit"/>
        <w:tblCellMar>
          <w:top w:w="0" w:type="dxa"/>
          <w:left w:w="108" w:type="dxa"/>
          <w:bottom w:w="0" w:type="dxa"/>
          <w:right w:w="108" w:type="dxa"/>
        </w:tblCellMar>
      </w:tblPr>
      <w:tblGrid>
        <w:gridCol w:w="689"/>
        <w:gridCol w:w="1760"/>
        <w:gridCol w:w="3724"/>
        <w:gridCol w:w="1138"/>
        <w:gridCol w:w="1103"/>
      </w:tblGrid>
      <w:tr>
        <w:tblPrEx>
          <w:tblCellMar>
            <w:top w:w="0" w:type="dxa"/>
            <w:left w:w="108" w:type="dxa"/>
            <w:bottom w:w="0" w:type="dxa"/>
            <w:right w:w="108" w:type="dxa"/>
          </w:tblCellMar>
        </w:tblPrEx>
        <w:trPr>
          <w:trHeight w:val="540" w:hRule="atLeast"/>
        </w:trPr>
        <w:tc>
          <w:tcPr>
            <w:tcW w:w="689"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7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24"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38"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103"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6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应包括照明设计要求、照明设计标准、照明控制措施等</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照明系统图</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平面施工图</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照明功率密度计算分析报告</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6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照明功率密度现场检测报告</w:t>
            </w:r>
          </w:p>
        </w:tc>
        <w:tc>
          <w:tcPr>
            <w:tcW w:w="37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103" w:type="dxa"/>
            <w:tcBorders>
              <w:top w:val="nil"/>
              <w:left w:val="nil"/>
              <w:bottom w:val="single" w:color="auto" w:sz="4" w:space="0"/>
              <w:right w:val="single" w:color="auto" w:sz="4" w:space="0"/>
            </w:tcBorders>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14" w:type="dxa"/>
          </w:tcPr>
          <w:p>
            <w:pPr>
              <w:spacing w:line="288" w:lineRule="auto"/>
            </w:pPr>
          </w:p>
        </w:tc>
      </w:tr>
    </w:tbl>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7.1.5 冷热源、输配系统和照明等各部分能耗应进行独立分项计量。</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分项计量系统：</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是否对以下回路设置分项计量表：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□变压器低压侧出线回路、□单独计量的外供电回路、□特殊区供电回路、□制冷机组主供电回路、□单独供电的冷热源系统附泵回路、□集中供电的分体空调回路、□照明插座回路、□电梯回路、□其他</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是否对以下分项能耗进行计量：</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□照明插座用电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（包括□照明和插座用电、□走廊和应急照明用电、□室外景观照明用电等子项）；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□空调用电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（包括□冷热站用电、□空调末端用电等子项）；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□动力用电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（包括□电梯用电、□水泵用电、□通风机用电等子项）。</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简要说明独立分项计量系统的主要功能及如何进行分项：（150字以内）</w:t>
      </w:r>
    </w:p>
    <w:p>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395"/>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59"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439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应体现用电分项计量的设计情况</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变配电系统图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应体现不同系统或设备能耗计量表具设置情况，明确电表型号及统计表</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能耗分项计量设计图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应体现分项计量系统构架和功能</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6" w:space="0"/>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能耗分项计量系统运行记录</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应包括一年的运行数据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414" w:type="dxa"/>
          </w:tcPr>
          <w:p>
            <w:pPr>
              <w:spacing w:line="288" w:lineRule="auto"/>
            </w:pPr>
          </w:p>
        </w:tc>
      </w:tr>
    </w:tbl>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7.1.6 垂直电梯应采取群控、变频调速、轿内误指令取消功能或能量反馈等节能措施；自动扶梯应采用变频感应启动等节能控制措施。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电梯节能技术：</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电梯、自动扶梯统计表：</w:t>
      </w:r>
    </w:p>
    <w:tbl>
      <w:tblPr>
        <w:tblStyle w:val="9"/>
        <w:tblW w:w="8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50"/>
        <w:gridCol w:w="709"/>
        <w:gridCol w:w="2650"/>
        <w:gridCol w:w="3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gridSpan w:val="2"/>
            <w:tcBorders>
              <w:top w:val="single" w:color="auto" w:sz="8" w:space="0"/>
              <w:left w:val="single" w:color="auto" w:sz="8"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设备类型及型号</w:t>
            </w:r>
          </w:p>
        </w:tc>
        <w:tc>
          <w:tcPr>
            <w:tcW w:w="709" w:type="dxa"/>
            <w:tcBorders>
              <w:top w:val="single" w:color="auto" w:sz="8"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台数</w:t>
            </w:r>
          </w:p>
        </w:tc>
        <w:tc>
          <w:tcPr>
            <w:tcW w:w="2650" w:type="dxa"/>
            <w:tcBorders>
              <w:top w:val="single" w:color="auto" w:sz="8"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节能性能</w:t>
            </w:r>
          </w:p>
        </w:tc>
        <w:tc>
          <w:tcPr>
            <w:tcW w:w="3069" w:type="dxa"/>
            <w:tcBorders>
              <w:top w:val="single" w:color="auto" w:sz="8" w:space="0"/>
              <w:left w:val="single" w:color="auto" w:sz="4" w:space="0"/>
              <w:bottom w:val="single" w:color="auto" w:sz="4" w:space="0"/>
              <w:right w:val="single" w:color="auto" w:sz="8" w:space="0"/>
            </w:tcBorders>
            <w:vAlign w:val="center"/>
          </w:tcPr>
          <w:p>
            <w:pPr>
              <w:spacing w:line="288" w:lineRule="auto"/>
              <w:jc w:val="center"/>
              <w:rPr>
                <w:rFonts w:ascii="宋体" w:hAnsi="宋体"/>
                <w:szCs w:val="21"/>
              </w:rPr>
            </w:pPr>
            <w:r>
              <w:rPr>
                <w:rFonts w:hint="eastAsia" w:ascii="宋体" w:hAnsi="宋体"/>
                <w:szCs w:val="21"/>
              </w:rPr>
              <w:t>节能控制措施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电梯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□轿厢无人自动关灯技术</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□轿厢无人自动关灯技术</w:t>
            </w:r>
          </w:p>
          <w:p>
            <w:pPr>
              <w:spacing w:line="288" w:lineRule="auto"/>
              <w:jc w:val="left"/>
              <w:rPr>
                <w:rFonts w:ascii="宋体" w:hAnsi="宋体"/>
                <w:szCs w:val="21"/>
              </w:rPr>
            </w:pPr>
            <w:r>
              <w:rPr>
                <w:rFonts w:hint="eastAsia" w:ascii="宋体" w:hAnsi="宋体"/>
                <w:szCs w:val="21"/>
              </w:rPr>
              <w:t>□驱动器休眠技术</w:t>
            </w:r>
          </w:p>
          <w:p>
            <w:pPr>
              <w:spacing w:line="288" w:lineRule="auto"/>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8"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自动扶梯</w:t>
            </w: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□自动扶梯变频感应启动技术</w:t>
            </w:r>
          </w:p>
          <w:p>
            <w:pPr>
              <w:spacing w:line="288" w:lineRule="auto"/>
              <w:rPr>
                <w:rFonts w:ascii="宋体" w:hAnsi="宋体"/>
                <w:szCs w:val="21"/>
              </w:rPr>
            </w:pPr>
            <w:r>
              <w:rPr>
                <w:rFonts w:hint="eastAsia" w:ascii="宋体" w:hAnsi="宋体"/>
                <w:szCs w:val="21"/>
              </w:rPr>
              <w:t>□群控楼宇智能管理技术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8" w:space="0"/>
              <w:right w:val="single" w:color="auto" w:sz="4" w:space="0"/>
            </w:tcBorders>
            <w:vAlign w:val="center"/>
          </w:tcPr>
          <w:p>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Cs w:val="21"/>
              </w:rPr>
            </w:pPr>
            <w:r>
              <w:rPr>
                <w:rFonts w:hint="eastAsia" w:ascii="宋体" w:hAnsi="宋体"/>
                <w:szCs w:val="21"/>
              </w:rPr>
              <w:t>□采取变频调速拖动方式</w:t>
            </w:r>
          </w:p>
          <w:p>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pPr>
              <w:spacing w:line="288" w:lineRule="auto"/>
              <w:jc w:val="left"/>
              <w:rPr>
                <w:rFonts w:ascii="宋体" w:hAnsi="宋体"/>
                <w:szCs w:val="21"/>
              </w:rPr>
            </w:pPr>
            <w:r>
              <w:rPr>
                <w:rFonts w:hint="eastAsia" w:ascii="宋体" w:hAnsi="宋体"/>
                <w:szCs w:val="21"/>
              </w:rPr>
              <w:t>□电梯并联或群控控制</w:t>
            </w:r>
          </w:p>
          <w:p>
            <w:pPr>
              <w:spacing w:line="288" w:lineRule="auto"/>
              <w:jc w:val="left"/>
              <w:rPr>
                <w:rFonts w:ascii="宋体" w:hAnsi="宋体"/>
                <w:szCs w:val="21"/>
              </w:rPr>
            </w:pPr>
            <w:r>
              <w:rPr>
                <w:rFonts w:hint="eastAsia" w:ascii="宋体" w:hAnsi="宋体"/>
                <w:szCs w:val="21"/>
              </w:rPr>
              <w:t>□扶梯感应启停</w:t>
            </w:r>
          </w:p>
          <w:p>
            <w:pPr>
              <w:spacing w:line="288" w:lineRule="auto"/>
              <w:jc w:val="left"/>
              <w:rPr>
                <w:rFonts w:ascii="宋体" w:hAnsi="宋体"/>
                <w:szCs w:val="21"/>
              </w:rPr>
            </w:pPr>
            <w:r>
              <w:rPr>
                <w:rFonts w:hint="eastAsia" w:ascii="宋体" w:hAnsi="宋体"/>
                <w:szCs w:val="21"/>
              </w:rPr>
              <w:t>□驱动器休眠技术</w:t>
            </w:r>
          </w:p>
          <w:p>
            <w:pPr>
              <w:spacing w:line="288" w:lineRule="auto"/>
              <w:jc w:val="left"/>
              <w:rPr>
                <w:rFonts w:ascii="宋体" w:hAnsi="宋体"/>
                <w:szCs w:val="21"/>
              </w:rPr>
            </w:pPr>
            <w:r>
              <w:rPr>
                <w:rFonts w:hint="eastAsia" w:ascii="宋体" w:hAnsi="宋体"/>
                <w:szCs w:val="21"/>
              </w:rPr>
              <w:t>□自动扶梯变频感应启动技术</w:t>
            </w:r>
          </w:p>
          <w:p>
            <w:pPr>
              <w:spacing w:line="288" w:lineRule="auto"/>
              <w:rPr>
                <w:rFonts w:ascii="宋体" w:hAnsi="宋体"/>
                <w:szCs w:val="21"/>
              </w:rPr>
            </w:pPr>
            <w:r>
              <w:rPr>
                <w:rFonts w:hint="eastAsia" w:ascii="宋体" w:hAnsi="宋体"/>
                <w:szCs w:val="21"/>
              </w:rPr>
              <w:t>□群控楼宇智能管理技术</w:t>
            </w: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简要说明电梯和自动扶梯采取的节能控制措施。（200字以内）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417"/>
        <w:gridCol w:w="4395"/>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17"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417"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电梯及扶梯设计图</w:t>
            </w:r>
          </w:p>
        </w:tc>
        <w:tc>
          <w:tcPr>
            <w:tcW w:w="4395"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电梯、自动扶梯选型参数表，配电系统图，控制系统图等。图纸应对电梯和自动扶梯的选型计算做详细的说明，对于电梯的群控措施、自动扶梯的变频调速、能量再生等多项节能措施，提供设计说明并与设计施工图纸内容吻合</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电梯样本</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应体现项目中所选用电梯的性能、型号参数和节能控制措施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电气产品说明、产品型式检验报告</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应体现项目中所选用电梯的性能、型号参数和节能控制措施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right w:val="single" w:color="auto" w:sz="4"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电梯与自动扶梯人流平衡计算分析报告</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414" w:type="dxa"/>
          </w:tcPr>
          <w:p>
            <w:pPr>
              <w:spacing w:line="288" w:lineRule="auto"/>
            </w:pPr>
          </w:p>
        </w:tc>
      </w:tr>
    </w:tbl>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7.1.7 应制定水资源利用方案，统筹利用各种水资源，并应符合下列规定：1 应按使用用途、付费或管理单元，分别设置用水计量装置；2 用水点处水压大于0.2MPa的配水支管应设置减压设施，并应满足给水配件最低工作压力的要求；3 用水器具和设备应满足节水产品的要求；</w:t>
      </w:r>
      <w:bookmarkStart w:id="68" w:name="_Hlk25164943"/>
      <w:r>
        <w:rPr>
          <w:rFonts w:hint="eastAsia" w:ascii="黑体" w:hAnsi="黑体" w:eastAsia="黑体" w:cs="Times New Roman"/>
          <w:kern w:val="0"/>
          <w:sz w:val="24"/>
          <w:lang w:val="en-US" w:eastAsia="zh-CN"/>
        </w:rPr>
        <w:t>4 公共浴室采用带恒温控制与温度显示功能的冷热水混合淋浴器，设置用者付费的设施。</w:t>
      </w:r>
    </w:p>
    <w:bookmarkEnd w:id="68"/>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水资源利用方案</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是否制定水资源利用方案，统筹利用各种水资源：</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水资源利用方案内容包括：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当地节水要求及水资源状况、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市政设施情况、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项目概况、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用水定额的确定、</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用水量估算及水量平衡、</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给排水系统设计方案、</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节水器具、</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非传统水源利用、</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用水分项计量、□其他</w:t>
      </w:r>
      <w:r>
        <w:rPr>
          <w:rFonts w:hint="eastAsia" w:ascii="Times New Roman" w:hAnsi="Times New Roman" w:eastAsia="宋体" w:cs="Times New Roman"/>
          <w:bCs/>
          <w:color w:val="000000"/>
          <w:szCs w:val="24"/>
          <w:lang w:val="zh-CN" w:eastAsia="zh-CN"/>
        </w:rPr>
        <w:t>___           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简要说明水资源利用方案：（300字以内）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778"/>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tcBorders>
              <w:bottom w:val="single" w:color="auto" w:sz="6"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水资源利用方案落实说明</w:t>
            </w:r>
          </w:p>
        </w:tc>
        <w:tc>
          <w:tcPr>
            <w:tcW w:w="4778"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水资源利用方案涉及的全套设计/竣工图</w:t>
            </w:r>
          </w:p>
        </w:tc>
        <w:tc>
          <w:tcPr>
            <w:tcW w:w="47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应包括给水排设计说明、给排水系统设计图、给排水平面设计图、给排水设计详图、水表分级设置示意图、各层用水点用水压力计算图表、用水器具节水性能要求等</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用水器具产品说明书或产品节水性能检测报告</w:t>
            </w:r>
          </w:p>
        </w:tc>
        <w:tc>
          <w:tcPr>
            <w:tcW w:w="47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应体现项目中所选用水产品的节水性能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414" w:type="dxa"/>
          </w:tcPr>
          <w:p>
            <w:pPr>
              <w:spacing w:line="288" w:lineRule="auto"/>
            </w:pPr>
          </w:p>
        </w:tc>
      </w:tr>
    </w:tbl>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7.1.8 不应采用建筑形体和布置严重不规则的建筑结构。</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建筑形体规则</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本项目建筑形体规则性：□规则；□不规则；□特别不规则；□严重不规则；</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平面不规则的主要类型判定：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51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不规则类型</w:t>
            </w:r>
          </w:p>
        </w:tc>
        <w:tc>
          <w:tcPr>
            <w:tcW w:w="5510" w:type="dxa"/>
            <w:vAlign w:val="center"/>
          </w:tcPr>
          <w:p>
            <w:pPr>
              <w:autoSpaceDE w:val="0"/>
              <w:autoSpaceDN w:val="0"/>
              <w:adjustRightInd w:val="0"/>
              <w:snapToGrid w:val="0"/>
              <w:spacing w:line="288" w:lineRule="auto"/>
              <w:jc w:val="center"/>
              <w:rPr>
                <w:rFonts w:asciiTheme="minorEastAsia" w:hAnsiTheme="minorEastAsia" w:eastAsiaTheme="minorEastAsia"/>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定义和参考指标</w:t>
            </w:r>
          </w:p>
        </w:tc>
        <w:tc>
          <w:tcPr>
            <w:tcW w:w="1735" w:type="dxa"/>
            <w:vAlign w:val="center"/>
          </w:tcPr>
          <w:p>
            <w:pPr>
              <w:autoSpaceDE w:val="0"/>
              <w:autoSpaceDN w:val="0"/>
              <w:adjustRightInd w:val="0"/>
              <w:snapToGrid w:val="0"/>
              <w:spacing w:line="288" w:lineRule="auto"/>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指标</w:t>
            </w:r>
            <w:r>
              <w:rPr>
                <w:rFonts w:asciiTheme="minorEastAsia" w:hAnsiTheme="minorEastAsia" w:eastAsiaTheme="minorEastAsia"/>
                <w:color w:val="000000" w:themeColor="text1"/>
                <w:szCs w:val="18"/>
                <w14:textFill>
                  <w14:solidFill>
                    <w14:schemeClr w14:val="tx1"/>
                  </w14:solidFill>
                </w14:textFill>
              </w:rPr>
              <w:t>值</w:t>
            </w:r>
            <w:r>
              <w:rPr>
                <w:rFonts w:hint="eastAsia" w:asciiTheme="minorEastAsia" w:hAnsiTheme="minorEastAsia" w:eastAsiaTheme="minorEastAsia"/>
                <w:color w:val="000000" w:themeColor="text1"/>
                <w:szCs w:val="18"/>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扭转不规则</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在规定的水平力作用下，楼层的最大弹性水平位移或(层间位移)，大于该楼层两端弹性水平位移(或层间位移)平均值的 1.2 倍</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凹凸不规则</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平面凹进的尺寸，大于相应投影方向总尺寸的 30%</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楼板局部不连续</w:t>
            </w:r>
          </w:p>
        </w:tc>
        <w:tc>
          <w:tcPr>
            <w:tcW w:w="5510" w:type="dxa"/>
            <w:vAlign w:val="center"/>
          </w:tcPr>
          <w:p>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楼板的尺寸和平面刚度急剧变化，例如，有效楼板宽度小于该层楼板典型宽度的 50%，或开洞面积大于该层楼面面积的 30%，或较大的楼层错层</w:t>
            </w:r>
          </w:p>
        </w:tc>
        <w:tc>
          <w:tcPr>
            <w:tcW w:w="1735" w:type="dxa"/>
            <w:vAlign w:val="center"/>
          </w:tcPr>
          <w:p>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竖向不规则的主要类型判定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19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97" w:type="dxa"/>
            <w:vAlign w:val="center"/>
          </w:tcPr>
          <w:p>
            <w:pPr>
              <w:autoSpaceDE w:val="0"/>
              <w:autoSpaceDN w:val="0"/>
              <w:adjustRightInd w:val="0"/>
              <w:snapToGrid w:val="0"/>
              <w:spacing w:line="288" w:lineRule="auto"/>
              <w:jc w:val="center"/>
              <w:rPr>
                <w:szCs w:val="18"/>
              </w:rPr>
            </w:pPr>
            <w:r>
              <w:rPr>
                <w:szCs w:val="18"/>
              </w:rPr>
              <w:t>不规则类型</w:t>
            </w:r>
          </w:p>
        </w:tc>
        <w:tc>
          <w:tcPr>
            <w:tcW w:w="5192" w:type="dxa"/>
            <w:vAlign w:val="center"/>
          </w:tcPr>
          <w:p>
            <w:pPr>
              <w:autoSpaceDE w:val="0"/>
              <w:autoSpaceDN w:val="0"/>
              <w:adjustRightInd w:val="0"/>
              <w:snapToGrid w:val="0"/>
              <w:spacing w:line="288" w:lineRule="auto"/>
              <w:jc w:val="center"/>
              <w:rPr>
                <w:szCs w:val="18"/>
              </w:rPr>
            </w:pPr>
            <w:r>
              <w:rPr>
                <w:szCs w:val="18"/>
              </w:rPr>
              <w:t>定义和参考指标</w:t>
            </w:r>
          </w:p>
        </w:tc>
        <w:tc>
          <w:tcPr>
            <w:tcW w:w="1733" w:type="dxa"/>
            <w:vAlign w:val="center"/>
          </w:tcPr>
          <w:p>
            <w:pPr>
              <w:autoSpaceDE w:val="0"/>
              <w:autoSpaceDN w:val="0"/>
              <w:adjustRightInd w:val="0"/>
              <w:snapToGrid w:val="0"/>
              <w:spacing w:line="288" w:lineRule="auto"/>
              <w:jc w:val="center"/>
              <w:rPr>
                <w:szCs w:val="18"/>
              </w:rPr>
            </w:pPr>
            <w:r>
              <w:rPr>
                <w:rFonts w:hint="eastAsia"/>
                <w:szCs w:val="18"/>
              </w:rPr>
              <w:t>指标</w:t>
            </w:r>
            <w:r>
              <w:rPr>
                <w:szCs w:val="18"/>
              </w:rPr>
              <w:t>值</w:t>
            </w:r>
            <w:r>
              <w:rPr>
                <w:rFonts w:hint="eastAsia"/>
                <w:szCs w:val="1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97" w:type="dxa"/>
            <w:vAlign w:val="center"/>
          </w:tcPr>
          <w:p>
            <w:pPr>
              <w:autoSpaceDE w:val="0"/>
              <w:autoSpaceDN w:val="0"/>
              <w:adjustRightInd w:val="0"/>
              <w:snapToGrid w:val="0"/>
              <w:spacing w:line="288" w:lineRule="auto"/>
              <w:jc w:val="center"/>
              <w:rPr>
                <w:szCs w:val="18"/>
              </w:rPr>
            </w:pPr>
            <w:r>
              <w:rPr>
                <w:szCs w:val="18"/>
              </w:rPr>
              <w:t>侧向刚度不规则</w:t>
            </w:r>
          </w:p>
        </w:tc>
        <w:tc>
          <w:tcPr>
            <w:tcW w:w="5192" w:type="dxa"/>
            <w:vAlign w:val="center"/>
          </w:tcPr>
          <w:p>
            <w:pPr>
              <w:autoSpaceDE w:val="0"/>
              <w:autoSpaceDN w:val="0"/>
              <w:adjustRightInd w:val="0"/>
              <w:snapToGrid w:val="0"/>
              <w:spacing w:line="288" w:lineRule="auto"/>
              <w:rPr>
                <w:szCs w:val="18"/>
              </w:rPr>
            </w:pPr>
            <w:r>
              <w:rPr>
                <w:szCs w:val="18"/>
              </w:rPr>
              <w:t>该层的侧向刚度小于相邻上一层的 70%，或小于其上相邻三个楼层侧向刚度平均值的80%；除顶层或出屋面小建筑外，局部收进的水平向尺寸大于相邻下一层的 25％</w:t>
            </w:r>
          </w:p>
        </w:tc>
        <w:tc>
          <w:tcPr>
            <w:tcW w:w="1733"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97" w:type="dxa"/>
            <w:vAlign w:val="center"/>
          </w:tcPr>
          <w:p>
            <w:pPr>
              <w:autoSpaceDE w:val="0"/>
              <w:autoSpaceDN w:val="0"/>
              <w:adjustRightInd w:val="0"/>
              <w:snapToGrid w:val="0"/>
              <w:spacing w:line="288" w:lineRule="auto"/>
              <w:jc w:val="center"/>
              <w:rPr>
                <w:szCs w:val="18"/>
              </w:rPr>
            </w:pPr>
            <w:r>
              <w:rPr>
                <w:szCs w:val="18"/>
              </w:rPr>
              <w:t>竖向抗侧力构件不连续</w:t>
            </w:r>
          </w:p>
        </w:tc>
        <w:tc>
          <w:tcPr>
            <w:tcW w:w="5192" w:type="dxa"/>
            <w:vAlign w:val="center"/>
          </w:tcPr>
          <w:p>
            <w:pPr>
              <w:autoSpaceDE w:val="0"/>
              <w:autoSpaceDN w:val="0"/>
              <w:adjustRightInd w:val="0"/>
              <w:snapToGrid w:val="0"/>
              <w:spacing w:line="288" w:lineRule="auto"/>
              <w:rPr>
                <w:szCs w:val="18"/>
              </w:rPr>
            </w:pPr>
            <w:r>
              <w:rPr>
                <w:szCs w:val="18"/>
              </w:rPr>
              <w:t>竖向抗侧力构件(柱、抗震墙、抗震支撑)的内力由水平转换构件(梁、桁架等)向下传递</w:t>
            </w:r>
          </w:p>
        </w:tc>
        <w:tc>
          <w:tcPr>
            <w:tcW w:w="1733" w:type="dxa"/>
            <w:vAlign w:val="center"/>
          </w:tcPr>
          <w:p>
            <w:pPr>
              <w:autoSpaceDE w:val="0"/>
              <w:autoSpaceDN w:val="0"/>
              <w:adjustRightInd w:val="0"/>
              <w:snapToGrid w:val="0"/>
              <w:spacing w:line="288" w:lineRule="auto"/>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97" w:type="dxa"/>
            <w:vAlign w:val="center"/>
          </w:tcPr>
          <w:p>
            <w:pPr>
              <w:autoSpaceDE w:val="0"/>
              <w:autoSpaceDN w:val="0"/>
              <w:adjustRightInd w:val="0"/>
              <w:snapToGrid w:val="0"/>
              <w:spacing w:line="288" w:lineRule="auto"/>
              <w:jc w:val="center"/>
              <w:rPr>
                <w:szCs w:val="18"/>
              </w:rPr>
            </w:pPr>
            <w:r>
              <w:rPr>
                <w:szCs w:val="18"/>
              </w:rPr>
              <w:t>楼层承载力突变</w:t>
            </w:r>
          </w:p>
        </w:tc>
        <w:tc>
          <w:tcPr>
            <w:tcW w:w="5192" w:type="dxa"/>
            <w:vAlign w:val="center"/>
          </w:tcPr>
          <w:p>
            <w:pPr>
              <w:autoSpaceDE w:val="0"/>
              <w:autoSpaceDN w:val="0"/>
              <w:adjustRightInd w:val="0"/>
              <w:snapToGrid w:val="0"/>
              <w:spacing w:line="288" w:lineRule="auto"/>
              <w:rPr>
                <w:szCs w:val="18"/>
              </w:rPr>
            </w:pPr>
            <w:r>
              <w:rPr>
                <w:szCs w:val="18"/>
              </w:rPr>
              <w:t>抗侧力结构的层间受剪承载力小于相邻上一楼层的 80%</w:t>
            </w:r>
          </w:p>
        </w:tc>
        <w:tc>
          <w:tcPr>
            <w:tcW w:w="1733" w:type="dxa"/>
            <w:vAlign w:val="center"/>
          </w:tcPr>
          <w:p>
            <w:pPr>
              <w:autoSpaceDE w:val="0"/>
              <w:autoSpaceDN w:val="0"/>
              <w:adjustRightInd w:val="0"/>
              <w:snapToGrid w:val="0"/>
              <w:spacing w:line="288" w:lineRule="auto"/>
              <w:rPr>
                <w:szCs w:val="18"/>
              </w:rPr>
            </w:pPr>
          </w:p>
        </w:tc>
      </w:tr>
    </w:tbl>
    <w:p>
      <w:pPr>
        <w:spacing w:line="288" w:lineRule="auto"/>
        <w:rPr>
          <w:bCs/>
          <w:kern w:val="0"/>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其他不规则类型</w:t>
      </w:r>
      <w:r>
        <w:rPr>
          <w:rFonts w:hint="eastAsia" w:ascii="Times New Roman" w:hAnsi="Times New Roman" w:eastAsia="宋体" w:cs="Times New Roman"/>
          <w:bCs/>
          <w:color w:val="000000"/>
          <w:szCs w:val="24"/>
          <w:u w:val="single"/>
          <w:lang w:val="zh-CN" w:eastAsia="zh-CN"/>
        </w:rPr>
        <w:t>___           _</w:t>
      </w:r>
      <w:r>
        <w:rPr>
          <w:rFonts w:hint="eastAsia" w:ascii="Times New Roman" w:hAnsi="Times New Roman" w:eastAsia="宋体" w:cs="Times New Roman"/>
          <w:bCs/>
          <w:color w:val="000000"/>
          <w:szCs w:val="24"/>
          <w:lang w:val="en-US" w:eastAsia="zh-CN"/>
        </w:rPr>
        <w:t>。</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449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应体现建筑形体竖向的形状、尺寸和变化</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建筑剖面图</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应体现建筑形体竖向剖面的形状、尺寸和变化</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应体现建筑形体平面的形状、尺寸和变化</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结构平面布置图</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应体现结构平面各部位的尺寸</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建筑形体规则性判定报告</w:t>
            </w:r>
          </w:p>
        </w:tc>
        <w:tc>
          <w:tcPr>
            <w:tcW w:w="4494"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应包括项目存在的各种不规则类型及相应的指标，并判定建筑形体的不规则性</w:t>
            </w:r>
          </w:p>
        </w:tc>
        <w:tc>
          <w:tcPr>
            <w:tcW w:w="709"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414" w:type="dxa"/>
          </w:tcPr>
          <w:p>
            <w:pPr>
              <w:spacing w:line="288" w:lineRule="auto"/>
            </w:pPr>
          </w:p>
        </w:tc>
      </w:tr>
    </w:tbl>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7.1.9 建筑造型要素应简约，应无大量装饰性构件，并应符合下列规定：1 住宅建筑的装饰性构件造价占建筑总造价的比例不应大于2％；2 公共建筑的装饰性构件造价占建筑总造价的比例不应大于1％。</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建筑装饰性构件使用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本项目是否使用了装饰性构件：</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如果使用了具备功能的装饰性构件，其功能是：</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装饰性构件的造价：万元，工程总造价：万元，装饰性构件造价占工程总造价的比例：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女儿墙高度：米，</w:t>
      </w:r>
      <w:r>
        <w:rPr>
          <w:rFonts w:hint="eastAsia" w:ascii="Times New Roman" w:hAnsi="Times New Roman" w:eastAsia="宋体" w:cs="Times New Roman"/>
          <w:bCs/>
          <w:color w:val="000000"/>
          <w:szCs w:val="24"/>
          <w:lang w:val="zh-CN" w:eastAsia="zh-CN"/>
        </w:rPr>
        <w:t>是否超过规范要求的2倍：□是、□否。</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418"/>
        <w:gridCol w:w="4536"/>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18"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53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41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建筑立、剖、平面图</w:t>
            </w:r>
          </w:p>
        </w:tc>
        <w:tc>
          <w:tcPr>
            <w:tcW w:w="453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体现女儿墙的高度及立面装饰性构件的位置</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建筑效果图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应体现建筑造型及装饰性构件</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结构、梁平面布置图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应体现装饰性构件的位置、尺寸、构造</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柱、墙、板设计图及结构详图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应体现女儿墙详图及所有装饰性构件的位置、尺寸、构造</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局部构件详图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应体现装饰性构件的位置、尺寸、构造（若有，如连廊、悬挑构件等）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应体现装饰性构件的造价及工程总造价</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装饰性构件造价比例计算书</w:t>
            </w:r>
          </w:p>
        </w:tc>
        <w:tc>
          <w:tcPr>
            <w:tcW w:w="453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应包括所有装饰性构件的位置及功能介绍，对没有功能作用的纯装饰性构件，应计算其造价占工程总造价的比例，计算数据应与工程预算/决算保持一致</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414" w:type="dxa"/>
          </w:tcPr>
          <w:p>
            <w:pPr>
              <w:spacing w:line="288" w:lineRule="auto"/>
            </w:pPr>
          </w:p>
        </w:tc>
      </w:tr>
    </w:tbl>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7.1.10 选用的建筑材料应符合下列规定：1 500km以内生产的建筑材料重量占建筑材料总重量的比例应大于60％；2 现浇混凝土应采用预拌混凝土，建筑砂浆应采用预拌砂浆。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本地化建材使用比例：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施工现场500km 以内生产的建筑材料使用重量：吨；所有建筑材料总重量：吨；施工现场500km以内生产的建筑材料重量占建筑材料总重量的比例：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402"/>
        <w:gridCol w:w="1924"/>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rPr>
                <w:b/>
              </w:rPr>
            </w:pPr>
            <w:r>
              <w:rPr>
                <w:rFonts w:hint="eastAsia"/>
                <w:b/>
              </w:rPr>
              <w:t>序号</w:t>
            </w:r>
          </w:p>
        </w:tc>
        <w:tc>
          <w:tcPr>
            <w:tcW w:w="3402" w:type="dxa"/>
            <w:vAlign w:val="center"/>
          </w:tcPr>
          <w:p>
            <w:pPr>
              <w:spacing w:line="288" w:lineRule="auto"/>
              <w:jc w:val="center"/>
              <w:rPr>
                <w:b/>
              </w:rPr>
            </w:pPr>
            <w:r>
              <w:rPr>
                <w:rFonts w:hint="eastAsia"/>
                <w:b/>
              </w:rPr>
              <w:t>建筑材料种类</w:t>
            </w:r>
          </w:p>
        </w:tc>
        <w:tc>
          <w:tcPr>
            <w:tcW w:w="1924" w:type="dxa"/>
            <w:vAlign w:val="center"/>
          </w:tcPr>
          <w:p>
            <w:pPr>
              <w:spacing w:line="288" w:lineRule="auto"/>
              <w:jc w:val="center"/>
              <w:rPr>
                <w:b/>
              </w:rPr>
            </w:pPr>
            <w:r>
              <w:rPr>
                <w:rFonts w:hint="eastAsia"/>
                <w:b/>
              </w:rPr>
              <w:t>运输半径（km）</w:t>
            </w:r>
          </w:p>
        </w:tc>
        <w:tc>
          <w:tcPr>
            <w:tcW w:w="1872" w:type="dxa"/>
            <w:vAlign w:val="center"/>
          </w:tcPr>
          <w:p>
            <w:pPr>
              <w:spacing w:line="288" w:lineRule="auto"/>
              <w:jc w:val="center"/>
              <w:rPr>
                <w:b/>
              </w:rPr>
            </w:pPr>
            <w:r>
              <w:rPr>
                <w:rFonts w:hint="eastAsia"/>
                <w:b/>
              </w:rPr>
              <w:t>建筑材料重量（t）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1</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2</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rPr>
                <w:rFonts w:hint="eastAsia"/>
              </w:rPr>
              <w:t>3</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spacing w:line="288" w:lineRule="auto"/>
              <w:jc w:val="center"/>
            </w:pPr>
            <w:r>
              <w:t>…</w:t>
            </w:r>
          </w:p>
        </w:tc>
        <w:tc>
          <w:tcPr>
            <w:tcW w:w="3402" w:type="dxa"/>
            <w:vAlign w:val="center"/>
          </w:tcPr>
          <w:p>
            <w:pPr>
              <w:spacing w:line="288" w:lineRule="auto"/>
              <w:jc w:val="center"/>
            </w:pP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spacing w:line="288" w:lineRule="auto"/>
              <w:jc w:val="center"/>
            </w:pPr>
            <w:r>
              <w:rPr>
                <w:rFonts w:hint="eastAsia"/>
              </w:rPr>
              <w:t>合计</w:t>
            </w:r>
          </w:p>
        </w:tc>
        <w:tc>
          <w:tcPr>
            <w:tcW w:w="1924" w:type="dxa"/>
            <w:vAlign w:val="center"/>
          </w:tcPr>
          <w:p>
            <w:pPr>
              <w:spacing w:line="288" w:lineRule="auto"/>
              <w:jc w:val="center"/>
            </w:pPr>
          </w:p>
        </w:tc>
        <w:tc>
          <w:tcPr>
            <w:tcW w:w="1872"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pPr>
              <w:spacing w:line="288" w:lineRule="auto"/>
              <w:jc w:val="center"/>
            </w:pPr>
            <w:r>
              <w:rPr>
                <w:rFonts w:hint="eastAsia"/>
              </w:rPr>
              <w:t>施工现场500km以内生产的建筑材料重量占建筑材料总重量的比例</w:t>
            </w:r>
          </w:p>
        </w:tc>
        <w:tc>
          <w:tcPr>
            <w:tcW w:w="3796" w:type="dxa"/>
            <w:gridSpan w:val="2"/>
            <w:vAlign w:val="center"/>
          </w:tcPr>
          <w:p>
            <w:pPr>
              <w:spacing w:line="288" w:lineRule="auto"/>
              <w:jc w:val="cente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预拌混凝土使用情况：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现浇混凝土是否全部采用预拌混凝土：□是、□否</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预拌砂浆使用情况：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建筑砂浆是否全部采用预拌砂浆：□是、□否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简要说明本项目预拌砂浆使用的部位、用途、厚度及预拌砂浆的使用量占建筑砂浆的比例，且注明本项目使用的预拌砂浆是否符合现行标准《预拌砂浆》GB/T 2181及《预拌砂浆应用技术规程》JGJ/T 223的规定（200字以内）。</w:t>
      </w:r>
    </w:p>
    <w:p>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应体现建材最后一个生产工厂或场地的位置到施工现场的距离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工程材料预算清单</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应体现项目实际使用各类建材信息（名称、用量）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购销合同</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应体现大宗建材的采购情况（采购时间、对应项目、采购厂商、采购量等）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预拌混凝土用量清单及使用比例计算书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应包括辅助证明项目实际预拌混凝土的用量及使用比例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预拌砂浆用量清单及使用比例计算书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应包括辅助证明项目实际预拌砂浆的用量及使用比例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pPr>
              <w:spacing w:line="288" w:lineRule="auto"/>
            </w:pPr>
          </w:p>
        </w:tc>
      </w:tr>
    </w:tbl>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7.1.11 积极推进建筑产业化技术措施应用，并满足下列规定：1 内隔墙非砌筑比例≥50%；2 预制装配式楼板应用面积不低于单体建筑地上建筑面积的60%。</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w:t>
      </w:r>
      <w:r>
        <w:rPr>
          <w:rFonts w:hint="eastAsia" w:cs="Times New Roman"/>
          <w:bCs/>
          <w:color w:val="000000"/>
          <w:szCs w:val="24"/>
          <w:lang w:val="en-US" w:eastAsia="zh-CN"/>
        </w:rPr>
        <w:t>如何积极推进建筑产业化技术措施的应用情况。（200字以内）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墙、板设计图及结构详图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应体现内隔墙与楼板的制造工艺与材料用量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工程材料预算清单</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应体现项目实际使用各类建材信息（名称、用量）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购销合同</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应体现建材的采购情况（采购时间、对应项目、采购厂商、采购量等）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内隔墙非砌筑用量清单及使用比例计算书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应包括辅助证明项目实际内隔墙非砌筑的用量及使用比例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预制装配式楼板用量清单及使用比例计算书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应包括辅助证明项目实际预制装配式楼板的用量及使用比例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14" w:type="dxa"/>
          </w:tcPr>
          <w:p>
            <w:pPr>
              <w:spacing w:line="288" w:lineRule="auto"/>
            </w:pPr>
          </w:p>
        </w:tc>
      </w:tr>
    </w:tbl>
    <w:p>
      <w:pPr>
        <w:pStyle w:val="2"/>
        <w:bidi w:val="0"/>
        <w:rPr>
          <w:rFonts w:hint="eastAsia"/>
        </w:rPr>
      </w:pPr>
      <w:bookmarkStart w:id="69" w:name="_Toc35364749"/>
      <w:bookmarkStart w:id="70" w:name="_Toc22221582"/>
      <w:r>
        <w:rPr>
          <w:rFonts w:hint="eastAsia"/>
        </w:rPr>
        <w:t>7.2 评分项</w:t>
      </w:r>
      <w:bookmarkEnd w:id="69"/>
      <w:bookmarkEnd w:id="70"/>
    </w:p>
    <w:p>
      <w:pPr>
        <w:pStyle w:val="3"/>
        <w:spacing w:line="288" w:lineRule="auto"/>
        <w:jc w:val="center"/>
        <w:rPr>
          <w:rFonts w:hint="eastAsia" w:ascii="宋体" w:hAnsi="宋体" w:eastAsia="宋体" w:cs="宋体"/>
        </w:rPr>
      </w:pPr>
      <w:bookmarkStart w:id="71" w:name="_Toc22221583"/>
      <w:bookmarkStart w:id="72" w:name="_Toc35364750"/>
      <w:r>
        <w:rPr>
          <w:rFonts w:hint="eastAsia" w:ascii="宋体" w:hAnsi="宋体" w:eastAsia="宋体" w:cs="宋体"/>
        </w:rPr>
        <w:t>Ⅰ 节地与土地利用</w:t>
      </w:r>
      <w:bookmarkEnd w:id="71"/>
      <w:bookmarkEnd w:id="72"/>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 节约集约利用土地。</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对于住宅建筑，根据其所在居住街坊人均住宅用地指标按表7.2.1-1的规则评分。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表7.2.1-1 居住街坊人均住宅用地指标评分规则</w:t>
      </w:r>
    </w:p>
    <w:tbl>
      <w:tblPr>
        <w:tblStyle w:val="9"/>
        <w:tblW w:w="8292" w:type="dxa"/>
        <w:jc w:val="center"/>
        <w:tblLayout w:type="fixed"/>
        <w:tblCellMar>
          <w:top w:w="0" w:type="dxa"/>
          <w:left w:w="108" w:type="dxa"/>
          <w:bottom w:w="0" w:type="dxa"/>
          <w:right w:w="108" w:type="dxa"/>
        </w:tblCellMar>
      </w:tblPr>
      <w:tblGrid>
        <w:gridCol w:w="1138"/>
        <w:gridCol w:w="1264"/>
        <w:gridCol w:w="1195"/>
        <w:gridCol w:w="1184"/>
        <w:gridCol w:w="1218"/>
        <w:gridCol w:w="1195"/>
        <w:gridCol w:w="1098"/>
      </w:tblGrid>
      <w:tr>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建筑气候区</w:t>
            </w:r>
          </w:p>
        </w:tc>
        <w:tc>
          <w:tcPr>
            <w:tcW w:w="605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人均住宅用地指标A（m</w:t>
            </w:r>
            <w:r>
              <w:rPr>
                <w:rFonts w:cs="Times New Roman"/>
                <w:b w:val="0"/>
                <w:vertAlign w:val="superscript"/>
              </w:rPr>
              <w:t>2</w:t>
            </w:r>
            <w:r>
              <w:rPr>
                <w:rFonts w:cs="Times New Roman"/>
                <w:b w:val="0"/>
              </w:rPr>
              <w:t>）</w:t>
            </w:r>
          </w:p>
        </w:tc>
        <w:tc>
          <w:tcPr>
            <w:tcW w:w="10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得分</w:t>
            </w:r>
          </w:p>
        </w:tc>
      </w:tr>
      <w:tr>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3层及以下</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4~6层</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7~9层</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10~18层</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19层及以上</w:t>
            </w:r>
          </w:p>
        </w:tc>
        <w:tc>
          <w:tcPr>
            <w:tcW w:w="10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p>
        </w:tc>
      </w:tr>
      <w:tr>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Ⅲ</w:t>
            </w: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33&lt;A&lt;36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24&lt;A≤27</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19&lt;A≤20</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15&lt;A≤16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11&lt;A≤12</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hint="eastAsia" w:ascii="宋体" w:hAnsi="宋体"/>
                <w:b w:val="0"/>
                <w:bCs/>
              </w:rPr>
              <w:t xml:space="preserve"> </w:t>
            </w: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15</w:t>
            </w:r>
          </w:p>
        </w:tc>
      </w:tr>
      <w:tr>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A≤33</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A≤24</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A≤19</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A≤15</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cs="Times New Roman"/>
                <w:b w:val="0"/>
              </w:rPr>
              <w:t>A≤11</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20</w:t>
            </w: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对于公共建筑，根据不同功能建筑的容积率(R)按表7.2.1-2的规则评分。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表7.2.1-2 公共建筑容积率(R)评分规则</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3448"/>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行政办公、商务办公、商业金融、旅馆饭店、交通枢纽等</w:t>
            </w:r>
          </w:p>
        </w:tc>
        <w:tc>
          <w:tcPr>
            <w:tcW w:w="3448" w:type="dxa"/>
            <w:vAlign w:val="center"/>
          </w:tcPr>
          <w:p>
            <w:pPr>
              <w:pStyle w:val="20"/>
              <w:rPr>
                <w:rFonts w:cs="Times New Roman"/>
                <w:b w:val="0"/>
              </w:rPr>
            </w:pPr>
            <w:r>
              <w:rPr>
                <w:rFonts w:cs="Times New Roman"/>
                <w:b w:val="0"/>
              </w:rPr>
              <w:t>教育、文化、体育、医疗卫生、社会福利等</w:t>
            </w:r>
          </w:p>
        </w:tc>
        <w:tc>
          <w:tcPr>
            <w:tcW w:w="1164" w:type="dxa"/>
            <w:vAlign w:val="center"/>
          </w:tcPr>
          <w:p>
            <w:pPr>
              <w:pStyle w:val="2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1.0≤R&lt;1.5</w:t>
            </w:r>
          </w:p>
        </w:tc>
        <w:tc>
          <w:tcPr>
            <w:tcW w:w="3448" w:type="dxa"/>
            <w:vAlign w:val="center"/>
          </w:tcPr>
          <w:p>
            <w:pPr>
              <w:pStyle w:val="20"/>
              <w:rPr>
                <w:rFonts w:cs="Times New Roman"/>
                <w:b w:val="0"/>
              </w:rPr>
            </w:pPr>
            <w:r>
              <w:rPr>
                <w:rFonts w:cs="Times New Roman"/>
                <w:b w:val="0"/>
              </w:rPr>
              <w:t>0.5≤R&lt;0.8</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1.5≤R&lt;2.5</w:t>
            </w:r>
          </w:p>
        </w:tc>
        <w:tc>
          <w:tcPr>
            <w:tcW w:w="3448" w:type="dxa"/>
            <w:vAlign w:val="center"/>
          </w:tcPr>
          <w:p>
            <w:pPr>
              <w:pStyle w:val="20"/>
              <w:rPr>
                <w:rFonts w:cs="Times New Roman"/>
                <w:b w:val="0"/>
              </w:rPr>
            </w:pPr>
            <w:r>
              <w:rPr>
                <w:rFonts w:cs="Times New Roman"/>
                <w:b w:val="0"/>
              </w:rPr>
              <w:t>R≥2.0</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2.5≤R&lt;3.5</w:t>
            </w:r>
          </w:p>
        </w:tc>
        <w:tc>
          <w:tcPr>
            <w:tcW w:w="3448" w:type="dxa"/>
            <w:vAlign w:val="center"/>
          </w:tcPr>
          <w:p>
            <w:pPr>
              <w:pStyle w:val="20"/>
              <w:rPr>
                <w:rFonts w:cs="Times New Roman"/>
                <w:b w:val="0"/>
              </w:rPr>
            </w:pPr>
            <w:r>
              <w:rPr>
                <w:rFonts w:cs="Times New Roman"/>
                <w:b w:val="0"/>
              </w:rPr>
              <w:t>0.8≤R&lt;1.5</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pPr>
              <w:pStyle w:val="20"/>
              <w:rPr>
                <w:rFonts w:cs="Times New Roman"/>
                <w:b w:val="0"/>
              </w:rPr>
            </w:pPr>
            <w:r>
              <w:rPr>
                <w:rFonts w:cs="Times New Roman"/>
                <w:b w:val="0"/>
              </w:rPr>
              <w:t>R≥3.5</w:t>
            </w:r>
          </w:p>
        </w:tc>
        <w:tc>
          <w:tcPr>
            <w:tcW w:w="3448" w:type="dxa"/>
            <w:vAlign w:val="center"/>
          </w:tcPr>
          <w:p>
            <w:pPr>
              <w:pStyle w:val="20"/>
              <w:rPr>
                <w:rFonts w:cs="Times New Roman"/>
                <w:b w:val="0"/>
              </w:rPr>
            </w:pPr>
            <w:r>
              <w:rPr>
                <w:rFonts w:cs="Times New Roman"/>
                <w:b w:val="0"/>
              </w:rPr>
              <w:t>1.5≤R&lt;2.0</w:t>
            </w:r>
          </w:p>
        </w:tc>
        <w:tc>
          <w:tcPr>
            <w:tcW w:w="1164" w:type="dxa"/>
            <w:vAlign w:val="center"/>
          </w:tcPr>
          <w:p>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20</w:t>
            </w: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住区人均居住用地指标：</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住宅层数：□低层、□多层、□中高层、□高层</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建筑高度：___  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住宅户数：户；其中</w:t>
      </w:r>
      <w:r>
        <w:rPr>
          <w:rFonts w:hint="eastAsia" w:ascii="Times New Roman" w:hAnsi="Times New Roman" w:eastAsia="宋体" w:cs="Times New Roman"/>
          <w:bCs/>
          <w:color w:val="000000"/>
          <w:szCs w:val="24"/>
          <w:lang w:val="en-US" w:eastAsia="zh-CN"/>
        </w:rPr>
        <w:t>3层及以下：户；4-6层户；7-12层户；13-18层：户；19层及以上住宅户数：</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户</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住区用地面积：___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居住人口：___  人（若当地有具体规定，应按照当地规定取值，如无统一规定按每户3.2人计算）</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人均居住用地指标：___  m2/人</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关键技术指标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容积率：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人均居住用地面积：</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m²/人</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容积率：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规划用地面积：___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地上总建筑面积：___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容积率：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
      <w:pPr>
        <w:numPr>
          <w:ilvl w:val="0"/>
          <w:numId w:val="0"/>
        </w:numPr>
        <w:spacing w:line="288" w:lineRule="auto"/>
        <w:ind w:leftChars="0"/>
        <w:rPr>
          <w:rFonts w:ascii="宋体" w:hAnsi="宋体"/>
          <w:b/>
          <w:kern w:val="0"/>
          <w:sz w:val="24"/>
        </w:rPr>
      </w:pPr>
      <w:r>
        <w:rPr>
          <w:rFonts w:hint="eastAsia"/>
          <w:lang w:val="en-US" w:eastAsia="zh-CN"/>
        </w:rPr>
        <w:t xml:space="preserve"> </w:t>
      </w: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23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13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vMerge w:val="restart"/>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352"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5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应包括地上总建筑面积、容积率等技术经济指标（指标要求与自评一致）</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left w:val="single" w:color="auto" w:sz="4" w:space="0"/>
              <w:right w:val="single" w:color="auto" w:sz="6"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规划许可的设计条件</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人均居住用地指标计算书</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应包括人均居住用地指标计算过程（指标要求与自评一致）</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容积率计算或说明书</w:t>
            </w:r>
          </w:p>
        </w:tc>
        <w:tc>
          <w:tcPr>
            <w:tcW w:w="4352"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对于参评范围与建筑总平面图不一致的项目需提供（指标要求与自评一致）</w:t>
            </w:r>
          </w:p>
        </w:tc>
        <w:tc>
          <w:tcPr>
            <w:tcW w:w="851"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364" w:type="dxa"/>
          </w:tcPr>
          <w:p>
            <w:pPr>
              <w:spacing w:line="288" w:lineRule="auto"/>
            </w:pPr>
          </w:p>
        </w:tc>
      </w:tr>
    </w:tbl>
    <w:p>
      <w:pPr>
        <w:rPr>
          <w:rFonts w:hint="eastAsia" w:eastAsia="宋体"/>
          <w:lang w:val="en-US" w:eastAsia="zh-CN"/>
        </w:rPr>
      </w:pPr>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7.2.2 合理开发利用地下空间。</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表7.2.2 地下空间开发利用指标评分规则</w:t>
      </w:r>
    </w:p>
    <w:tbl>
      <w:tblPr>
        <w:tblStyle w:val="9"/>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4123"/>
        <w:gridCol w:w="1985"/>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pPr>
              <w:pStyle w:val="20"/>
              <w:snapToGrid w:val="0"/>
              <w:rPr>
                <w:rFonts w:cs="Times New Roman"/>
                <w:b w:val="0"/>
              </w:rPr>
            </w:pPr>
            <w:r>
              <w:rPr>
                <w:rFonts w:cs="Times New Roman"/>
                <w:b w:val="0"/>
              </w:rPr>
              <w:t>建筑类型</w:t>
            </w:r>
          </w:p>
        </w:tc>
        <w:tc>
          <w:tcPr>
            <w:tcW w:w="6108" w:type="dxa"/>
            <w:gridSpan w:val="2"/>
            <w:vAlign w:val="center"/>
          </w:tcPr>
          <w:p>
            <w:pPr>
              <w:pStyle w:val="20"/>
              <w:snapToGrid w:val="0"/>
              <w:rPr>
                <w:rFonts w:cs="Times New Roman"/>
                <w:b w:val="0"/>
              </w:rPr>
            </w:pPr>
            <w:r>
              <w:rPr>
                <w:rFonts w:cs="Times New Roman"/>
                <w:b w:val="0"/>
              </w:rPr>
              <w:t>地下空间开发利用指标</w:t>
            </w:r>
          </w:p>
        </w:tc>
        <w:tc>
          <w:tcPr>
            <w:tcW w:w="769" w:type="dxa"/>
            <w:vAlign w:val="center"/>
          </w:tcPr>
          <w:p>
            <w:pPr>
              <w:pStyle w:val="20"/>
              <w:snapToGrid w:val="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7" w:type="dxa"/>
            <w:vMerge w:val="restart"/>
            <w:vAlign w:val="center"/>
          </w:tcPr>
          <w:p>
            <w:pPr>
              <w:pStyle w:val="20"/>
              <w:snapToGrid w:val="0"/>
              <w:rPr>
                <w:rFonts w:cs="Times New Roman"/>
                <w:b w:val="0"/>
              </w:rPr>
            </w:pPr>
            <w:r>
              <w:rPr>
                <w:rFonts w:cs="Times New Roman"/>
                <w:b w:val="0"/>
              </w:rPr>
              <w:t>住宅建筑</w:t>
            </w:r>
          </w:p>
        </w:tc>
        <w:tc>
          <w:tcPr>
            <w:tcW w:w="4123" w:type="dxa"/>
            <w:vMerge w:val="restart"/>
            <w:vAlign w:val="center"/>
          </w:tcPr>
          <w:p>
            <w:pPr>
              <w:pStyle w:val="20"/>
              <w:snapToGrid w:val="0"/>
              <w:rPr>
                <w:rFonts w:cs="Times New Roman"/>
                <w:b w:val="0"/>
              </w:rPr>
            </w:pPr>
            <w:r>
              <w:rPr>
                <w:rFonts w:cs="Times New Roman"/>
                <w:b w:val="0"/>
              </w:rPr>
              <w:t>地下建筑面积与地上建筑面积的比率Rr</w:t>
            </w:r>
          </w:p>
          <w:p>
            <w:pPr>
              <w:pStyle w:val="20"/>
              <w:snapToGrid w:val="0"/>
              <w:rPr>
                <w:rFonts w:cs="Times New Roman"/>
                <w:b w:val="0"/>
              </w:rPr>
            </w:pPr>
            <w:r>
              <w:rPr>
                <w:rFonts w:cs="Times New Roman"/>
                <w:b w:val="0"/>
              </w:rPr>
              <w:t>地下一层建筑面积与总用地面积的比率Rp</w:t>
            </w:r>
          </w:p>
        </w:tc>
        <w:tc>
          <w:tcPr>
            <w:tcW w:w="1985" w:type="dxa"/>
            <w:vAlign w:val="center"/>
          </w:tcPr>
          <w:p>
            <w:pPr>
              <w:pStyle w:val="20"/>
              <w:snapToGrid w:val="0"/>
              <w:rPr>
                <w:rFonts w:cs="Times New Roman"/>
                <w:b w:val="0"/>
              </w:rPr>
            </w:pPr>
            <w:r>
              <w:rPr>
                <w:rFonts w:cs="Times New Roman"/>
                <w:b w:val="0"/>
              </w:rPr>
              <w:t>5%≤Rr&lt;20%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Rr≥20%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Rr≥35%且Rp&lt;60%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17" w:type="dxa"/>
            <w:vMerge w:val="restart"/>
            <w:vAlign w:val="center"/>
          </w:tcPr>
          <w:p>
            <w:pPr>
              <w:pStyle w:val="20"/>
              <w:snapToGrid w:val="0"/>
              <w:rPr>
                <w:rFonts w:cs="Times New Roman"/>
                <w:b w:val="0"/>
              </w:rPr>
            </w:pPr>
            <w:r>
              <w:rPr>
                <w:rFonts w:cs="Times New Roman"/>
                <w:b w:val="0"/>
              </w:rPr>
              <w:t>公共建筑</w:t>
            </w:r>
          </w:p>
        </w:tc>
        <w:tc>
          <w:tcPr>
            <w:tcW w:w="4123" w:type="dxa"/>
            <w:vMerge w:val="restart"/>
            <w:vAlign w:val="center"/>
          </w:tcPr>
          <w:p>
            <w:pPr>
              <w:pStyle w:val="20"/>
              <w:snapToGrid w:val="0"/>
              <w:rPr>
                <w:rFonts w:cs="Times New Roman"/>
                <w:b w:val="0"/>
              </w:rPr>
            </w:pPr>
            <w:r>
              <w:rPr>
                <w:rFonts w:cs="Times New Roman"/>
                <w:b w:val="0"/>
              </w:rPr>
              <w:t>地下建筑面积与总用地面积的比率Rp1</w:t>
            </w:r>
          </w:p>
          <w:p>
            <w:pPr>
              <w:pStyle w:val="20"/>
              <w:snapToGrid w:val="0"/>
              <w:rPr>
                <w:rFonts w:cs="Times New Roman"/>
                <w:b w:val="0"/>
              </w:rPr>
            </w:pPr>
            <w:r>
              <w:rPr>
                <w:rFonts w:cs="Times New Roman"/>
                <w:b w:val="0"/>
              </w:rPr>
              <w:t>地下一层建筑面积与总用地面积的比率Rp</w:t>
            </w:r>
          </w:p>
        </w:tc>
        <w:tc>
          <w:tcPr>
            <w:tcW w:w="1985" w:type="dxa"/>
            <w:vAlign w:val="center"/>
          </w:tcPr>
          <w:p>
            <w:pPr>
              <w:pStyle w:val="20"/>
              <w:snapToGrid w:val="0"/>
              <w:rPr>
                <w:rFonts w:cs="Times New Roman"/>
                <w:b w:val="0"/>
              </w:rPr>
            </w:pPr>
            <w:r>
              <w:rPr>
                <w:rFonts w:cs="Times New Roman"/>
                <w:b w:val="0"/>
              </w:rPr>
              <w:t>Rp1≥0.5</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Rp1≥0.7且Rp&lt;70%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17" w:type="dxa"/>
            <w:vMerge w:val="continue"/>
            <w:vAlign w:val="center"/>
          </w:tcPr>
          <w:p>
            <w:pPr>
              <w:pStyle w:val="20"/>
              <w:snapToGrid w:val="0"/>
              <w:rPr>
                <w:rFonts w:cs="Times New Roman"/>
                <w:b w:val="0"/>
              </w:rPr>
            </w:pPr>
          </w:p>
        </w:tc>
        <w:tc>
          <w:tcPr>
            <w:tcW w:w="4123" w:type="dxa"/>
            <w:vMerge w:val="continue"/>
            <w:vAlign w:val="center"/>
          </w:tcPr>
          <w:p>
            <w:pPr>
              <w:pStyle w:val="20"/>
              <w:snapToGrid w:val="0"/>
              <w:rPr>
                <w:rFonts w:cs="Times New Roman"/>
                <w:b w:val="0"/>
              </w:rPr>
            </w:pPr>
          </w:p>
        </w:tc>
        <w:tc>
          <w:tcPr>
            <w:tcW w:w="1985" w:type="dxa"/>
            <w:vAlign w:val="center"/>
          </w:tcPr>
          <w:p>
            <w:pPr>
              <w:pStyle w:val="20"/>
              <w:snapToGrid w:val="0"/>
              <w:rPr>
                <w:rFonts w:cs="Times New Roman"/>
                <w:b w:val="0"/>
              </w:rPr>
            </w:pPr>
            <w:r>
              <w:rPr>
                <w:rFonts w:cs="Times New Roman"/>
                <w:b w:val="0"/>
              </w:rPr>
              <w:t>Rp1≥1.0且Rp&lt;60%</w:t>
            </w:r>
          </w:p>
        </w:tc>
        <w:tc>
          <w:tcPr>
            <w:tcW w:w="769" w:type="dxa"/>
            <w:vAlign w:val="center"/>
          </w:tcPr>
          <w:p>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10</w:t>
            </w:r>
          </w:p>
        </w:tc>
      </w:tr>
    </w:tbl>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地下建筑面积与地上建筑面积的比率Rr</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地下建筑面积：___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地上建筑面积：___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地下建筑面积与地上建筑面积的比率</w:t>
      </w:r>
      <w:r>
        <w:rPr>
          <w:rFonts w:hint="eastAsia" w:ascii="Times New Roman" w:hAnsi="Times New Roman" w:eastAsia="宋体" w:cs="Times New Roman"/>
          <w:bCs/>
          <w:color w:val="000000"/>
          <w:szCs w:val="24"/>
          <w:lang w:val="zh-CN" w:eastAsia="zh-CN"/>
        </w:rPr>
        <w:t>为（</w:t>
      </w:r>
      <w:r>
        <w:rPr>
          <w:rFonts w:hint="eastAsia" w:ascii="Times New Roman" w:hAnsi="Times New Roman" w:eastAsia="宋体" w:cs="Times New Roman"/>
          <w:bCs/>
          <w:color w:val="000000"/>
          <w:szCs w:val="24"/>
          <w:lang w:val="en-US" w:eastAsia="zh-CN"/>
        </w:rPr>
        <w:t>Rr</w:t>
      </w:r>
      <w:r>
        <w:rPr>
          <w:rFonts w:hint="eastAsia" w:ascii="Times New Roman" w:hAnsi="Times New Roman" w:eastAsia="宋体" w:cs="Times New Roman"/>
          <w:bCs/>
          <w:color w:val="000000"/>
          <w:szCs w:val="24"/>
          <w:lang w:val="zh-CN" w:eastAsia="zh-CN"/>
        </w:rPr>
        <w:t>）：___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地下一层建筑面积与总用地面积的比率（Rp）：</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 xml:space="preserve">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地下空间主要功能为：</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公共建筑地下空间利用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地下建筑面积：___  m2</w:t>
      </w:r>
      <w:r>
        <w:rPr>
          <w:rFonts w:hint="eastAsia" w:ascii="Times New Roman" w:hAnsi="Times New Roman" w:eastAsia="宋体" w:cs="Times New Roman"/>
          <w:bCs/>
          <w:color w:val="000000"/>
          <w:szCs w:val="24"/>
          <w:lang w:val="en-US" w:eastAsia="zh-CN"/>
        </w:rPr>
        <w:t>总用地面积</w:t>
      </w:r>
      <w:r>
        <w:rPr>
          <w:rFonts w:hint="eastAsia" w:ascii="Times New Roman" w:hAnsi="Times New Roman" w:eastAsia="宋体" w:cs="Times New Roman"/>
          <w:bCs/>
          <w:color w:val="000000"/>
          <w:szCs w:val="24"/>
          <w:lang w:val="zh-CN" w:eastAsia="zh-CN"/>
        </w:rPr>
        <w:t>：___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地下建筑面积与总用地面积的比率（Rp1）</w:t>
      </w:r>
      <w:r>
        <w:rPr>
          <w:rFonts w:hint="eastAsia" w:ascii="Times New Roman" w:hAnsi="Times New Roman" w:eastAsia="宋体" w:cs="Times New Roman"/>
          <w:bCs/>
          <w:color w:val="000000"/>
          <w:szCs w:val="24"/>
          <w:lang w:val="zh-CN" w:eastAsia="zh-CN"/>
        </w:rPr>
        <w:t>为：___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地下空间主要功能为：__   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地下一层建筑面积</w:t>
      </w:r>
      <w:r>
        <w:rPr>
          <w:rFonts w:hint="eastAsia" w:ascii="Times New Roman" w:hAnsi="Times New Roman" w:eastAsia="宋体" w:cs="Times New Roman"/>
          <w:bCs/>
          <w:color w:val="000000"/>
          <w:szCs w:val="24"/>
          <w:lang w:val="zh-CN" w:eastAsia="zh-CN"/>
        </w:rPr>
        <w:t>：___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地下一层建筑面积与总用地面积的比率（</w:t>
      </w:r>
      <w:r>
        <w:rPr>
          <w:rFonts w:hint="eastAsia" w:ascii="Times New Roman" w:hAnsi="Times New Roman" w:eastAsia="宋体" w:cs="Times New Roman"/>
          <w:bCs/>
          <w:color w:val="000000"/>
          <w:szCs w:val="24"/>
          <w:lang w:val="en-US" w:eastAsia="zh-CN"/>
        </w:rPr>
        <w:t>Rp</w:t>
      </w:r>
      <w:r>
        <w:rPr>
          <w:rFonts w:hint="eastAsia" w:ascii="Times New Roman" w:hAnsi="Times New Roman" w:eastAsia="宋体" w:cs="Times New Roman"/>
          <w:bCs/>
          <w:color w:val="000000"/>
          <w:szCs w:val="24"/>
          <w:lang w:val="zh-CN" w:eastAsia="zh-CN"/>
        </w:rPr>
        <w:t>）为：___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简要说明地下空间开发利用的设计说明：包括该建筑的场地区位、地质条件、地下空间功能分区以及地下空间开发利用的合理性等简要进行阐述。（200字以内）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522" w:type="dxa"/>
          </w:tcPr>
          <w:p>
            <w:pPr>
              <w:spacing w:line="288" w:lineRule="auto"/>
              <w:ind w:firstLine="482" w:firstLineChars="200"/>
              <w:outlineLvl w:val="8"/>
              <w:rPr>
                <w:rFonts w:ascii="宋体" w:eastAsia="黑体"/>
                <w:b/>
                <w:bCs/>
                <w:kern w:val="44"/>
                <w:sz w:val="24"/>
              </w:rPr>
            </w:pPr>
          </w:p>
        </w:tc>
      </w:tr>
    </w:tbl>
    <w:p>
      <w:pPr>
        <w:rPr>
          <w:rFonts w:hint="eastAsia" w:eastAsia="宋体"/>
          <w:lang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3785"/>
        <w:gridCol w:w="1418"/>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85"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418"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785"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应包括总建筑面积、地上建筑面积、地下建筑面积等技术经济指标</w:t>
            </w:r>
          </w:p>
        </w:tc>
        <w:tc>
          <w:tcPr>
            <w:tcW w:w="1418"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3785"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建筑地下平面图，应体现地下空间功能分区及面积</w:t>
            </w:r>
          </w:p>
        </w:tc>
        <w:tc>
          <w:tcPr>
            <w:tcW w:w="1418" w:type="dxa"/>
            <w:tcBorders>
              <w:top w:val="single" w:color="auto" w:sz="6" w:space="0"/>
              <w:left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地下空间开发利用计算书</w:t>
            </w:r>
          </w:p>
        </w:tc>
        <w:tc>
          <w:tcPr>
            <w:tcW w:w="378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地下一层建筑面积与总用地面积的比率Rp2计算说明（指标要求与自评一致），还应包括地下建筑面积与总用地面积之比的计算过程及说明</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continue"/>
            <w:tcBorders>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378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应包括地下建筑面积与地上建筑面积比的计算过程及说明（指标要求与自评一致）</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364" w:type="dxa"/>
          </w:tcPr>
          <w:p>
            <w:pPr>
              <w:spacing w:line="288" w:lineRule="auto"/>
            </w:pPr>
          </w:p>
        </w:tc>
      </w:tr>
    </w:tbl>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7.2.3 采用机械式停车设施、地下停车库或地面停车楼等方式。</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住宅建筑地面停车位数量与住宅总套数的比率小于10％，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公共建筑地面停车占地面积与其总建设用地面积的比率小于8％，</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地下车库停车效率指标满足表7.2.3的评分规则，</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表7.2.3 地下车库停车效率指标评分规则</w:t>
      </w:r>
    </w:p>
    <w:tbl>
      <w:tblPr>
        <w:tblStyle w:val="9"/>
        <w:tblW w:w="8292" w:type="dxa"/>
        <w:jc w:val="center"/>
        <w:tblLayout w:type="fixed"/>
        <w:tblCellMar>
          <w:top w:w="0" w:type="dxa"/>
          <w:left w:w="108" w:type="dxa"/>
          <w:bottom w:w="0" w:type="dxa"/>
          <w:right w:w="108" w:type="dxa"/>
        </w:tblCellMar>
      </w:tblPr>
      <w:tblGrid>
        <w:gridCol w:w="1086"/>
        <w:gridCol w:w="3022"/>
        <w:gridCol w:w="2033"/>
        <w:gridCol w:w="2151"/>
      </w:tblGrid>
      <w:tr>
        <w:tblPrEx>
          <w:tblCellMar>
            <w:top w:w="0" w:type="dxa"/>
            <w:left w:w="108" w:type="dxa"/>
            <w:bottom w:w="0" w:type="dxa"/>
            <w:right w:w="108" w:type="dxa"/>
          </w:tblCellMar>
        </w:tblPrEx>
        <w:trPr>
          <w:jc w:val="center"/>
        </w:trPr>
        <w:tc>
          <w:tcPr>
            <w:tcW w:w="41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类型</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面积指标（</w:t>
            </w:r>
            <w:r>
              <w:rPr>
                <w:rFonts w:cs="Times New Roman"/>
                <w:b w:val="0"/>
              </w:rPr>
              <w:t>m</w:t>
            </w:r>
            <w:r>
              <w:rPr>
                <w:rFonts w:cs="Times New Roman"/>
                <w:b w:val="0"/>
                <w:szCs w:val="21"/>
                <w:vertAlign w:val="superscript"/>
              </w:rPr>
              <w:t>2</w:t>
            </w:r>
            <w:r>
              <w:rPr>
                <w:rFonts w:cs="Times New Roman"/>
                <w:b w:val="0"/>
                <w:szCs w:val="21"/>
              </w:rPr>
              <w:t>/</w:t>
            </w:r>
            <w:r>
              <w:rPr>
                <w:rFonts w:hint="eastAsia" w:cs="Times New Roman"/>
                <w:b w:val="0"/>
              </w:rPr>
              <w:t>辆）</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层高指标（</w:t>
            </w:r>
            <w:r>
              <w:rPr>
                <w:rFonts w:cs="Times New Roman"/>
                <w:b w:val="0"/>
              </w:rPr>
              <w:t>m</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不结合人防设计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非顶层</w:t>
            </w:r>
          </w:p>
        </w:tc>
        <w:tc>
          <w:tcPr>
            <w:tcW w:w="203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33</w:t>
            </w:r>
            <w:r>
              <w:rPr>
                <w:rFonts w:hint="eastAsia" w:cs="Times New Roman"/>
                <w:b w:val="0"/>
              </w:rPr>
              <w:t>（</w:t>
            </w:r>
            <w:r>
              <w:rPr>
                <w:rFonts w:cs="Times New Roman"/>
                <w:b w:val="0"/>
              </w:rPr>
              <w:t>38</w:t>
            </w:r>
            <w:r>
              <w:rPr>
                <w:rFonts w:hint="eastAsia" w:cs="Times New Roman"/>
                <w:b w:val="0"/>
              </w:rPr>
              <w:t>）</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3.9</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有绿化覆土或消防车道顶层</w:t>
            </w:r>
          </w:p>
        </w:tc>
        <w:tc>
          <w:tcPr>
            <w:tcW w:w="203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人防区域总建筑面积</w:t>
            </w:r>
            <w:r>
              <w:rPr>
                <w:rFonts w:cs="Times New Roman"/>
                <w:b w:val="0"/>
              </w:rPr>
              <w:t>&lt;1/2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40</w:t>
            </w:r>
            <w:r>
              <w:rPr>
                <w:rFonts w:hint="eastAsia" w:cs="Times New Roman"/>
                <w:b w:val="0"/>
              </w:rPr>
              <w:t>）</w:t>
            </w:r>
          </w:p>
        </w:tc>
        <w:tc>
          <w:tcPr>
            <w:tcW w:w="215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人防区域总建筑面积≥</w:t>
            </w:r>
            <w:r>
              <w:rPr>
                <w:rFonts w:cs="Times New Roman"/>
                <w:b w:val="0"/>
              </w:rPr>
              <w: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r>
              <w:rPr>
                <w:rFonts w:hint="eastAsia" w:cs="Times New Roman"/>
                <w:b w:val="0"/>
              </w:rPr>
              <w:t>≤</w:t>
            </w:r>
            <w:r>
              <w:rPr>
                <w:rFonts w:cs="Times New Roman"/>
                <w:b w:val="0"/>
              </w:rPr>
              <w:t>38</w:t>
            </w:r>
            <w:r>
              <w:rPr>
                <w:rFonts w:hint="eastAsia" w:cs="Times New Roman"/>
                <w:b w:val="0"/>
              </w:rPr>
              <w:t>（</w:t>
            </w:r>
            <w:r>
              <w:rPr>
                <w:rFonts w:cs="Times New Roman"/>
                <w:b w:val="0"/>
              </w:rPr>
              <w:t>42</w:t>
            </w:r>
            <w:r>
              <w:rPr>
                <w:rFonts w:hint="eastAsia" w:cs="Times New Roman"/>
                <w:b w:val="0"/>
              </w:rPr>
              <w:t>）</w:t>
            </w:r>
          </w:p>
        </w:tc>
        <w:tc>
          <w:tcPr>
            <w:tcW w:w="215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pStyle w:val="20"/>
              <w:rPr>
                <w:rFonts w:cs="Times New Roman"/>
                <w:b w:val="0"/>
                <w:szCs w:val="24"/>
              </w:rPr>
            </w:pPr>
          </w:p>
        </w:tc>
      </w:tr>
    </w:tbl>
    <w:p>
      <w:pPr>
        <w:spacing w:line="312" w:lineRule="auto"/>
        <w:ind w:firstLine="0" w:firstLineChars="0"/>
        <w:jc w:val="left"/>
        <w:rPr>
          <w:rFonts w:cs="Times New Roman"/>
          <w:sz w:val="18"/>
          <w:szCs w:val="18"/>
        </w:rPr>
      </w:pPr>
      <w:r>
        <w:rPr>
          <w:rFonts w:hint="eastAsia" w:cs="Times New Roman"/>
          <w:sz w:val="18"/>
          <w:szCs w:val="18"/>
        </w:rPr>
        <w:t>注：（1）无括号指标适用于居住建筑配套车库，括号内指标适用于公共建筑配套车库。</w:t>
      </w:r>
    </w:p>
    <w:p>
      <w:pPr>
        <w:spacing w:line="312" w:lineRule="auto"/>
        <w:ind w:firstLine="360"/>
        <w:jc w:val="left"/>
        <w:rPr>
          <w:rFonts w:cs="Times New Roman"/>
          <w:sz w:val="18"/>
          <w:szCs w:val="18"/>
        </w:rPr>
      </w:pPr>
      <w:r>
        <w:rPr>
          <w:rFonts w:hint="eastAsia" w:cs="Times New Roman"/>
          <w:sz w:val="18"/>
          <w:szCs w:val="18"/>
        </w:rPr>
        <w:t>（2）不结合人防设计的车库顶层，无绿化覆土或消防车道的采用非顶层指标。</w:t>
      </w:r>
    </w:p>
    <w:p>
      <w:pPr>
        <w:spacing w:line="312" w:lineRule="auto"/>
        <w:ind w:firstLine="360"/>
        <w:jc w:val="left"/>
        <w:rPr>
          <w:rFonts w:cs="Times New Roman"/>
          <w:sz w:val="18"/>
          <w:szCs w:val="18"/>
        </w:rPr>
      </w:pPr>
      <w:r>
        <w:rPr>
          <w:rFonts w:hint="eastAsia" w:cs="Times New Roman"/>
          <w:sz w:val="18"/>
          <w:szCs w:val="18"/>
        </w:rPr>
        <w:t>（3）不适用于机械式停车库。</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采用机械式停车设施，其停车数量与总体停车数量的比率大于50%，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
          <w:bCs w:val="0"/>
          <w:color w:val="000000"/>
          <w:szCs w:val="24"/>
          <w:lang w:val="en-US" w:eastAsia="zh-CN"/>
        </w:rPr>
        <w:t xml:space="preserve"> 住宅建筑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停车位数量与住宅总套数比例：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 </w:t>
      </w:r>
      <w:r>
        <w:rPr>
          <w:rFonts w:hint="eastAsia" w:ascii="Times New Roman" w:hAnsi="Times New Roman" w:eastAsia="宋体" w:cs="Times New Roman"/>
          <w:b/>
          <w:bCs w:val="0"/>
          <w:color w:val="000000"/>
          <w:szCs w:val="24"/>
          <w:lang w:val="en-US"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地面停车占地面积与其总建设用地面积的比比例：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应注明停车设施位置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地面停车率计算书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车位优化分析报告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364" w:type="dxa"/>
          </w:tcPr>
          <w:p>
            <w:pPr>
              <w:spacing w:line="288" w:lineRule="auto"/>
            </w:pPr>
          </w:p>
        </w:tc>
      </w:tr>
    </w:tbl>
    <w:p/>
    <w:p/>
    <w:p/>
    <w:p/>
    <w:p/>
    <w:p/>
    <w:p/>
    <w:p/>
    <w:p/>
    <w:p/>
    <w:p/>
    <w:p/>
    <w:p/>
    <w:p/>
    <w:p/>
    <w:p/>
    <w:p/>
    <w:p/>
    <w:p/>
    <w:p/>
    <w:p/>
    <w:p/>
    <w:p/>
    <w:p/>
    <w:p/>
    <w:p/>
    <w:p/>
    <w:p/>
    <w:p/>
    <w:p/>
    <w:p/>
    <w:p/>
    <w:p>
      <w:pPr>
        <w:pStyle w:val="3"/>
        <w:spacing w:line="288" w:lineRule="auto"/>
        <w:jc w:val="center"/>
        <w:rPr>
          <w:rFonts w:hint="eastAsia" w:ascii="宋体" w:hAnsi="宋体" w:eastAsia="宋体" w:cs="宋体"/>
        </w:rPr>
      </w:pPr>
      <w:bookmarkStart w:id="73" w:name="_Toc22221584"/>
      <w:bookmarkStart w:id="74" w:name="_Toc35364751"/>
      <w:r>
        <w:rPr>
          <w:rFonts w:hint="eastAsia" w:ascii="宋体" w:hAnsi="宋体" w:eastAsia="宋体" w:cs="宋体"/>
        </w:rPr>
        <w:t>Ⅱ 节能与能源利用</w:t>
      </w:r>
      <w:bookmarkEnd w:id="73"/>
      <w:bookmarkEnd w:id="74"/>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7.2.4 优化建筑围护结构的热工性能。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围护结构热工性能比国家和重庆现行相关建筑节能设计标准规定的提高幅度达到5％，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6分；达到10％，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9分；达到15％，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12分。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建筑供暖空调负荷降低5％，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6分；降低10％，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9分；降低15％，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12分。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围护结构热工性能指标：</w:t>
      </w:r>
    </w:p>
    <w:tbl>
      <w:tblPr>
        <w:tblStyle w:val="9"/>
        <w:tblW w:w="82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567"/>
        <w:gridCol w:w="345"/>
        <w:gridCol w:w="789"/>
        <w:gridCol w:w="1417"/>
        <w:gridCol w:w="851"/>
        <w:gridCol w:w="850"/>
        <w:gridCol w:w="952"/>
        <w:gridCol w:w="749"/>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热工参数</w:t>
            </w:r>
          </w:p>
        </w:tc>
        <w:tc>
          <w:tcPr>
            <w:tcW w:w="1417"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单位</w:t>
            </w:r>
          </w:p>
        </w:tc>
        <w:tc>
          <w:tcPr>
            <w:tcW w:w="2653"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参评建筑</w:t>
            </w:r>
          </w:p>
        </w:tc>
        <w:tc>
          <w:tcPr>
            <w:tcW w:w="749"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参照建筑</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性能提高比例</w:t>
            </w:r>
          </w:p>
          <w:p>
            <w:pPr>
              <w:widowControl/>
              <w:spacing w:line="288" w:lineRule="auto"/>
              <w:jc w:val="center"/>
              <w:rPr>
                <w:kern w:val="0"/>
                <w:szCs w:val="21"/>
              </w:rPr>
            </w:pPr>
            <w:r>
              <w:rPr>
                <w:rFonts w:hint="eastAsia" w:cs="宋体"/>
                <w:kern w:val="0"/>
                <w:szCs w:val="21"/>
              </w:rPr>
              <w:t>（</w:t>
            </w:r>
            <w:r>
              <w:rPr>
                <w:rFonts w:cs="宋体"/>
                <w:kern w:val="0"/>
                <w:szCs w:val="21"/>
              </w:rPr>
              <w:t>%</w:t>
            </w:r>
            <w:r>
              <w:rPr>
                <w:rFonts w:hint="eastAsia"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w:t>
            </w: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w:t>
            </w: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类型</w:t>
            </w:r>
            <w:r>
              <w:rPr>
                <w:rFonts w:cs="宋体"/>
                <w:kern w:val="0"/>
                <w:szCs w:val="21"/>
              </w:rPr>
              <w:t>III</w:t>
            </w:r>
          </w:p>
        </w:tc>
        <w:tc>
          <w:tcPr>
            <w:tcW w:w="749"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cs="宋体"/>
                <w:kern w:val="0"/>
                <w:szCs w:val="21"/>
              </w:rPr>
              <w:t>体形系数</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rFonts w:cs="宋体"/>
                <w:kern w:val="0"/>
                <w:szCs w:val="21"/>
              </w:rPr>
            </w:pPr>
            <w:r>
              <w:rPr>
                <w:rFonts w:cs="宋体"/>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窗墙比</w:t>
            </w: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屋顶透明部分面积比例</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numPr>
                <w:ilvl w:val="0"/>
                <w:numId w:val="8"/>
              </w:numPr>
              <w:tabs>
                <w:tab w:val="left" w:pos="420"/>
              </w:tabs>
              <w:spacing w:line="288" w:lineRule="auto"/>
              <w:ind w:firstLine="0"/>
              <w:jc w:val="center"/>
              <w:rPr>
                <w:kern w:val="0"/>
                <w:szCs w:val="21"/>
              </w:rPr>
            </w:pPr>
            <w:r>
              <w:rPr>
                <w:rFonts w:cs="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屋面传热系数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外墙（包括非透明幕墙）传热系数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底面接触室外空气的架空或外挑楼板传热系数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外窗（包括透明幕墙）</w:t>
            </w:r>
          </w:p>
        </w:tc>
        <w:tc>
          <w:tcPr>
            <w:tcW w:w="912" w:type="dxa"/>
            <w:gridSpan w:val="2"/>
            <w:vMerge w:val="restart"/>
            <w:tcBorders>
              <w:top w:val="single" w:color="auto" w:sz="8" w:space="0"/>
              <w:left w:val="single" w:color="auto" w:sz="8" w:space="0"/>
              <w:bottom w:val="single" w:color="auto" w:sz="8" w:space="0"/>
              <w:right w:val="single" w:color="auto" w:sz="8" w:space="0"/>
            </w:tcBorders>
          </w:tcPr>
          <w:p>
            <w:r>
              <w:rPr>
                <w:kern w:val="0"/>
                <w:szCs w:val="21"/>
              </w:rPr>
              <w:t>W/(m</w:t>
            </w:r>
            <w:r>
              <w:rPr>
                <w:kern w:val="0"/>
                <w:szCs w:val="21"/>
                <w:vertAlign w:val="superscript"/>
              </w:rPr>
              <w:t>2</w:t>
            </w:r>
            <w:r>
              <w:rPr>
                <w:rFonts w:hint="eastAsia"/>
                <w:kern w:val="0"/>
                <w:szCs w:val="21"/>
              </w:rPr>
              <w:t>·</w:t>
            </w:r>
            <w:r>
              <w:rPr>
                <w:kern w:val="0"/>
                <w:szCs w:val="21"/>
              </w:rPr>
              <w:t>K)</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屋顶透明部分</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遮阳系数</w:t>
            </w:r>
            <w:r>
              <w:rPr>
                <w:kern w:val="0"/>
                <w:szCs w:val="21"/>
              </w:rPr>
              <w:t>SC</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地面</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地下室外墙</w:t>
            </w:r>
          </w:p>
        </w:tc>
        <w:tc>
          <w:tcPr>
            <w:tcW w:w="1701" w:type="dxa"/>
            <w:gridSpan w:val="3"/>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288" w:lineRule="auto"/>
              <w:jc w:val="center"/>
              <w:rPr>
                <w:kern w:val="0"/>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供暖空调全年计算负荷：</w:t>
      </w:r>
    </w:p>
    <w:tbl>
      <w:tblPr>
        <w:tblStyle w:val="9"/>
        <w:tblW w:w="0" w:type="auto"/>
        <w:tblInd w:w="108" w:type="dxa"/>
        <w:tblLayout w:type="fixed"/>
        <w:tblCellMar>
          <w:top w:w="0" w:type="dxa"/>
          <w:left w:w="108" w:type="dxa"/>
          <w:bottom w:w="0" w:type="dxa"/>
          <w:right w:w="108" w:type="dxa"/>
        </w:tblCellMar>
      </w:tblPr>
      <w:tblGrid>
        <w:gridCol w:w="3162"/>
        <w:gridCol w:w="1569"/>
        <w:gridCol w:w="2358"/>
        <w:gridCol w:w="1275"/>
      </w:tblGrid>
      <w:tr>
        <w:tblPrEx>
          <w:tblCellMar>
            <w:top w:w="0" w:type="dxa"/>
            <w:left w:w="108" w:type="dxa"/>
            <w:bottom w:w="0" w:type="dxa"/>
            <w:right w:w="108" w:type="dxa"/>
          </w:tblCellMar>
        </w:tblPrEx>
        <w:trPr>
          <w:cantSplit/>
          <w:trHeight w:val="285" w:hRule="atLeast"/>
        </w:trPr>
        <w:tc>
          <w:tcPr>
            <w:tcW w:w="3162" w:type="dxa"/>
            <w:tcBorders>
              <w:top w:val="single" w:color="auto" w:sz="8" w:space="0"/>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p>
        </w:tc>
        <w:tc>
          <w:tcPr>
            <w:tcW w:w="1569" w:type="dxa"/>
            <w:tcBorders>
              <w:top w:val="single" w:color="auto" w:sz="8" w:space="0"/>
              <w:left w:val="nil"/>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单位</w:t>
            </w:r>
          </w:p>
        </w:tc>
        <w:tc>
          <w:tcPr>
            <w:tcW w:w="2358" w:type="dxa"/>
            <w:tcBorders>
              <w:top w:val="single" w:color="auto" w:sz="8" w:space="0"/>
              <w:left w:val="nil"/>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参照建筑（限值）</w:t>
            </w:r>
          </w:p>
        </w:tc>
        <w:tc>
          <w:tcPr>
            <w:tcW w:w="1275" w:type="dxa"/>
            <w:tcBorders>
              <w:top w:val="single" w:color="auto" w:sz="8" w:space="0"/>
              <w:left w:val="nil"/>
              <w:bottom w:val="single" w:color="auto" w:sz="4" w:space="0"/>
              <w:right w:val="single" w:color="auto" w:sz="8" w:space="0"/>
            </w:tcBorders>
            <w:vAlign w:val="center"/>
          </w:tcPr>
          <w:p>
            <w:pPr>
              <w:widowControl/>
              <w:spacing w:line="288" w:lineRule="auto"/>
              <w:jc w:val="center"/>
              <w:rPr>
                <w:rFonts w:cs="宋体"/>
                <w:kern w:val="0"/>
                <w:szCs w:val="21"/>
              </w:rPr>
            </w:pPr>
            <w:r>
              <w:rPr>
                <w:rFonts w:hint="eastAsia" w:cs="宋体"/>
                <w:kern w:val="0"/>
                <w:szCs w:val="21"/>
              </w:rPr>
              <w:t>实际建筑</w:t>
            </w: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全年采暖负荷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全年空调负荷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全年总负荷</w:t>
            </w:r>
          </w:p>
        </w:tc>
        <w:tc>
          <w:tcPr>
            <w:tcW w:w="1569" w:type="dxa"/>
            <w:tcBorders>
              <w:top w:val="nil"/>
              <w:left w:val="nil"/>
              <w:bottom w:val="single" w:color="auto" w:sz="4" w:space="0"/>
              <w:right w:val="single" w:color="auto" w:sz="4" w:space="0"/>
            </w:tcBorders>
            <w:vAlign w:val="center"/>
          </w:tcPr>
          <w:p>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pPr>
              <w:spacing w:line="288" w:lineRule="auto"/>
              <w:jc w:val="center"/>
              <w:rPr>
                <w:szCs w:val="21"/>
              </w:rPr>
            </w:pPr>
          </w:p>
        </w:tc>
        <w:tc>
          <w:tcPr>
            <w:tcW w:w="1275" w:type="dxa"/>
            <w:tcBorders>
              <w:top w:val="nil"/>
              <w:left w:val="nil"/>
              <w:bottom w:val="single" w:color="auto" w:sz="4" w:space="0"/>
              <w:right w:val="single" w:color="auto" w:sz="8" w:space="0"/>
            </w:tcBorders>
          </w:tcPr>
          <w:p>
            <w:pPr>
              <w:spacing w:line="288" w:lineRule="auto"/>
              <w:jc w:val="center"/>
              <w:rPr>
                <w:szCs w:val="21"/>
              </w:rPr>
            </w:pPr>
          </w:p>
        </w:tc>
      </w:tr>
      <w:tr>
        <w:tblPrEx>
          <w:tblCellMar>
            <w:top w:w="0" w:type="dxa"/>
            <w:left w:w="108" w:type="dxa"/>
            <w:bottom w:w="0" w:type="dxa"/>
            <w:right w:w="108" w:type="dxa"/>
          </w:tblCellMar>
        </w:tblPrEx>
        <w:trPr>
          <w:cantSplit/>
          <w:trHeight w:val="300" w:hRule="atLeast"/>
        </w:trPr>
        <w:tc>
          <w:tcPr>
            <w:tcW w:w="3162" w:type="dxa"/>
            <w:tcBorders>
              <w:top w:val="nil"/>
              <w:left w:val="single" w:color="auto" w:sz="8" w:space="0"/>
              <w:bottom w:val="single" w:color="auto" w:sz="8" w:space="0"/>
              <w:right w:val="single" w:color="auto" w:sz="4" w:space="0"/>
            </w:tcBorders>
            <w:vAlign w:val="center"/>
          </w:tcPr>
          <w:p>
            <w:pPr>
              <w:widowControl/>
              <w:spacing w:line="288" w:lineRule="auto"/>
              <w:jc w:val="center"/>
              <w:rPr>
                <w:rFonts w:cs="宋体"/>
                <w:kern w:val="0"/>
                <w:szCs w:val="21"/>
              </w:rPr>
            </w:pPr>
            <w:r>
              <w:rPr>
                <w:rFonts w:hint="eastAsia"/>
                <w:kern w:val="0"/>
                <w:szCs w:val="21"/>
              </w:rPr>
              <w:t>负荷</w:t>
            </w:r>
            <w:r>
              <w:rPr>
                <w:rFonts w:hint="eastAsia" w:cs="宋体"/>
                <w:kern w:val="0"/>
                <w:szCs w:val="21"/>
              </w:rPr>
              <w:t>降低幅度</w:t>
            </w:r>
          </w:p>
        </w:tc>
        <w:tc>
          <w:tcPr>
            <w:tcW w:w="1569" w:type="dxa"/>
            <w:tcBorders>
              <w:top w:val="nil"/>
              <w:left w:val="nil"/>
              <w:bottom w:val="single" w:color="auto" w:sz="8" w:space="0"/>
              <w:right w:val="single" w:color="auto" w:sz="4" w:space="0"/>
            </w:tcBorders>
            <w:vAlign w:val="center"/>
          </w:tcPr>
          <w:p>
            <w:pPr>
              <w:widowControl/>
              <w:spacing w:line="288" w:lineRule="auto"/>
              <w:jc w:val="center"/>
              <w:rPr>
                <w:rFonts w:cs="宋体"/>
                <w:kern w:val="0"/>
                <w:szCs w:val="21"/>
              </w:rPr>
            </w:pPr>
            <w:r>
              <w:rPr>
                <w:rFonts w:hint="eastAsia" w:cs="宋体"/>
                <w:kern w:val="0"/>
                <w:szCs w:val="21"/>
              </w:rPr>
              <w:t>％</w:t>
            </w:r>
          </w:p>
        </w:tc>
        <w:tc>
          <w:tcPr>
            <w:tcW w:w="3633" w:type="dxa"/>
            <w:gridSpan w:val="2"/>
            <w:tcBorders>
              <w:top w:val="nil"/>
              <w:left w:val="nil"/>
              <w:bottom w:val="single" w:color="auto" w:sz="8" w:space="0"/>
              <w:right w:val="single" w:color="auto" w:sz="8" w:space="0"/>
            </w:tcBorders>
            <w:vAlign w:val="center"/>
          </w:tcPr>
          <w:p>
            <w:pPr>
              <w:pStyle w:val="14"/>
              <w:spacing w:line="288" w:lineRule="auto"/>
              <w:ind w:firstLine="360"/>
              <w:jc w:val="center"/>
              <w:outlineLvl w:val="9"/>
              <w:rPr>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应说明建筑围护结构详细做法</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应说明建筑围护结构热工性能指标，包括传热系数、遮阳系数以及门窗和玻璃幕墙气密性等指标</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围护结构施工详图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围护结构热工性能参数表</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应体现围护结构做法及性能指标，包括传热系数、遮阳系数以及门窗和玻璃幕墙气密性等指标</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与参照建筑相比，设计建筑通过围护结构热工性能改善而使全年供暖空调能耗降低的百分数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供暖空调全年计算负荷分析报告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应对集中供暖空调系统的室内设计参数进行说明，包括房间内的温度、湿度、新风量等以及参照的设计标准</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64" w:type="dxa"/>
          </w:tcPr>
          <w:p>
            <w:pPr>
              <w:spacing w:line="288" w:lineRule="auto"/>
            </w:pPr>
          </w:p>
        </w:tc>
      </w:tr>
    </w:tbl>
    <w:p>
      <w:pPr>
        <w:rPr>
          <w:b/>
          <w:bCs/>
        </w:rPr>
      </w:pPr>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7.2.5 供暖空调系统的冷、热源机组能效均优于现行国家标准《公共建筑节能设计标准》（GB50189）的规定以及现行有关国家标准能效限定值的要求。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表7.2.5 冷、热源机组能效提升幅度评分规则</w:t>
      </w:r>
    </w:p>
    <w:tbl>
      <w:tblPr>
        <w:tblStyle w:val="9"/>
        <w:tblW w:w="8302" w:type="dxa"/>
        <w:jc w:val="center"/>
        <w:tblLayout w:type="fixed"/>
        <w:tblCellMar>
          <w:top w:w="0" w:type="dxa"/>
          <w:left w:w="108" w:type="dxa"/>
          <w:bottom w:w="0" w:type="dxa"/>
          <w:right w:w="108" w:type="dxa"/>
        </w:tblCellMar>
      </w:tblPr>
      <w:tblGrid>
        <w:gridCol w:w="1071"/>
        <w:gridCol w:w="1372"/>
        <w:gridCol w:w="1854"/>
        <w:gridCol w:w="1374"/>
        <w:gridCol w:w="1313"/>
        <w:gridCol w:w="1318"/>
      </w:tblGrid>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机组类型</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能效指标</w:t>
            </w:r>
          </w:p>
        </w:tc>
        <w:tc>
          <w:tcPr>
            <w:tcW w:w="137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参照标准</w:t>
            </w:r>
          </w:p>
        </w:tc>
        <w:tc>
          <w:tcPr>
            <w:tcW w:w="2631"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评分要求</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电机驱动的蒸气压缩循环冷水（热泵）机组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制冷性能系数（COP）</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现行国家标准《公共建筑节能设计标准》GB 50189</w:t>
            </w: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直燃性溴化锂吸收式冷（温）水机组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单元式空气调节机、风管送风和屋顶式空调机组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能效比（EER）</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提高12%</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多联式空调（热泵）机组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制冷综合性能系数（IPLV（C））</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提高8%</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提高16%</w:t>
            </w:r>
          </w:p>
        </w:tc>
      </w:tr>
      <w:tr>
        <w:tblPrEx>
          <w:tblCellMar>
            <w:top w:w="0" w:type="dxa"/>
            <w:left w:w="108" w:type="dxa"/>
            <w:bottom w:w="0" w:type="dxa"/>
            <w:right w:w="108" w:type="dxa"/>
          </w:tblCellMar>
        </w:tblPrEx>
        <w:trPr>
          <w:jc w:val="center"/>
        </w:trPr>
        <w:tc>
          <w:tcPr>
            <w:tcW w:w="1071"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锅炉</w:t>
            </w:r>
          </w:p>
        </w:tc>
        <w:tc>
          <w:tcPr>
            <w:tcW w:w="1372"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燃煤</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提高3个百分点</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提高6个百分点</w:t>
            </w:r>
          </w:p>
        </w:tc>
      </w:tr>
      <w:tr>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72"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燃油燃气</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提高2个百分点</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提高4个百分点</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房间空气调节器</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额定制冷量（CC）</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现行有关国家标准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节能评价值</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1级能效等级限值</w:t>
            </w: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家用燃气热水炉</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热效率值（η）</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r>
      <w:tr>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蒸汽型溴化锂吸收式冷水机组</w:t>
            </w:r>
          </w:p>
        </w:tc>
        <w:tc>
          <w:tcPr>
            <w:tcW w:w="1854"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p>
        </w:tc>
      </w:tr>
      <w:tr>
        <w:tblPrEx>
          <w:tblCellMar>
            <w:top w:w="0" w:type="dxa"/>
            <w:left w:w="108" w:type="dxa"/>
            <w:bottom w:w="0" w:type="dxa"/>
            <w:right w:w="108" w:type="dxa"/>
          </w:tblCellMar>
        </w:tblPrEx>
        <w:trPr>
          <w:jc w:val="center"/>
        </w:trPr>
        <w:tc>
          <w:tcPr>
            <w:tcW w:w="5671" w:type="dxa"/>
            <w:gridSpan w:val="4"/>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cs="Times New Roman"/>
                <w:b w:val="0"/>
              </w:rPr>
              <w:t>得分</w:t>
            </w:r>
          </w:p>
        </w:tc>
        <w:tc>
          <w:tcPr>
            <w:tcW w:w="1313"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hint="eastAsia" w:ascii="宋体" w:hAnsi="宋体"/>
                <w:b w:val="0"/>
                <w:bCs w:val="0"/>
                <w:szCs w:val="21"/>
                <w:lang w:val="zh-CN"/>
              </w:rPr>
              <w:t>□</w:t>
            </w:r>
            <w:r>
              <w:rPr>
                <w:rFonts w:cs="Times New Roman"/>
                <w:b w:val="0"/>
              </w:rPr>
              <w:t>4分</w:t>
            </w:r>
          </w:p>
        </w:tc>
        <w:tc>
          <w:tcPr>
            <w:tcW w:w="1318" w:type="dxa"/>
            <w:tcBorders>
              <w:top w:val="single" w:color="auto" w:sz="4" w:space="0"/>
              <w:left w:val="single" w:color="auto" w:sz="4" w:space="0"/>
              <w:bottom w:val="single" w:color="auto" w:sz="4" w:space="0"/>
              <w:right w:val="single" w:color="auto" w:sz="4" w:space="0"/>
            </w:tcBorders>
            <w:vAlign w:val="center"/>
          </w:tcPr>
          <w:p>
            <w:pPr>
              <w:pStyle w:val="20"/>
              <w:rPr>
                <w:rFonts w:cs="Times New Roman"/>
                <w:b w:val="0"/>
              </w:rPr>
            </w:pPr>
            <w:r>
              <w:rPr>
                <w:rFonts w:hint="eastAsia" w:ascii="宋体" w:hAnsi="宋体"/>
                <w:b w:val="0"/>
                <w:bCs w:val="0"/>
                <w:szCs w:val="21"/>
                <w:lang w:val="zh-CN"/>
              </w:rPr>
              <w:t>□</w:t>
            </w:r>
            <w:r>
              <w:rPr>
                <w:rFonts w:cs="Times New Roman"/>
                <w:b w:val="0"/>
              </w:rPr>
              <w:t>8分</w:t>
            </w:r>
          </w:p>
        </w:tc>
      </w:tr>
    </w:tbl>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
          <w:bCs w:val="0"/>
          <w:color w:val="000000"/>
          <w:szCs w:val="24"/>
          <w:lang w:val="en-US" w:eastAsia="zh-CN"/>
        </w:rPr>
        <w:t>供暖空调系统的冷、热源机组能效：</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简要说明系统冷热源形式：（100字以内）</w:t>
      </w:r>
    </w:p>
    <w:tbl>
      <w:tblPr>
        <w:tblStyle w:val="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402" w:type="dxa"/>
          </w:tcPr>
          <w:p>
            <w:pPr>
              <w:spacing w:line="288" w:lineRule="auto"/>
              <w:rPr>
                <w:szCs w:val="21"/>
              </w:rPr>
            </w:pPr>
          </w:p>
        </w:tc>
      </w:tr>
    </w:tbl>
    <w:p>
      <w:pPr>
        <w:spacing w:line="288" w:lineRule="auto"/>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冷热源机组性能参数</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电机驱动的蒸气压缩循环冷水（热泵）机组：</w:t>
      </w:r>
    </w:p>
    <w:tbl>
      <w:tblPr>
        <w:tblStyle w:val="9"/>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39"/>
        <w:gridCol w:w="732"/>
        <w:gridCol w:w="2099"/>
        <w:gridCol w:w="966"/>
        <w:gridCol w:w="1194"/>
        <w:gridCol w:w="1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restart"/>
            <w:vAlign w:val="center"/>
          </w:tcPr>
          <w:p>
            <w:pPr>
              <w:widowControl/>
              <w:spacing w:line="288" w:lineRule="auto"/>
              <w:jc w:val="center"/>
              <w:rPr>
                <w:kern w:val="0"/>
                <w:szCs w:val="21"/>
              </w:rPr>
            </w:pPr>
            <w:r>
              <w:rPr>
                <w:rFonts w:hint="eastAsia"/>
                <w:kern w:val="0"/>
                <w:szCs w:val="21"/>
              </w:rPr>
              <w:t>类型</w:t>
            </w:r>
          </w:p>
        </w:tc>
        <w:tc>
          <w:tcPr>
            <w:tcW w:w="732" w:type="dxa"/>
            <w:vMerge w:val="restart"/>
            <w:vAlign w:val="center"/>
          </w:tcPr>
          <w:p>
            <w:pPr>
              <w:widowControl/>
              <w:spacing w:line="288" w:lineRule="auto"/>
              <w:jc w:val="center"/>
              <w:rPr>
                <w:kern w:val="0"/>
                <w:szCs w:val="21"/>
              </w:rPr>
            </w:pPr>
            <w:r>
              <w:rPr>
                <w:rFonts w:hint="eastAsia"/>
                <w:kern w:val="0"/>
                <w:szCs w:val="21"/>
              </w:rPr>
              <w:t>设备型号</w:t>
            </w:r>
          </w:p>
        </w:tc>
        <w:tc>
          <w:tcPr>
            <w:tcW w:w="2099"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160" w:type="dxa"/>
            <w:gridSpan w:val="2"/>
            <w:vAlign w:val="center"/>
          </w:tcPr>
          <w:p>
            <w:pPr>
              <w:widowControl/>
              <w:spacing w:line="288" w:lineRule="auto"/>
              <w:jc w:val="center"/>
              <w:rPr>
                <w:kern w:val="0"/>
                <w:szCs w:val="21"/>
              </w:rPr>
            </w:pPr>
            <w:r>
              <w:rPr>
                <w:rFonts w:hint="eastAsia"/>
                <w:kern w:val="0"/>
                <w:szCs w:val="21"/>
              </w:rPr>
              <w:t>性能系数</w:t>
            </w:r>
            <w:r>
              <w:rPr>
                <w:kern w:val="0"/>
                <w:szCs w:val="21"/>
              </w:rPr>
              <w:t>COP</w:t>
            </w:r>
            <w:r>
              <w:rPr>
                <w:rFonts w:hint="eastAsia"/>
                <w:kern w:val="0"/>
                <w:szCs w:val="21"/>
              </w:rPr>
              <w:t>（</w:t>
            </w:r>
            <w:r>
              <w:rPr>
                <w:kern w:val="0"/>
                <w:szCs w:val="21"/>
              </w:rPr>
              <w:t>W/W</w:t>
            </w:r>
            <w:r>
              <w:rPr>
                <w:rFonts w:hint="eastAsia"/>
                <w:kern w:val="0"/>
                <w:szCs w:val="21"/>
              </w:rPr>
              <w:t>）</w:t>
            </w:r>
          </w:p>
        </w:tc>
        <w:tc>
          <w:tcPr>
            <w:tcW w:w="107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continue"/>
            <w:vAlign w:val="center"/>
          </w:tcPr>
          <w:p>
            <w:pPr>
              <w:widowControl/>
              <w:spacing w:line="288" w:lineRule="auto"/>
              <w:jc w:val="center"/>
              <w:rPr>
                <w:kern w:val="0"/>
                <w:szCs w:val="21"/>
              </w:rPr>
            </w:pPr>
          </w:p>
        </w:tc>
        <w:tc>
          <w:tcPr>
            <w:tcW w:w="732" w:type="dxa"/>
            <w:vMerge w:val="continue"/>
            <w:vAlign w:val="center"/>
          </w:tcPr>
          <w:p>
            <w:pPr>
              <w:widowControl/>
              <w:spacing w:line="288" w:lineRule="auto"/>
              <w:jc w:val="center"/>
              <w:rPr>
                <w:kern w:val="0"/>
                <w:szCs w:val="21"/>
              </w:rPr>
            </w:pPr>
          </w:p>
        </w:tc>
        <w:tc>
          <w:tcPr>
            <w:tcW w:w="2099" w:type="dxa"/>
            <w:vMerge w:val="continue"/>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r>
              <w:rPr>
                <w:rFonts w:hint="eastAsia"/>
                <w:kern w:val="0"/>
                <w:szCs w:val="21"/>
              </w:rPr>
              <w:t>设计值</w:t>
            </w:r>
          </w:p>
        </w:tc>
        <w:tc>
          <w:tcPr>
            <w:tcW w:w="1194" w:type="dxa"/>
            <w:vAlign w:val="center"/>
          </w:tcPr>
          <w:p>
            <w:pPr>
              <w:widowControl/>
              <w:spacing w:line="288" w:lineRule="auto"/>
              <w:jc w:val="center"/>
              <w:rPr>
                <w:kern w:val="0"/>
                <w:szCs w:val="21"/>
              </w:rPr>
            </w:pPr>
            <w:r>
              <w:rPr>
                <w:rFonts w:hint="eastAsia"/>
                <w:kern w:val="0"/>
                <w:szCs w:val="21"/>
              </w:rPr>
              <w:t>标准规定</w:t>
            </w:r>
          </w:p>
        </w:tc>
        <w:tc>
          <w:tcPr>
            <w:tcW w:w="1075" w:type="dxa"/>
            <w:vMerge w:val="continue"/>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水冷</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离心式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pPr>
              <w:widowControl/>
              <w:spacing w:line="288" w:lineRule="auto"/>
              <w:jc w:val="center"/>
              <w:rPr>
                <w:kern w:val="0"/>
                <w:szCs w:val="21"/>
              </w:rPr>
            </w:pPr>
            <w:r>
              <w:rPr>
                <w:rFonts w:hint="eastAsia"/>
                <w:kern w:val="0"/>
                <w:szCs w:val="21"/>
              </w:rPr>
              <w:t>风冷或蒸发冷却</w:t>
            </w:r>
          </w:p>
        </w:tc>
        <w:tc>
          <w:tcPr>
            <w:tcW w:w="1639" w:type="dxa"/>
            <w:vMerge w:val="restart"/>
            <w:vAlign w:val="center"/>
          </w:tcPr>
          <w:p>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restart"/>
            <w:vAlign w:val="center"/>
          </w:tcPr>
          <w:p>
            <w:pPr>
              <w:widowControl/>
              <w:spacing w:line="288" w:lineRule="auto"/>
              <w:jc w:val="center"/>
              <w:rPr>
                <w:kern w:val="0"/>
                <w:szCs w:val="21"/>
              </w:rPr>
            </w:pPr>
            <w:r>
              <w:rPr>
                <w:rFonts w:hint="eastAsia"/>
                <w:kern w:val="0"/>
                <w:szCs w:val="21"/>
              </w:rPr>
              <w:t>螺杆式</w:t>
            </w: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pPr>
              <w:widowControl/>
              <w:spacing w:line="288" w:lineRule="auto"/>
              <w:jc w:val="center"/>
              <w:rPr>
                <w:kern w:val="0"/>
                <w:szCs w:val="21"/>
              </w:rPr>
            </w:pPr>
          </w:p>
        </w:tc>
        <w:tc>
          <w:tcPr>
            <w:tcW w:w="1639" w:type="dxa"/>
            <w:vMerge w:val="continue"/>
            <w:vAlign w:val="center"/>
          </w:tcPr>
          <w:p>
            <w:pPr>
              <w:widowControl/>
              <w:spacing w:line="288" w:lineRule="auto"/>
              <w:jc w:val="center"/>
              <w:rPr>
                <w:kern w:val="0"/>
                <w:szCs w:val="21"/>
              </w:rPr>
            </w:pPr>
          </w:p>
        </w:tc>
        <w:tc>
          <w:tcPr>
            <w:tcW w:w="732" w:type="dxa"/>
            <w:vAlign w:val="center"/>
          </w:tcPr>
          <w:p>
            <w:pPr>
              <w:widowControl/>
              <w:spacing w:line="288" w:lineRule="auto"/>
              <w:jc w:val="center"/>
              <w:rPr>
                <w:kern w:val="0"/>
                <w:szCs w:val="21"/>
              </w:rPr>
            </w:pPr>
          </w:p>
        </w:tc>
        <w:tc>
          <w:tcPr>
            <w:tcW w:w="2099" w:type="dxa"/>
            <w:vAlign w:val="center"/>
          </w:tcPr>
          <w:p>
            <w:pPr>
              <w:widowControl/>
              <w:spacing w:line="288" w:lineRule="auto"/>
              <w:jc w:val="center"/>
              <w:rPr>
                <w:kern w:val="0"/>
                <w:szCs w:val="21"/>
              </w:rPr>
            </w:pPr>
          </w:p>
        </w:tc>
        <w:tc>
          <w:tcPr>
            <w:tcW w:w="966" w:type="dxa"/>
            <w:vAlign w:val="center"/>
          </w:tcPr>
          <w:p>
            <w:pPr>
              <w:widowControl/>
              <w:spacing w:line="288" w:lineRule="auto"/>
              <w:jc w:val="center"/>
              <w:rPr>
                <w:kern w:val="0"/>
                <w:szCs w:val="21"/>
              </w:rPr>
            </w:pPr>
          </w:p>
        </w:tc>
        <w:tc>
          <w:tcPr>
            <w:tcW w:w="1194" w:type="dxa"/>
            <w:vAlign w:val="center"/>
          </w:tcPr>
          <w:p>
            <w:pPr>
              <w:widowControl/>
              <w:spacing w:line="288" w:lineRule="auto"/>
              <w:jc w:val="center"/>
              <w:rPr>
                <w:kern w:val="0"/>
                <w:szCs w:val="21"/>
              </w:rPr>
            </w:pPr>
          </w:p>
        </w:tc>
        <w:tc>
          <w:tcPr>
            <w:tcW w:w="1075" w:type="dxa"/>
            <w:vAlign w:val="center"/>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溴化锂吸收式冷（温）水机组：</w:t>
      </w:r>
    </w:p>
    <w:tbl>
      <w:tblPr>
        <w:tblStyle w:val="9"/>
        <w:tblW w:w="83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9"/>
        <w:gridCol w:w="1417"/>
        <w:gridCol w:w="1701"/>
        <w:gridCol w:w="1749"/>
        <w:gridCol w:w="13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工况类别</w:t>
            </w:r>
          </w:p>
        </w:tc>
        <w:tc>
          <w:tcPr>
            <w:tcW w:w="3450" w:type="dxa"/>
            <w:gridSpan w:val="2"/>
          </w:tcPr>
          <w:p>
            <w:pPr>
              <w:widowControl/>
              <w:spacing w:line="288" w:lineRule="auto"/>
              <w:jc w:val="center"/>
              <w:rPr>
                <w:kern w:val="0"/>
                <w:szCs w:val="21"/>
              </w:rPr>
            </w:pPr>
            <w:r>
              <w:rPr>
                <w:rFonts w:hint="eastAsia"/>
                <w:kern w:val="0"/>
                <w:szCs w:val="21"/>
              </w:rPr>
              <w:t>性能系数（</w:t>
            </w:r>
            <w:r>
              <w:rPr>
                <w:kern w:val="0"/>
                <w:szCs w:val="21"/>
              </w:rPr>
              <w:t>W/W</w:t>
            </w:r>
            <w:r>
              <w:rPr>
                <w:rFonts w:hint="eastAsia"/>
                <w:kern w:val="0"/>
                <w:szCs w:val="21"/>
              </w:rPr>
              <w:t>）</w:t>
            </w:r>
          </w:p>
        </w:tc>
        <w:tc>
          <w:tcPr>
            <w:tcW w:w="1348"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直燃型</w:t>
            </w: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restart"/>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制冷工况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r>
              <w:rPr>
                <w:rFonts w:hint="eastAsia"/>
                <w:kern w:val="0"/>
                <w:szCs w:val="21"/>
              </w:rPr>
              <w:t>供热工况</w:t>
            </w: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类型</w:t>
            </w:r>
          </w:p>
        </w:tc>
        <w:tc>
          <w:tcPr>
            <w:tcW w:w="709" w:type="dxa"/>
            <w:vMerge w:val="restart"/>
            <w:vAlign w:val="center"/>
          </w:tcPr>
          <w:p>
            <w:pPr>
              <w:widowControl/>
              <w:spacing w:line="288" w:lineRule="auto"/>
              <w:jc w:val="center"/>
              <w:rPr>
                <w:kern w:val="0"/>
                <w:szCs w:val="21"/>
              </w:rPr>
            </w:pPr>
            <w:r>
              <w:rPr>
                <w:rFonts w:hint="eastAsia"/>
                <w:kern w:val="0"/>
                <w:szCs w:val="21"/>
              </w:rPr>
              <w:t>设备型号</w:t>
            </w:r>
          </w:p>
        </w:tc>
        <w:tc>
          <w:tcPr>
            <w:tcW w:w="1417" w:type="dxa"/>
            <w:vMerge w:val="restart"/>
            <w:vAlign w:val="center"/>
          </w:tcPr>
          <w:p>
            <w:pPr>
              <w:widowControl/>
              <w:spacing w:line="288" w:lineRule="auto"/>
              <w:jc w:val="center"/>
              <w:rPr>
                <w:kern w:val="0"/>
                <w:szCs w:val="21"/>
              </w:rPr>
            </w:pPr>
            <w:r>
              <w:rPr>
                <w:rFonts w:hint="eastAsia"/>
                <w:kern w:val="0"/>
                <w:szCs w:val="21"/>
              </w:rPr>
              <w:t>蒸汽压力</w:t>
            </w:r>
          </w:p>
          <w:p>
            <w:pPr>
              <w:spacing w:line="288" w:lineRule="auto"/>
              <w:jc w:val="center"/>
              <w:rPr>
                <w:kern w:val="0"/>
                <w:szCs w:val="21"/>
              </w:rPr>
            </w:pPr>
            <w:r>
              <w:rPr>
                <w:rFonts w:hint="eastAsia"/>
                <w:kern w:val="0"/>
                <w:szCs w:val="21"/>
              </w:rPr>
              <w:t>（</w:t>
            </w:r>
            <w:r>
              <w:rPr>
                <w:kern w:val="0"/>
                <w:szCs w:val="21"/>
              </w:rPr>
              <w:t>MPa</w:t>
            </w:r>
            <w:r>
              <w:rPr>
                <w:rFonts w:hint="eastAsia"/>
                <w:kern w:val="0"/>
                <w:szCs w:val="21"/>
              </w:rPr>
              <w:t>）</w:t>
            </w:r>
          </w:p>
        </w:tc>
        <w:tc>
          <w:tcPr>
            <w:tcW w:w="3450" w:type="dxa"/>
            <w:gridSpan w:val="2"/>
            <w:vAlign w:val="center"/>
          </w:tcPr>
          <w:p>
            <w:pPr>
              <w:widowControl/>
              <w:spacing w:line="288" w:lineRule="auto"/>
              <w:jc w:val="center"/>
              <w:rPr>
                <w:kern w:val="0"/>
                <w:szCs w:val="21"/>
              </w:rPr>
            </w:pPr>
            <w:r>
              <w:rPr>
                <w:rFonts w:hint="eastAsia"/>
                <w:kern w:val="0"/>
                <w:szCs w:val="21"/>
              </w:rPr>
              <w:t>单位制冷量蒸汽耗量（</w:t>
            </w:r>
            <w:r>
              <w:rPr>
                <w:kern w:val="0"/>
                <w:szCs w:val="21"/>
              </w:rPr>
              <w:t>kg/(h</w:t>
            </w:r>
            <w:r>
              <w:rPr>
                <w:rFonts w:hint="eastAsia"/>
                <w:kern w:val="0"/>
                <w:szCs w:val="21"/>
              </w:rPr>
              <w:t>·</w:t>
            </w:r>
            <w:r>
              <w:rPr>
                <w:kern w:val="0"/>
                <w:szCs w:val="21"/>
              </w:rPr>
              <w:t>kW)</w:t>
            </w:r>
            <w:r>
              <w:rPr>
                <w:rFonts w:hint="eastAsia"/>
                <w:kern w:val="0"/>
                <w:szCs w:val="21"/>
              </w:rPr>
              <w:t>）</w:t>
            </w:r>
          </w:p>
        </w:tc>
        <w:tc>
          <w:tcPr>
            <w:tcW w:w="1348" w:type="dxa"/>
            <w:vMerge w:val="restart"/>
          </w:tcPr>
          <w:p>
            <w:pPr>
              <w:widowControl/>
              <w:spacing w:line="288" w:lineRule="auto"/>
              <w:jc w:val="center"/>
              <w:rPr>
                <w:kern w:val="0"/>
                <w:szCs w:val="21"/>
              </w:rPr>
            </w:pPr>
            <w:r>
              <w:rPr>
                <w:rFonts w:hint="eastAsia"/>
                <w:kern w:val="0"/>
                <w:szCs w:val="21"/>
              </w:rPr>
              <w:t>降低幅度（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pPr>
              <w:widowControl/>
              <w:spacing w:line="288" w:lineRule="auto"/>
              <w:jc w:val="center"/>
              <w:rPr>
                <w:kern w:val="0"/>
                <w:szCs w:val="21"/>
              </w:rPr>
            </w:pPr>
          </w:p>
        </w:tc>
        <w:tc>
          <w:tcPr>
            <w:tcW w:w="709" w:type="dxa"/>
            <w:vMerge w:val="continue"/>
            <w:vAlign w:val="center"/>
          </w:tcPr>
          <w:p>
            <w:pPr>
              <w:widowControl/>
              <w:spacing w:line="288" w:lineRule="auto"/>
              <w:jc w:val="center"/>
              <w:rPr>
                <w:kern w:val="0"/>
                <w:szCs w:val="21"/>
              </w:rPr>
            </w:pPr>
          </w:p>
        </w:tc>
        <w:tc>
          <w:tcPr>
            <w:tcW w:w="1417" w:type="dxa"/>
            <w:vMerge w:val="continue"/>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r>
              <w:rPr>
                <w:rFonts w:hint="eastAsia"/>
                <w:kern w:val="0"/>
                <w:szCs w:val="21"/>
              </w:rPr>
              <w:t>设计值</w:t>
            </w:r>
          </w:p>
        </w:tc>
        <w:tc>
          <w:tcPr>
            <w:tcW w:w="1749" w:type="dxa"/>
            <w:vAlign w:val="center"/>
          </w:tcPr>
          <w:p>
            <w:pPr>
              <w:widowControl/>
              <w:spacing w:line="288" w:lineRule="auto"/>
              <w:jc w:val="center"/>
              <w:rPr>
                <w:kern w:val="0"/>
                <w:szCs w:val="21"/>
              </w:rPr>
            </w:pPr>
            <w:r>
              <w:rPr>
                <w:rFonts w:hint="eastAsia"/>
                <w:kern w:val="0"/>
                <w:szCs w:val="21"/>
              </w:rPr>
              <w:t>标准要求</w:t>
            </w:r>
          </w:p>
        </w:tc>
        <w:tc>
          <w:tcPr>
            <w:tcW w:w="1348"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蒸汽单效型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pPr>
              <w:widowControl/>
              <w:spacing w:line="288" w:lineRule="auto"/>
              <w:jc w:val="center"/>
              <w:rPr>
                <w:kern w:val="0"/>
                <w:szCs w:val="21"/>
              </w:rPr>
            </w:pPr>
            <w:r>
              <w:rPr>
                <w:rFonts w:hint="eastAsia"/>
                <w:kern w:val="0"/>
                <w:szCs w:val="21"/>
              </w:rPr>
              <w:t>蒸汽双效型</w:t>
            </w: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pPr>
              <w:widowControl/>
              <w:spacing w:line="288" w:lineRule="auto"/>
              <w:jc w:val="center"/>
              <w:rPr>
                <w:kern w:val="0"/>
                <w:szCs w:val="21"/>
              </w:rPr>
            </w:pPr>
          </w:p>
        </w:tc>
        <w:tc>
          <w:tcPr>
            <w:tcW w:w="709" w:type="dxa"/>
            <w:vAlign w:val="center"/>
          </w:tcPr>
          <w:p>
            <w:pPr>
              <w:widowControl/>
              <w:spacing w:line="288" w:lineRule="auto"/>
              <w:jc w:val="center"/>
              <w:rPr>
                <w:kern w:val="0"/>
                <w:szCs w:val="21"/>
              </w:rPr>
            </w:pPr>
          </w:p>
        </w:tc>
        <w:tc>
          <w:tcPr>
            <w:tcW w:w="1417" w:type="dxa"/>
            <w:vAlign w:val="center"/>
          </w:tcPr>
          <w:p>
            <w:pPr>
              <w:widowControl/>
              <w:spacing w:line="288" w:lineRule="auto"/>
              <w:jc w:val="center"/>
              <w:rPr>
                <w:kern w:val="0"/>
                <w:szCs w:val="21"/>
              </w:rPr>
            </w:pPr>
          </w:p>
        </w:tc>
        <w:tc>
          <w:tcPr>
            <w:tcW w:w="1701" w:type="dxa"/>
            <w:vAlign w:val="center"/>
          </w:tcPr>
          <w:p>
            <w:pPr>
              <w:widowControl/>
              <w:spacing w:line="288" w:lineRule="auto"/>
              <w:jc w:val="center"/>
              <w:rPr>
                <w:kern w:val="0"/>
                <w:szCs w:val="21"/>
              </w:rPr>
            </w:pPr>
          </w:p>
        </w:tc>
        <w:tc>
          <w:tcPr>
            <w:tcW w:w="1749" w:type="dxa"/>
            <w:vAlign w:val="center"/>
          </w:tcPr>
          <w:p>
            <w:pPr>
              <w:widowControl/>
              <w:spacing w:line="288" w:lineRule="auto"/>
              <w:jc w:val="center"/>
              <w:rPr>
                <w:kern w:val="0"/>
                <w:szCs w:val="21"/>
              </w:rPr>
            </w:pPr>
          </w:p>
        </w:tc>
        <w:tc>
          <w:tcPr>
            <w:tcW w:w="1348" w:type="dxa"/>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单元式空气调节机、风管送风式和屋顶式空调机组：</w:t>
      </w:r>
    </w:p>
    <w:tbl>
      <w:tblPr>
        <w:tblStyle w:val="9"/>
        <w:tblW w:w="8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8"/>
        <w:gridCol w:w="740"/>
        <w:gridCol w:w="1688"/>
        <w:gridCol w:w="1559"/>
        <w:gridCol w:w="1276"/>
        <w:gridCol w:w="11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restart"/>
            <w:vAlign w:val="center"/>
          </w:tcPr>
          <w:p>
            <w:pPr>
              <w:widowControl/>
              <w:spacing w:line="288" w:lineRule="auto"/>
              <w:jc w:val="center"/>
              <w:rPr>
                <w:kern w:val="0"/>
                <w:szCs w:val="21"/>
              </w:rPr>
            </w:pPr>
            <w:r>
              <w:rPr>
                <w:rFonts w:hint="eastAsia"/>
                <w:kern w:val="0"/>
                <w:szCs w:val="21"/>
              </w:rPr>
              <w:t>类型</w:t>
            </w:r>
          </w:p>
        </w:tc>
        <w:tc>
          <w:tcPr>
            <w:tcW w:w="740" w:type="dxa"/>
            <w:vMerge w:val="restart"/>
            <w:vAlign w:val="center"/>
          </w:tcPr>
          <w:p>
            <w:pPr>
              <w:widowControl/>
              <w:spacing w:line="288" w:lineRule="auto"/>
              <w:jc w:val="center"/>
              <w:rPr>
                <w:kern w:val="0"/>
                <w:szCs w:val="21"/>
              </w:rPr>
            </w:pPr>
            <w:r>
              <w:rPr>
                <w:rFonts w:hint="eastAsia"/>
                <w:kern w:val="0"/>
                <w:szCs w:val="21"/>
              </w:rPr>
              <w:t>设备型号</w:t>
            </w:r>
          </w:p>
        </w:tc>
        <w:tc>
          <w:tcPr>
            <w:tcW w:w="1688"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835" w:type="dxa"/>
            <w:gridSpan w:val="2"/>
            <w:vAlign w:val="center"/>
          </w:tcPr>
          <w:p>
            <w:pPr>
              <w:widowControl/>
              <w:spacing w:line="288" w:lineRule="auto"/>
              <w:jc w:val="center"/>
              <w:rPr>
                <w:kern w:val="0"/>
                <w:szCs w:val="21"/>
              </w:rPr>
            </w:pPr>
            <w:r>
              <w:rPr>
                <w:rFonts w:hint="eastAsia"/>
                <w:kern w:val="0"/>
                <w:szCs w:val="21"/>
              </w:rPr>
              <w:t>能效比</w:t>
            </w:r>
            <w:r>
              <w:rPr>
                <w:kern w:val="0"/>
                <w:szCs w:val="21"/>
              </w:rPr>
              <w:t>EER</w:t>
            </w:r>
            <w:r>
              <w:rPr>
                <w:rFonts w:hint="eastAsia"/>
                <w:kern w:val="0"/>
                <w:szCs w:val="21"/>
              </w:rPr>
              <w:t>（</w:t>
            </w:r>
            <w:r>
              <w:rPr>
                <w:kern w:val="0"/>
                <w:szCs w:val="21"/>
              </w:rPr>
              <w:t>W/W</w:t>
            </w:r>
            <w:r>
              <w:rPr>
                <w:rFonts w:hint="eastAsia"/>
                <w:kern w:val="0"/>
                <w:szCs w:val="21"/>
              </w:rPr>
              <w:t>）</w:t>
            </w:r>
          </w:p>
        </w:tc>
        <w:tc>
          <w:tcPr>
            <w:tcW w:w="1129"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continue"/>
            <w:vAlign w:val="center"/>
          </w:tcPr>
          <w:p>
            <w:pPr>
              <w:widowControl/>
              <w:spacing w:line="288" w:lineRule="auto"/>
              <w:jc w:val="center"/>
              <w:rPr>
                <w:kern w:val="0"/>
                <w:szCs w:val="21"/>
              </w:rPr>
            </w:pPr>
          </w:p>
        </w:tc>
        <w:tc>
          <w:tcPr>
            <w:tcW w:w="740" w:type="dxa"/>
            <w:vMerge w:val="continue"/>
            <w:vAlign w:val="center"/>
          </w:tcPr>
          <w:p>
            <w:pPr>
              <w:widowControl/>
              <w:spacing w:line="288" w:lineRule="auto"/>
              <w:jc w:val="center"/>
              <w:rPr>
                <w:kern w:val="0"/>
                <w:szCs w:val="21"/>
              </w:rPr>
            </w:pPr>
          </w:p>
        </w:tc>
        <w:tc>
          <w:tcPr>
            <w:tcW w:w="1688" w:type="dxa"/>
            <w:vMerge w:val="continue"/>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r>
              <w:rPr>
                <w:rFonts w:hint="eastAsia"/>
                <w:kern w:val="0"/>
                <w:szCs w:val="21"/>
              </w:rPr>
              <w:t>设计值</w:t>
            </w:r>
          </w:p>
        </w:tc>
        <w:tc>
          <w:tcPr>
            <w:tcW w:w="1276" w:type="dxa"/>
            <w:vAlign w:val="center"/>
          </w:tcPr>
          <w:p>
            <w:pPr>
              <w:widowControl/>
              <w:spacing w:line="288" w:lineRule="auto"/>
              <w:jc w:val="center"/>
              <w:rPr>
                <w:kern w:val="0"/>
                <w:szCs w:val="21"/>
              </w:rPr>
            </w:pPr>
            <w:r>
              <w:rPr>
                <w:rFonts w:hint="eastAsia"/>
                <w:kern w:val="0"/>
                <w:szCs w:val="21"/>
              </w:rPr>
              <w:t>标准规定</w:t>
            </w:r>
          </w:p>
        </w:tc>
        <w:tc>
          <w:tcPr>
            <w:tcW w:w="1129" w:type="dxa"/>
            <w:vMerge w:val="continue"/>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spacing w:line="288" w:lineRule="auto"/>
              <w:jc w:val="center"/>
              <w:rPr>
                <w:color w:val="000000"/>
                <w:szCs w:val="21"/>
              </w:rPr>
            </w:pPr>
            <w:r>
              <w:rPr>
                <w:rFonts w:hint="eastAsia"/>
                <w:color w:val="000000"/>
                <w:szCs w:val="21"/>
              </w:rPr>
              <w:t>风冷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pPr>
              <w:widowControl/>
              <w:spacing w:line="288" w:lineRule="auto"/>
              <w:jc w:val="center"/>
              <w:rPr>
                <w:kern w:val="0"/>
                <w:szCs w:val="21"/>
              </w:rPr>
            </w:pPr>
            <w:r>
              <w:rPr>
                <w:rFonts w:hint="eastAsia"/>
                <w:kern w:val="0"/>
                <w:szCs w:val="21"/>
              </w:rPr>
              <w:t>水冷</w:t>
            </w:r>
          </w:p>
        </w:tc>
        <w:tc>
          <w:tcPr>
            <w:tcW w:w="1258" w:type="dxa"/>
            <w:vMerge w:val="restart"/>
            <w:vAlign w:val="center"/>
          </w:tcPr>
          <w:p>
            <w:pPr>
              <w:widowControl/>
              <w:spacing w:line="288" w:lineRule="auto"/>
              <w:jc w:val="center"/>
              <w:rPr>
                <w:kern w:val="0"/>
                <w:szCs w:val="21"/>
              </w:rPr>
            </w:pPr>
            <w:r>
              <w:rPr>
                <w:rFonts w:hint="eastAsia"/>
                <w:kern w:val="0"/>
                <w:szCs w:val="21"/>
              </w:rPr>
              <w:t>不接风管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restart"/>
            <w:vAlign w:val="center"/>
          </w:tcPr>
          <w:p>
            <w:pPr>
              <w:widowControl/>
              <w:spacing w:line="288" w:lineRule="auto"/>
              <w:jc w:val="center"/>
              <w:rPr>
                <w:kern w:val="0"/>
                <w:szCs w:val="21"/>
              </w:rPr>
            </w:pPr>
            <w:r>
              <w:rPr>
                <w:rFonts w:hint="eastAsia"/>
                <w:kern w:val="0"/>
                <w:szCs w:val="21"/>
              </w:rPr>
              <w:t>接风管</w:t>
            </w: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pPr>
              <w:spacing w:line="288" w:lineRule="auto"/>
              <w:jc w:val="center"/>
              <w:rPr>
                <w:color w:val="000000"/>
                <w:szCs w:val="21"/>
              </w:rPr>
            </w:pPr>
          </w:p>
        </w:tc>
        <w:tc>
          <w:tcPr>
            <w:tcW w:w="1258" w:type="dxa"/>
            <w:vMerge w:val="continue"/>
            <w:vAlign w:val="center"/>
          </w:tcPr>
          <w:p>
            <w:pPr>
              <w:widowControl/>
              <w:spacing w:line="288" w:lineRule="auto"/>
              <w:jc w:val="center"/>
              <w:rPr>
                <w:kern w:val="0"/>
                <w:szCs w:val="21"/>
              </w:rPr>
            </w:pPr>
          </w:p>
        </w:tc>
        <w:tc>
          <w:tcPr>
            <w:tcW w:w="740" w:type="dxa"/>
            <w:vAlign w:val="center"/>
          </w:tcPr>
          <w:p>
            <w:pPr>
              <w:widowControl/>
              <w:spacing w:line="288" w:lineRule="auto"/>
              <w:jc w:val="center"/>
              <w:rPr>
                <w:kern w:val="0"/>
                <w:szCs w:val="21"/>
              </w:rPr>
            </w:pPr>
          </w:p>
        </w:tc>
        <w:tc>
          <w:tcPr>
            <w:tcW w:w="1688" w:type="dxa"/>
            <w:vAlign w:val="center"/>
          </w:tcPr>
          <w:p>
            <w:pPr>
              <w:widowControl/>
              <w:spacing w:line="288" w:lineRule="auto"/>
              <w:jc w:val="center"/>
              <w:rPr>
                <w:kern w:val="0"/>
                <w:szCs w:val="21"/>
              </w:rPr>
            </w:pPr>
          </w:p>
        </w:tc>
        <w:tc>
          <w:tcPr>
            <w:tcW w:w="1559" w:type="dxa"/>
            <w:vAlign w:val="center"/>
          </w:tcPr>
          <w:p>
            <w:pPr>
              <w:widowControl/>
              <w:spacing w:line="288" w:lineRule="auto"/>
              <w:jc w:val="center"/>
              <w:rPr>
                <w:kern w:val="0"/>
                <w:szCs w:val="21"/>
              </w:rPr>
            </w:pPr>
          </w:p>
        </w:tc>
        <w:tc>
          <w:tcPr>
            <w:tcW w:w="1276" w:type="dxa"/>
            <w:vAlign w:val="center"/>
          </w:tcPr>
          <w:p>
            <w:pPr>
              <w:widowControl/>
              <w:spacing w:line="288" w:lineRule="auto"/>
              <w:jc w:val="center"/>
              <w:rPr>
                <w:kern w:val="0"/>
                <w:szCs w:val="21"/>
              </w:rPr>
            </w:pPr>
          </w:p>
        </w:tc>
        <w:tc>
          <w:tcPr>
            <w:tcW w:w="1129" w:type="dxa"/>
            <w:vAlign w:val="center"/>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多联式空调（热泵）机组：</w:t>
      </w:r>
    </w:p>
    <w:tbl>
      <w:tblPr>
        <w:tblStyle w:val="9"/>
        <w:tblW w:w="8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575"/>
        <w:gridCol w:w="1596"/>
        <w:gridCol w:w="1975"/>
        <w:gridCol w:w="12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vAlign w:val="center"/>
          </w:tcPr>
          <w:p>
            <w:pPr>
              <w:widowControl/>
              <w:spacing w:line="288" w:lineRule="auto"/>
              <w:jc w:val="center"/>
              <w:rPr>
                <w:kern w:val="0"/>
                <w:szCs w:val="21"/>
              </w:rPr>
            </w:pPr>
            <w:r>
              <w:rPr>
                <w:rFonts w:hint="eastAsia"/>
                <w:kern w:val="0"/>
                <w:szCs w:val="21"/>
              </w:rPr>
              <w:t>设备型号</w:t>
            </w:r>
          </w:p>
        </w:tc>
        <w:tc>
          <w:tcPr>
            <w:tcW w:w="2575" w:type="dxa"/>
            <w:vMerge w:val="restart"/>
            <w:vAlign w:val="center"/>
          </w:tcPr>
          <w:p>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3571" w:type="dxa"/>
            <w:gridSpan w:val="2"/>
            <w:vAlign w:val="center"/>
          </w:tcPr>
          <w:p>
            <w:pPr>
              <w:widowControl/>
              <w:spacing w:line="288" w:lineRule="auto"/>
              <w:jc w:val="center"/>
              <w:rPr>
                <w:kern w:val="0"/>
                <w:szCs w:val="21"/>
              </w:rPr>
            </w:pPr>
            <w:r>
              <w:rPr>
                <w:rFonts w:hint="eastAsia"/>
                <w:kern w:val="0"/>
                <w:szCs w:val="21"/>
              </w:rPr>
              <w:t>制冷综合性能系数</w:t>
            </w:r>
            <w:r>
              <w:rPr>
                <w:kern w:val="0"/>
                <w:szCs w:val="21"/>
              </w:rPr>
              <w:t>IPLV</w:t>
            </w:r>
            <w:r>
              <w:rPr>
                <w:rFonts w:hint="eastAsia"/>
                <w:kern w:val="0"/>
                <w:szCs w:val="21"/>
              </w:rPr>
              <w:t>（</w:t>
            </w:r>
            <w:r>
              <w:rPr>
                <w:kern w:val="0"/>
                <w:szCs w:val="21"/>
              </w:rPr>
              <w:t>C</w:t>
            </w:r>
            <w:r>
              <w:rPr>
                <w:rFonts w:hint="eastAsia"/>
                <w:kern w:val="0"/>
                <w:szCs w:val="21"/>
              </w:rPr>
              <w:t>）</w:t>
            </w:r>
          </w:p>
        </w:tc>
        <w:tc>
          <w:tcPr>
            <w:tcW w:w="1295" w:type="dxa"/>
            <w:vMerge w:val="restart"/>
            <w:vAlign w:val="center"/>
          </w:tcPr>
          <w:p>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continue"/>
            <w:vAlign w:val="center"/>
          </w:tcPr>
          <w:p>
            <w:pPr>
              <w:widowControl/>
              <w:spacing w:line="288" w:lineRule="auto"/>
              <w:jc w:val="center"/>
              <w:rPr>
                <w:kern w:val="0"/>
                <w:szCs w:val="21"/>
              </w:rPr>
            </w:pPr>
          </w:p>
        </w:tc>
        <w:tc>
          <w:tcPr>
            <w:tcW w:w="2575" w:type="dxa"/>
            <w:vMerge w:val="continue"/>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r>
              <w:rPr>
                <w:rFonts w:hint="eastAsia"/>
                <w:kern w:val="0"/>
                <w:szCs w:val="21"/>
              </w:rPr>
              <w:t>设计值</w:t>
            </w:r>
          </w:p>
        </w:tc>
        <w:tc>
          <w:tcPr>
            <w:tcW w:w="1975" w:type="dxa"/>
            <w:vAlign w:val="center"/>
          </w:tcPr>
          <w:p>
            <w:pPr>
              <w:widowControl/>
              <w:spacing w:line="288" w:lineRule="auto"/>
              <w:jc w:val="center"/>
              <w:rPr>
                <w:kern w:val="0"/>
                <w:szCs w:val="21"/>
              </w:rPr>
            </w:pPr>
            <w:r>
              <w:rPr>
                <w:rFonts w:hint="eastAsia"/>
                <w:kern w:val="0"/>
                <w:szCs w:val="21"/>
              </w:rPr>
              <w:t>标准规定</w:t>
            </w:r>
          </w:p>
        </w:tc>
        <w:tc>
          <w:tcPr>
            <w:tcW w:w="1295"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pPr>
              <w:widowControl/>
              <w:spacing w:line="288" w:lineRule="auto"/>
              <w:jc w:val="center"/>
              <w:rPr>
                <w:kern w:val="0"/>
                <w:szCs w:val="21"/>
              </w:rPr>
            </w:pPr>
          </w:p>
        </w:tc>
        <w:tc>
          <w:tcPr>
            <w:tcW w:w="2575" w:type="dxa"/>
            <w:vAlign w:val="center"/>
          </w:tcPr>
          <w:p>
            <w:pPr>
              <w:widowControl/>
              <w:spacing w:line="288" w:lineRule="auto"/>
              <w:jc w:val="center"/>
              <w:rPr>
                <w:kern w:val="0"/>
                <w:szCs w:val="21"/>
              </w:rPr>
            </w:pPr>
          </w:p>
        </w:tc>
        <w:tc>
          <w:tcPr>
            <w:tcW w:w="1596" w:type="dxa"/>
            <w:vAlign w:val="center"/>
          </w:tcPr>
          <w:p>
            <w:pPr>
              <w:widowControl/>
              <w:spacing w:line="288" w:lineRule="auto"/>
              <w:jc w:val="center"/>
              <w:rPr>
                <w:kern w:val="0"/>
                <w:szCs w:val="21"/>
              </w:rPr>
            </w:pPr>
          </w:p>
        </w:tc>
        <w:tc>
          <w:tcPr>
            <w:tcW w:w="1975" w:type="dxa"/>
            <w:vAlign w:val="center"/>
          </w:tcPr>
          <w:p>
            <w:pPr>
              <w:widowControl/>
              <w:spacing w:line="288" w:lineRule="auto"/>
              <w:jc w:val="center"/>
              <w:rPr>
                <w:kern w:val="0"/>
                <w:szCs w:val="21"/>
              </w:rPr>
            </w:pPr>
          </w:p>
        </w:tc>
        <w:tc>
          <w:tcPr>
            <w:tcW w:w="1295" w:type="dxa"/>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锅炉：</w:t>
      </w:r>
    </w:p>
    <w:tbl>
      <w:tblPr>
        <w:tblStyle w:val="9"/>
        <w:tblW w:w="8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7"/>
        <w:gridCol w:w="1060"/>
        <w:gridCol w:w="2268"/>
        <w:gridCol w:w="1183"/>
        <w:gridCol w:w="1085"/>
        <w:gridCol w:w="10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060"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tcPr>
          <w:p>
            <w:pPr>
              <w:widowControl/>
              <w:spacing w:line="288" w:lineRule="auto"/>
              <w:jc w:val="center"/>
              <w:rPr>
                <w:kern w:val="0"/>
                <w:szCs w:val="21"/>
              </w:rPr>
            </w:pPr>
            <w:r>
              <w:rPr>
                <w:rFonts w:hint="eastAsia"/>
                <w:kern w:val="0"/>
                <w:szCs w:val="21"/>
              </w:rPr>
              <w:t>额定蒸发量</w:t>
            </w:r>
            <w:r>
              <w:rPr>
                <w:kern w:val="0"/>
                <w:szCs w:val="21"/>
              </w:rPr>
              <w:t>D</w:t>
            </w:r>
            <w:r>
              <w:rPr>
                <w:rFonts w:hint="eastAsia"/>
                <w:kern w:val="0"/>
                <w:szCs w:val="21"/>
              </w:rPr>
              <w:t>（</w:t>
            </w:r>
            <w:r>
              <w:rPr>
                <w:kern w:val="0"/>
                <w:szCs w:val="21"/>
              </w:rPr>
              <w:t>t/h</w:t>
            </w:r>
            <w:r>
              <w:rPr>
                <w:rFonts w:hint="eastAsia"/>
                <w:kern w:val="0"/>
                <w:szCs w:val="21"/>
              </w:rPr>
              <w:t>）</w:t>
            </w:r>
            <w:r>
              <w:rPr>
                <w:kern w:val="0"/>
                <w:szCs w:val="21"/>
              </w:rPr>
              <w:t>/</w:t>
            </w:r>
          </w:p>
          <w:p>
            <w:pPr>
              <w:widowControl/>
              <w:spacing w:line="288" w:lineRule="auto"/>
              <w:jc w:val="center"/>
              <w:rPr>
                <w:kern w:val="0"/>
                <w:szCs w:val="21"/>
              </w:rPr>
            </w:pPr>
            <w:r>
              <w:rPr>
                <w:rFonts w:hint="eastAsia"/>
                <w:kern w:val="0"/>
                <w:szCs w:val="21"/>
              </w:rPr>
              <w:t>额定热功率</w:t>
            </w:r>
            <w:r>
              <w:rPr>
                <w:kern w:val="0"/>
                <w:szCs w:val="21"/>
              </w:rPr>
              <w:t>Q</w:t>
            </w:r>
            <w:r>
              <w:rPr>
                <w:rFonts w:hint="eastAsia"/>
                <w:kern w:val="0"/>
                <w:szCs w:val="21"/>
              </w:rPr>
              <w:t>（</w:t>
            </w:r>
            <w:r>
              <w:rPr>
                <w:kern w:val="0"/>
                <w:szCs w:val="21"/>
              </w:rPr>
              <w:t>MW</w:t>
            </w:r>
            <w:r>
              <w:rPr>
                <w:rFonts w:hint="eastAsia"/>
                <w:kern w:val="0"/>
                <w:szCs w:val="21"/>
              </w:rPr>
              <w:t>）</w:t>
            </w:r>
          </w:p>
        </w:tc>
        <w:tc>
          <w:tcPr>
            <w:tcW w:w="2268" w:type="dxa"/>
            <w:gridSpan w:val="2"/>
            <w:vAlign w:val="center"/>
          </w:tcPr>
          <w:p>
            <w:pPr>
              <w:widowControl/>
              <w:spacing w:line="288" w:lineRule="auto"/>
              <w:jc w:val="center"/>
              <w:rPr>
                <w:kern w:val="0"/>
                <w:szCs w:val="21"/>
              </w:rPr>
            </w:pPr>
            <w:r>
              <w:rPr>
                <w:rFonts w:hint="eastAsia"/>
                <w:kern w:val="0"/>
                <w:szCs w:val="21"/>
              </w:rPr>
              <w:t>热效率（</w:t>
            </w:r>
            <w:r>
              <w:rPr>
                <w:kern w:val="0"/>
                <w:szCs w:val="21"/>
              </w:rPr>
              <w:t>%</w:t>
            </w:r>
            <w:r>
              <w:rPr>
                <w:rFonts w:hint="eastAsia"/>
                <w:kern w:val="0"/>
                <w:szCs w:val="21"/>
              </w:rPr>
              <w:t>）</w:t>
            </w:r>
          </w:p>
        </w:tc>
        <w:tc>
          <w:tcPr>
            <w:tcW w:w="1063" w:type="dxa"/>
            <w:vMerge w:val="restart"/>
          </w:tcPr>
          <w:p>
            <w:pPr>
              <w:widowControl/>
              <w:spacing w:line="288" w:lineRule="auto"/>
              <w:jc w:val="center"/>
              <w:rPr>
                <w:kern w:val="0"/>
                <w:szCs w:val="21"/>
              </w:rPr>
            </w:pPr>
            <w:r>
              <w:rPr>
                <w:rFonts w:hint="eastAsia"/>
                <w:kern w:val="0"/>
                <w:szCs w:val="21"/>
              </w:rPr>
              <w:t>提高百分点</w:t>
            </w:r>
            <w:r>
              <w:rPr>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continue"/>
            <w:vAlign w:val="center"/>
          </w:tcPr>
          <w:p>
            <w:pPr>
              <w:widowControl/>
              <w:spacing w:line="288" w:lineRule="auto"/>
              <w:jc w:val="center"/>
              <w:rPr>
                <w:kern w:val="0"/>
                <w:szCs w:val="21"/>
              </w:rPr>
            </w:pPr>
          </w:p>
        </w:tc>
        <w:tc>
          <w:tcPr>
            <w:tcW w:w="1060" w:type="dxa"/>
            <w:vMerge w:val="continue"/>
            <w:vAlign w:val="center"/>
          </w:tcPr>
          <w:p>
            <w:pPr>
              <w:widowControl/>
              <w:spacing w:line="288" w:lineRule="auto"/>
              <w:jc w:val="center"/>
              <w:rPr>
                <w:kern w:val="0"/>
                <w:szCs w:val="21"/>
              </w:rPr>
            </w:pPr>
          </w:p>
        </w:tc>
        <w:tc>
          <w:tcPr>
            <w:tcW w:w="2268" w:type="dxa"/>
            <w:vMerge w:val="continue"/>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r>
              <w:rPr>
                <w:rFonts w:hint="eastAsia"/>
                <w:kern w:val="0"/>
                <w:szCs w:val="21"/>
              </w:rPr>
              <w:t>设计值</w:t>
            </w:r>
          </w:p>
        </w:tc>
        <w:tc>
          <w:tcPr>
            <w:tcW w:w="1085" w:type="dxa"/>
            <w:vAlign w:val="center"/>
          </w:tcPr>
          <w:p>
            <w:pPr>
              <w:widowControl/>
              <w:spacing w:line="288" w:lineRule="auto"/>
              <w:jc w:val="center"/>
              <w:rPr>
                <w:kern w:val="0"/>
                <w:szCs w:val="21"/>
              </w:rPr>
            </w:pPr>
            <w:r>
              <w:rPr>
                <w:rFonts w:hint="eastAsia"/>
                <w:kern w:val="0"/>
                <w:szCs w:val="21"/>
              </w:rPr>
              <w:t>标准要求</w:t>
            </w:r>
          </w:p>
        </w:tc>
        <w:tc>
          <w:tcPr>
            <w:tcW w:w="1063" w:type="dxa"/>
            <w:vMerge w:val="continue"/>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restart"/>
            <w:vAlign w:val="center"/>
          </w:tcPr>
          <w:p>
            <w:pPr>
              <w:widowControl/>
              <w:spacing w:line="288" w:lineRule="auto"/>
              <w:jc w:val="center"/>
              <w:rPr>
                <w:kern w:val="0"/>
                <w:szCs w:val="21"/>
              </w:rPr>
            </w:pPr>
            <w:r>
              <w:rPr>
                <w:rFonts w:hint="eastAsia"/>
                <w:kern w:val="0"/>
                <w:szCs w:val="21"/>
              </w:rPr>
              <w:t>燃油燃气锅炉</w:t>
            </w:r>
          </w:p>
        </w:tc>
        <w:tc>
          <w:tcPr>
            <w:tcW w:w="707" w:type="dxa"/>
            <w:vMerge w:val="restart"/>
            <w:vAlign w:val="center"/>
          </w:tcPr>
          <w:p>
            <w:pPr>
              <w:widowControl/>
              <w:spacing w:line="288" w:lineRule="auto"/>
              <w:jc w:val="center"/>
              <w:rPr>
                <w:kern w:val="0"/>
                <w:szCs w:val="21"/>
              </w:rPr>
            </w:pPr>
            <w:r>
              <w:rPr>
                <w:rFonts w:hint="eastAsia"/>
                <w:kern w:val="0"/>
                <w:szCs w:val="21"/>
              </w:rPr>
              <w:t>重油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轻油</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restart"/>
            <w:vAlign w:val="center"/>
          </w:tcPr>
          <w:p>
            <w:pPr>
              <w:widowControl/>
              <w:spacing w:line="288" w:lineRule="auto"/>
              <w:jc w:val="center"/>
              <w:rPr>
                <w:kern w:val="0"/>
                <w:szCs w:val="21"/>
              </w:rPr>
            </w:pPr>
            <w:r>
              <w:rPr>
                <w:rFonts w:hint="eastAsia"/>
                <w:kern w:val="0"/>
                <w:szCs w:val="21"/>
              </w:rPr>
              <w:t>燃气</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pPr>
              <w:widowControl/>
              <w:spacing w:line="288" w:lineRule="auto"/>
              <w:jc w:val="center"/>
              <w:rPr>
                <w:kern w:val="0"/>
                <w:szCs w:val="21"/>
              </w:rPr>
            </w:pPr>
          </w:p>
        </w:tc>
        <w:tc>
          <w:tcPr>
            <w:tcW w:w="707" w:type="dxa"/>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层状燃烧锅炉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抛煤机链条炉排锅炉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pPr>
              <w:widowControl/>
              <w:spacing w:line="288" w:lineRule="auto"/>
              <w:jc w:val="center"/>
              <w:rPr>
                <w:kern w:val="0"/>
                <w:szCs w:val="21"/>
              </w:rPr>
            </w:pPr>
            <w:r>
              <w:rPr>
                <w:rFonts w:hint="eastAsia"/>
                <w:kern w:val="0"/>
                <w:szCs w:val="21"/>
              </w:rPr>
              <w:t>流化床燃烧锅炉</w:t>
            </w: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pPr>
              <w:widowControl/>
              <w:spacing w:line="288" w:lineRule="auto"/>
              <w:jc w:val="center"/>
              <w:rPr>
                <w:kern w:val="0"/>
                <w:szCs w:val="21"/>
              </w:rPr>
            </w:pPr>
          </w:p>
        </w:tc>
        <w:tc>
          <w:tcPr>
            <w:tcW w:w="1060" w:type="dxa"/>
            <w:vAlign w:val="center"/>
          </w:tcPr>
          <w:p>
            <w:pPr>
              <w:widowControl/>
              <w:spacing w:line="288" w:lineRule="auto"/>
              <w:jc w:val="center"/>
              <w:rPr>
                <w:kern w:val="0"/>
                <w:szCs w:val="21"/>
              </w:rPr>
            </w:pPr>
          </w:p>
        </w:tc>
        <w:tc>
          <w:tcPr>
            <w:tcW w:w="2268" w:type="dxa"/>
          </w:tcPr>
          <w:p>
            <w:pPr>
              <w:widowControl/>
              <w:spacing w:line="288" w:lineRule="auto"/>
              <w:jc w:val="center"/>
              <w:rPr>
                <w:kern w:val="0"/>
                <w:szCs w:val="21"/>
              </w:rPr>
            </w:pPr>
          </w:p>
        </w:tc>
        <w:tc>
          <w:tcPr>
            <w:tcW w:w="1183" w:type="dxa"/>
            <w:vAlign w:val="center"/>
          </w:tcPr>
          <w:p>
            <w:pPr>
              <w:widowControl/>
              <w:spacing w:line="288" w:lineRule="auto"/>
              <w:jc w:val="center"/>
              <w:rPr>
                <w:kern w:val="0"/>
                <w:szCs w:val="21"/>
              </w:rPr>
            </w:pPr>
          </w:p>
        </w:tc>
        <w:tc>
          <w:tcPr>
            <w:tcW w:w="1085" w:type="dxa"/>
            <w:vAlign w:val="center"/>
          </w:tcPr>
          <w:p>
            <w:pPr>
              <w:widowControl/>
              <w:spacing w:line="288" w:lineRule="auto"/>
              <w:jc w:val="center"/>
              <w:rPr>
                <w:kern w:val="0"/>
                <w:szCs w:val="21"/>
              </w:rPr>
            </w:pPr>
          </w:p>
        </w:tc>
        <w:tc>
          <w:tcPr>
            <w:tcW w:w="1063" w:type="dxa"/>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房间空调器：</w:t>
      </w:r>
    </w:p>
    <w:tbl>
      <w:tblPr>
        <w:tblStyle w:val="9"/>
        <w:tblW w:w="8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90"/>
        <w:gridCol w:w="1153"/>
        <w:gridCol w:w="2268"/>
        <w:gridCol w:w="1384"/>
        <w:gridCol w:w="15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restart"/>
            <w:vAlign w:val="center"/>
          </w:tcPr>
          <w:p>
            <w:pPr>
              <w:widowControl/>
              <w:spacing w:line="288" w:lineRule="auto"/>
              <w:jc w:val="center"/>
              <w:rPr>
                <w:kern w:val="0"/>
                <w:szCs w:val="21"/>
              </w:rPr>
            </w:pPr>
            <w:r>
              <w:rPr>
                <w:rFonts w:hint="eastAsia"/>
                <w:kern w:val="0"/>
                <w:szCs w:val="21"/>
              </w:rPr>
              <w:t>类型</w:t>
            </w:r>
          </w:p>
        </w:tc>
        <w:tc>
          <w:tcPr>
            <w:tcW w:w="1153" w:type="dxa"/>
            <w:vMerge w:val="restart"/>
            <w:vAlign w:val="center"/>
          </w:tcPr>
          <w:p>
            <w:pPr>
              <w:widowControl/>
              <w:spacing w:line="288" w:lineRule="auto"/>
              <w:jc w:val="center"/>
              <w:rPr>
                <w:kern w:val="0"/>
                <w:szCs w:val="21"/>
              </w:rPr>
            </w:pPr>
            <w:r>
              <w:rPr>
                <w:rFonts w:hint="eastAsia"/>
                <w:kern w:val="0"/>
                <w:szCs w:val="21"/>
              </w:rPr>
              <w:t>设备型号</w:t>
            </w:r>
          </w:p>
        </w:tc>
        <w:tc>
          <w:tcPr>
            <w:tcW w:w="2268" w:type="dxa"/>
            <w:vMerge w:val="restart"/>
            <w:vAlign w:val="center"/>
          </w:tcPr>
          <w:p>
            <w:pPr>
              <w:widowControl/>
              <w:spacing w:line="288" w:lineRule="auto"/>
              <w:jc w:val="center"/>
              <w:rPr>
                <w:kern w:val="0"/>
                <w:szCs w:val="21"/>
              </w:rPr>
            </w:pPr>
            <w:r>
              <w:rPr>
                <w:rFonts w:hint="eastAsia"/>
                <w:kern w:val="0"/>
                <w:szCs w:val="21"/>
              </w:rPr>
              <w:t>额定制冷量</w:t>
            </w:r>
            <w:r>
              <w:rPr>
                <w:kern w:val="0"/>
                <w:szCs w:val="21"/>
              </w:rPr>
              <w:t>CC</w:t>
            </w:r>
            <w:r>
              <w:rPr>
                <w:rFonts w:hint="eastAsia"/>
                <w:kern w:val="0"/>
                <w:szCs w:val="21"/>
              </w:rPr>
              <w:t>（</w:t>
            </w:r>
            <w:r>
              <w:rPr>
                <w:kern w:val="0"/>
                <w:szCs w:val="21"/>
              </w:rPr>
              <w:t>kW</w:t>
            </w:r>
            <w:r>
              <w:rPr>
                <w:rFonts w:hint="eastAsia"/>
                <w:kern w:val="0"/>
                <w:szCs w:val="21"/>
              </w:rPr>
              <w:t>）</w:t>
            </w:r>
          </w:p>
        </w:tc>
        <w:tc>
          <w:tcPr>
            <w:tcW w:w="2908"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continue"/>
            <w:vAlign w:val="center"/>
          </w:tcPr>
          <w:p>
            <w:pPr>
              <w:widowControl/>
              <w:spacing w:line="288" w:lineRule="auto"/>
              <w:jc w:val="center"/>
              <w:rPr>
                <w:kern w:val="0"/>
                <w:szCs w:val="21"/>
              </w:rPr>
            </w:pPr>
          </w:p>
        </w:tc>
        <w:tc>
          <w:tcPr>
            <w:tcW w:w="1153" w:type="dxa"/>
            <w:vMerge w:val="continue"/>
            <w:vAlign w:val="center"/>
          </w:tcPr>
          <w:p>
            <w:pPr>
              <w:widowControl/>
              <w:spacing w:line="288" w:lineRule="auto"/>
              <w:jc w:val="center"/>
              <w:rPr>
                <w:kern w:val="0"/>
                <w:szCs w:val="21"/>
              </w:rPr>
            </w:pPr>
          </w:p>
        </w:tc>
        <w:tc>
          <w:tcPr>
            <w:tcW w:w="2268" w:type="dxa"/>
            <w:vMerge w:val="continue"/>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r>
              <w:rPr>
                <w:rFonts w:hint="eastAsia"/>
                <w:kern w:val="0"/>
                <w:szCs w:val="21"/>
              </w:rPr>
              <w:t>设计值</w:t>
            </w:r>
          </w:p>
        </w:tc>
        <w:tc>
          <w:tcPr>
            <w:tcW w:w="1524"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spacing w:line="288" w:lineRule="auto"/>
              <w:jc w:val="center"/>
              <w:rPr>
                <w:color w:val="000000"/>
                <w:szCs w:val="21"/>
              </w:rPr>
            </w:pPr>
            <w:r>
              <w:rPr>
                <w:rFonts w:hint="eastAsia"/>
                <w:color w:val="000000"/>
                <w:szCs w:val="21"/>
              </w:rPr>
              <w:t>分散式</w:t>
            </w:r>
          </w:p>
        </w:tc>
        <w:tc>
          <w:tcPr>
            <w:tcW w:w="1090" w:type="dxa"/>
            <w:vMerge w:val="restart"/>
            <w:vAlign w:val="center"/>
          </w:tcPr>
          <w:p>
            <w:pPr>
              <w:widowControl/>
              <w:spacing w:line="288" w:lineRule="auto"/>
              <w:jc w:val="center"/>
              <w:rPr>
                <w:kern w:val="0"/>
                <w:szCs w:val="21"/>
              </w:rPr>
            </w:pPr>
            <w:r>
              <w:rPr>
                <w:rFonts w:hint="eastAsia"/>
                <w:kern w:val="0"/>
                <w:szCs w:val="21"/>
              </w:rPr>
              <w:t>整体式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pPr>
              <w:widowControl/>
              <w:spacing w:line="288" w:lineRule="auto"/>
              <w:jc w:val="center"/>
              <w:rPr>
                <w:color w:val="000000"/>
                <w:szCs w:val="21"/>
              </w:rPr>
            </w:pPr>
            <w:r>
              <w:rPr>
                <w:rFonts w:hint="eastAsia"/>
                <w:kern w:val="0"/>
                <w:szCs w:val="21"/>
              </w:rPr>
              <w:t>转速</w:t>
            </w:r>
            <w:r>
              <w:rPr>
                <w:rFonts w:hint="eastAsia"/>
                <w:color w:val="000000"/>
                <w:szCs w:val="21"/>
              </w:rPr>
              <w:t>可控型</w:t>
            </w:r>
          </w:p>
        </w:tc>
        <w:tc>
          <w:tcPr>
            <w:tcW w:w="1090" w:type="dxa"/>
            <w:vMerge w:val="restart"/>
            <w:vAlign w:val="center"/>
          </w:tcPr>
          <w:p>
            <w:pPr>
              <w:widowControl/>
              <w:spacing w:line="288" w:lineRule="auto"/>
              <w:jc w:val="center"/>
              <w:rPr>
                <w:kern w:val="0"/>
                <w:szCs w:val="21"/>
              </w:rPr>
            </w:pPr>
            <w:r>
              <w:rPr>
                <w:rFonts w:hint="eastAsia"/>
                <w:kern w:val="0"/>
                <w:szCs w:val="21"/>
              </w:rPr>
              <w:t>分体式</w:t>
            </w: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pPr>
              <w:spacing w:line="288" w:lineRule="auto"/>
              <w:jc w:val="center"/>
              <w:rPr>
                <w:color w:val="000000"/>
                <w:szCs w:val="21"/>
              </w:rPr>
            </w:pPr>
          </w:p>
        </w:tc>
        <w:tc>
          <w:tcPr>
            <w:tcW w:w="1090" w:type="dxa"/>
            <w:vMerge w:val="continue"/>
            <w:vAlign w:val="center"/>
          </w:tcPr>
          <w:p>
            <w:pPr>
              <w:widowControl/>
              <w:spacing w:line="288" w:lineRule="auto"/>
              <w:jc w:val="center"/>
              <w:rPr>
                <w:kern w:val="0"/>
                <w:szCs w:val="21"/>
              </w:rPr>
            </w:pPr>
          </w:p>
        </w:tc>
        <w:tc>
          <w:tcPr>
            <w:tcW w:w="1153" w:type="dxa"/>
            <w:vAlign w:val="center"/>
          </w:tcPr>
          <w:p>
            <w:pPr>
              <w:widowControl/>
              <w:spacing w:line="288" w:lineRule="auto"/>
              <w:jc w:val="center"/>
              <w:rPr>
                <w:kern w:val="0"/>
                <w:szCs w:val="21"/>
              </w:rPr>
            </w:pPr>
          </w:p>
        </w:tc>
        <w:tc>
          <w:tcPr>
            <w:tcW w:w="2268" w:type="dxa"/>
            <w:vAlign w:val="center"/>
          </w:tcPr>
          <w:p>
            <w:pPr>
              <w:widowControl/>
              <w:spacing w:line="288" w:lineRule="auto"/>
              <w:jc w:val="center"/>
              <w:rPr>
                <w:kern w:val="0"/>
                <w:szCs w:val="21"/>
              </w:rPr>
            </w:pPr>
          </w:p>
        </w:tc>
        <w:tc>
          <w:tcPr>
            <w:tcW w:w="1384" w:type="dxa"/>
            <w:vAlign w:val="center"/>
          </w:tcPr>
          <w:p>
            <w:pPr>
              <w:widowControl/>
              <w:spacing w:line="288" w:lineRule="auto"/>
              <w:jc w:val="center"/>
              <w:rPr>
                <w:kern w:val="0"/>
                <w:szCs w:val="21"/>
              </w:rPr>
            </w:pPr>
          </w:p>
        </w:tc>
        <w:tc>
          <w:tcPr>
            <w:tcW w:w="1524" w:type="dxa"/>
            <w:vAlign w:val="center"/>
          </w:tcPr>
          <w:p>
            <w:pPr>
              <w:widowControl/>
              <w:spacing w:line="288" w:lineRule="auto"/>
              <w:jc w:val="center"/>
              <w:rPr>
                <w:kern w:val="0"/>
                <w:szCs w:val="21"/>
              </w:rPr>
            </w:pPr>
          </w:p>
        </w:tc>
      </w:tr>
    </w:tbl>
    <w:p>
      <w:pPr>
        <w:pStyle w:val="14"/>
        <w:spacing w:line="288" w:lineRule="auto"/>
        <w:ind w:left="485" w:hanging="484" w:hangingChars="202"/>
        <w:outlineLvl w:val="9"/>
        <w:rPr>
          <w:szCs w:val="21"/>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家用燃气采暖炉：</w:t>
      </w:r>
    </w:p>
    <w:tbl>
      <w:tblPr>
        <w:tblStyle w:val="9"/>
        <w:tblW w:w="83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792"/>
        <w:gridCol w:w="2253"/>
        <w:gridCol w:w="19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restart"/>
            <w:vAlign w:val="center"/>
          </w:tcPr>
          <w:p>
            <w:pPr>
              <w:widowControl/>
              <w:spacing w:line="288" w:lineRule="auto"/>
              <w:jc w:val="center"/>
              <w:rPr>
                <w:kern w:val="0"/>
                <w:szCs w:val="21"/>
              </w:rPr>
            </w:pPr>
            <w:r>
              <w:rPr>
                <w:rFonts w:hint="eastAsia"/>
                <w:kern w:val="0"/>
                <w:szCs w:val="21"/>
              </w:rPr>
              <w:t>设备型号</w:t>
            </w:r>
          </w:p>
        </w:tc>
        <w:tc>
          <w:tcPr>
            <w:tcW w:w="2792" w:type="dxa"/>
            <w:vMerge w:val="restart"/>
            <w:vAlign w:val="center"/>
          </w:tcPr>
          <w:p>
            <w:pPr>
              <w:widowControl/>
              <w:spacing w:line="288" w:lineRule="auto"/>
              <w:jc w:val="center"/>
              <w:rPr>
                <w:kern w:val="0"/>
                <w:szCs w:val="21"/>
              </w:rPr>
            </w:pPr>
            <w:r>
              <w:rPr>
                <w:rFonts w:hint="eastAsia"/>
                <w:kern w:val="0"/>
                <w:szCs w:val="21"/>
              </w:rPr>
              <w:t>额定热负荷（</w:t>
            </w:r>
            <w:r>
              <w:rPr>
                <w:kern w:val="0"/>
                <w:szCs w:val="21"/>
              </w:rPr>
              <w:t>kW</w:t>
            </w:r>
            <w:r>
              <w:rPr>
                <w:rFonts w:hint="eastAsia"/>
                <w:kern w:val="0"/>
                <w:szCs w:val="21"/>
              </w:rPr>
              <w:t>）</w:t>
            </w:r>
          </w:p>
        </w:tc>
        <w:tc>
          <w:tcPr>
            <w:tcW w:w="4155" w:type="dxa"/>
            <w:gridSpan w:val="2"/>
            <w:vAlign w:val="center"/>
          </w:tcPr>
          <w:p>
            <w:pPr>
              <w:widowControl/>
              <w:spacing w:line="288" w:lineRule="auto"/>
              <w:jc w:val="center"/>
              <w:rPr>
                <w:kern w:val="0"/>
                <w:szCs w:val="21"/>
              </w:rPr>
            </w:pPr>
            <w:r>
              <w:rPr>
                <w:rFonts w:hint="eastAsia"/>
                <w:kern w:val="0"/>
                <w:szCs w:val="21"/>
              </w:rPr>
              <w:t>能效等级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continue"/>
          </w:tcPr>
          <w:p>
            <w:pPr>
              <w:widowControl/>
              <w:spacing w:line="288" w:lineRule="auto"/>
              <w:jc w:val="center"/>
              <w:rPr>
                <w:kern w:val="0"/>
                <w:szCs w:val="21"/>
              </w:rPr>
            </w:pPr>
          </w:p>
        </w:tc>
        <w:tc>
          <w:tcPr>
            <w:tcW w:w="2792" w:type="dxa"/>
            <w:vMerge w:val="continue"/>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r>
              <w:rPr>
                <w:rFonts w:hint="eastAsia"/>
                <w:kern w:val="0"/>
                <w:szCs w:val="21"/>
              </w:rPr>
              <w:t>设计值</w:t>
            </w:r>
          </w:p>
        </w:tc>
        <w:tc>
          <w:tcPr>
            <w:tcW w:w="1902" w:type="dxa"/>
            <w:vAlign w:val="center"/>
          </w:tcPr>
          <w:p>
            <w:pPr>
              <w:widowControl/>
              <w:spacing w:line="288" w:lineRule="auto"/>
              <w:jc w:val="center"/>
              <w:rPr>
                <w:kern w:val="0"/>
                <w:szCs w:val="21"/>
              </w:rPr>
            </w:pPr>
            <w:r>
              <w:rPr>
                <w:rFonts w:hint="eastAsia"/>
                <w:kern w:val="0"/>
                <w:szCs w:val="21"/>
              </w:rPr>
              <w:t>节能评价值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pPr>
              <w:widowControl/>
              <w:spacing w:line="288" w:lineRule="auto"/>
              <w:jc w:val="center"/>
              <w:rPr>
                <w:kern w:val="0"/>
                <w:szCs w:val="21"/>
              </w:rPr>
            </w:pPr>
          </w:p>
        </w:tc>
        <w:tc>
          <w:tcPr>
            <w:tcW w:w="2792" w:type="dxa"/>
            <w:vAlign w:val="center"/>
          </w:tcPr>
          <w:p>
            <w:pPr>
              <w:widowControl/>
              <w:spacing w:line="288" w:lineRule="auto"/>
              <w:jc w:val="center"/>
              <w:rPr>
                <w:kern w:val="0"/>
                <w:szCs w:val="21"/>
              </w:rPr>
            </w:pPr>
          </w:p>
        </w:tc>
        <w:tc>
          <w:tcPr>
            <w:tcW w:w="2253" w:type="dxa"/>
            <w:vAlign w:val="center"/>
          </w:tcPr>
          <w:p>
            <w:pPr>
              <w:widowControl/>
              <w:spacing w:line="288" w:lineRule="auto"/>
              <w:jc w:val="center"/>
              <w:rPr>
                <w:kern w:val="0"/>
                <w:szCs w:val="21"/>
              </w:rPr>
            </w:pPr>
          </w:p>
        </w:tc>
        <w:tc>
          <w:tcPr>
            <w:tcW w:w="1902" w:type="dxa"/>
            <w:vAlign w:val="center"/>
          </w:tcPr>
          <w:p>
            <w:pPr>
              <w:widowControl/>
              <w:spacing w:line="288" w:lineRule="auto"/>
              <w:jc w:val="center"/>
              <w:rPr>
                <w:kern w:val="0"/>
                <w:szCs w:val="21"/>
              </w:rPr>
            </w:pPr>
          </w:p>
        </w:tc>
      </w:tr>
    </w:tbl>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含暖通设计说明、暖通设备表、风系统图及水系统设计文件施工图等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相关热冷水系统的耗电输冷（热）比</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锅炉或蒸气压缩循环冷水</w:t>
            </w:r>
            <w:r>
              <w:rPr>
                <w:rFonts w:ascii="宋体" w:hAnsi="宋体" w:eastAsia="宋体" w:cs="宋体"/>
                <w:color w:val="000000"/>
                <w:kern w:val="0"/>
                <w:sz w:val="22"/>
              </w:rPr>
              <w:t>(热泵)机组</w:t>
            </w:r>
            <w:r>
              <w:rPr>
                <w:rFonts w:hint="eastAsia" w:ascii="宋体" w:hAnsi="宋体" w:eastAsia="宋体" w:cs="宋体"/>
                <w:color w:val="000000"/>
                <w:kern w:val="0"/>
                <w:sz w:val="22"/>
              </w:rPr>
              <w:t>或</w:t>
            </w:r>
            <w:r>
              <w:rPr>
                <w:rFonts w:ascii="宋体" w:hAnsi="宋体" w:eastAsia="宋体" w:cs="宋体"/>
                <w:color w:val="000000"/>
                <w:kern w:val="0"/>
                <w:sz w:val="22"/>
              </w:rPr>
              <w:t>单元式空气调节机、风管送风式</w:t>
            </w:r>
            <w:r>
              <w:rPr>
                <w:rFonts w:hint="eastAsia" w:ascii="宋体" w:hAnsi="宋体" w:eastAsia="宋体" w:cs="宋体"/>
                <w:color w:val="000000"/>
                <w:kern w:val="0"/>
                <w:sz w:val="22"/>
              </w:rPr>
              <w:t>或</w:t>
            </w:r>
            <w:r>
              <w:rPr>
                <w:rFonts w:ascii="宋体" w:hAnsi="宋体" w:eastAsia="宋体" w:cs="宋体"/>
                <w:color w:val="000000"/>
                <w:kern w:val="0"/>
                <w:sz w:val="22"/>
              </w:rPr>
              <w:t>屋顶式空气调节机组的能效比(EER)</w:t>
            </w:r>
            <w:r>
              <w:rPr>
                <w:rFonts w:hint="eastAsia" w:ascii="宋体" w:hAnsi="宋体" w:eastAsia="宋体" w:cs="宋体"/>
                <w:color w:val="000000"/>
                <w:kern w:val="0"/>
                <w:sz w:val="22"/>
              </w:rPr>
              <w:t>或</w:t>
            </w:r>
            <w:r>
              <w:rPr>
                <w:rFonts w:ascii="宋体" w:hAnsi="宋体" w:eastAsia="宋体" w:cs="宋体"/>
                <w:color w:val="000000"/>
                <w:kern w:val="0"/>
                <w:sz w:val="22"/>
              </w:rPr>
              <w:t>多联式空调(热泵)机组的制冷综合性能系数(IPLV(C))</w:t>
            </w:r>
            <w:r>
              <w:rPr>
                <w:rFonts w:hint="eastAsia" w:ascii="宋体" w:hAnsi="宋体" w:eastAsia="宋体" w:cs="宋体"/>
                <w:color w:val="000000"/>
                <w:kern w:val="0"/>
                <w:sz w:val="22"/>
              </w:rPr>
              <w:t>或</w:t>
            </w:r>
            <w:r>
              <w:rPr>
                <w:rFonts w:ascii="宋体" w:hAnsi="宋体" w:eastAsia="宋体" w:cs="宋体"/>
                <w:color w:val="000000"/>
                <w:kern w:val="0"/>
                <w:sz w:val="22"/>
              </w:rPr>
              <w:t>直燃型溴化锂吸收式冷(温)水机</w:t>
            </w:r>
            <w:r>
              <w:rPr>
                <w:rFonts w:hint="eastAsia" w:ascii="宋体" w:hAnsi="宋体" w:eastAsia="宋体" w:cs="宋体"/>
                <w:color w:val="000000"/>
                <w:kern w:val="0"/>
                <w:sz w:val="22"/>
              </w:rPr>
              <w:t>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364" w:type="dxa"/>
          </w:tcPr>
          <w:p>
            <w:pPr>
              <w:spacing w:line="288" w:lineRule="auto"/>
            </w:pPr>
          </w:p>
        </w:tc>
      </w:tr>
    </w:tbl>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7.2.6 采取有效措施降低供暖空调系统的末端系统及输配系统的能耗，且供暖空调系统应采用变流量输配系统，过渡季节通风量需满足余热去除需求。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通风空调系统风机的单位风量耗功率比现行国家标准《公共建筑节能设计标准》</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50189</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的规定低20％，</w:t>
      </w:r>
      <w:r>
        <w:rPr>
          <w:rFonts w:hint="eastAsia"/>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集中供暖系统热水循环泵的耗电输热比、空调冷热水系统循环水泵的耗电输冷(热)比比现行国家标准《民用建筑供暖通风与空气调节设计规范》GB 50736规定值低20％，</w:t>
      </w:r>
      <w:r>
        <w:rPr>
          <w:rFonts w:hint="eastAsia"/>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项目设集中供暖系统：□是、□否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供暖系统循环水泵性能参数：</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14"/>
        <w:gridCol w:w="1984"/>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r>
              <w:rPr>
                <w:rFonts w:hint="eastAsia"/>
              </w:rPr>
              <w:t>设备编号</w:t>
            </w:r>
          </w:p>
        </w:tc>
        <w:tc>
          <w:tcPr>
            <w:tcW w:w="1414" w:type="dxa"/>
            <w:vAlign w:val="center"/>
          </w:tcPr>
          <w:p>
            <w:pPr>
              <w:widowControl/>
              <w:spacing w:line="288" w:lineRule="auto"/>
              <w:jc w:val="center"/>
            </w:pPr>
            <w:r>
              <w:rPr>
                <w:rFonts w:hint="eastAsia"/>
              </w:rPr>
              <w:t>设备类型</w:t>
            </w:r>
          </w:p>
        </w:tc>
        <w:tc>
          <w:tcPr>
            <w:tcW w:w="1984" w:type="dxa"/>
            <w:vAlign w:val="center"/>
          </w:tcPr>
          <w:p>
            <w:pPr>
              <w:spacing w:line="288" w:lineRule="auto"/>
              <w:jc w:val="center"/>
            </w:pPr>
            <w:r>
              <w:rPr>
                <w:rFonts w:hint="eastAsia"/>
              </w:rPr>
              <w:t>设计流量（m</w:t>
            </w:r>
            <w:r>
              <w:rPr>
                <w:vertAlign w:val="superscript"/>
              </w:rPr>
              <w:t>3</w:t>
            </w:r>
            <w:r>
              <w:rPr>
                <w:rFonts w:hint="eastAsia"/>
              </w:rPr>
              <w:t>/h）</w:t>
            </w:r>
          </w:p>
        </w:tc>
        <w:tc>
          <w:tcPr>
            <w:tcW w:w="1843" w:type="dxa"/>
            <w:vAlign w:val="center"/>
          </w:tcPr>
          <w:p>
            <w:pPr>
              <w:spacing w:line="288" w:lineRule="auto"/>
              <w:jc w:val="center"/>
            </w:pPr>
            <w:r>
              <w:rPr>
                <w:rFonts w:hint="eastAsia"/>
              </w:rPr>
              <w:t>设计扬程（m）</w:t>
            </w:r>
          </w:p>
        </w:tc>
        <w:tc>
          <w:tcPr>
            <w:tcW w:w="1843"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pPr>
              <w:spacing w:line="288" w:lineRule="auto"/>
              <w:jc w:val="center"/>
            </w:pPr>
          </w:p>
        </w:tc>
        <w:tc>
          <w:tcPr>
            <w:tcW w:w="1414" w:type="dxa"/>
            <w:vAlign w:val="center"/>
          </w:tcPr>
          <w:p>
            <w:pPr>
              <w:spacing w:line="288" w:lineRule="auto"/>
              <w:jc w:val="center"/>
            </w:pPr>
          </w:p>
        </w:tc>
        <w:tc>
          <w:tcPr>
            <w:tcW w:w="1984" w:type="dxa"/>
            <w:vAlign w:val="center"/>
          </w:tcPr>
          <w:p>
            <w:pPr>
              <w:spacing w:line="288" w:lineRule="auto"/>
              <w:jc w:val="center"/>
            </w:pPr>
          </w:p>
        </w:tc>
        <w:tc>
          <w:tcPr>
            <w:tcW w:w="1843" w:type="dxa"/>
            <w:vAlign w:val="center"/>
          </w:tcPr>
          <w:p>
            <w:pPr>
              <w:spacing w:line="288" w:lineRule="auto"/>
              <w:jc w:val="center"/>
            </w:pPr>
          </w:p>
        </w:tc>
        <w:tc>
          <w:tcPr>
            <w:tcW w:w="1843" w:type="dxa"/>
            <w:vAlign w:val="center"/>
          </w:tcPr>
          <w:p>
            <w:pPr>
              <w:spacing w:line="288" w:lineRule="auto"/>
              <w:jc w:val="cente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集中供暖系统耗电输热比：</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709"/>
        <w:gridCol w:w="709"/>
        <w:gridCol w:w="1406"/>
        <w:gridCol w:w="624"/>
        <w:gridCol w:w="1088"/>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76" w:type="dxa"/>
            <w:vMerge w:val="restart"/>
            <w:vAlign w:val="center"/>
          </w:tcPr>
          <w:p>
            <w:pPr>
              <w:spacing w:line="288" w:lineRule="auto"/>
              <w:jc w:val="center"/>
            </w:pPr>
            <w:r>
              <w:rPr>
                <w:rFonts w:hint="eastAsia"/>
              </w:rPr>
              <w:t>设计热负荷</w:t>
            </w:r>
          </w:p>
          <w:p>
            <w:pPr>
              <w:spacing w:line="288" w:lineRule="auto"/>
              <w:jc w:val="center"/>
            </w:pPr>
            <w:r>
              <w:rPr>
                <w:rFonts w:hint="eastAsia"/>
              </w:rPr>
              <w:t>（kW）</w:t>
            </w:r>
          </w:p>
        </w:tc>
        <w:tc>
          <w:tcPr>
            <w:tcW w:w="1559"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709" w:type="dxa"/>
            <w:vMerge w:val="restart"/>
            <w:vAlign w:val="center"/>
          </w:tcPr>
          <w:p>
            <w:pPr>
              <w:spacing w:line="288" w:lineRule="auto"/>
              <w:jc w:val="center"/>
            </w:pPr>
            <w:r>
              <w:rPr>
                <w:rFonts w:hint="eastAsia"/>
              </w:rPr>
              <w:t>A</w:t>
            </w:r>
          </w:p>
        </w:tc>
        <w:tc>
          <w:tcPr>
            <w:tcW w:w="709" w:type="dxa"/>
            <w:vMerge w:val="restart"/>
            <w:vAlign w:val="center"/>
          </w:tcPr>
          <w:p>
            <w:pPr>
              <w:spacing w:line="288" w:lineRule="auto"/>
              <w:jc w:val="center"/>
            </w:pPr>
            <w:r>
              <w:rPr>
                <w:rFonts w:hint="eastAsia"/>
              </w:rPr>
              <w:t>B</w:t>
            </w:r>
          </w:p>
        </w:tc>
        <w:tc>
          <w:tcPr>
            <w:tcW w:w="1406" w:type="dxa"/>
            <w:vMerge w:val="restart"/>
            <w:vAlign w:val="center"/>
          </w:tcPr>
          <w:p>
            <w:pPr>
              <w:widowControl/>
              <w:spacing w:line="288" w:lineRule="auto"/>
            </w:pPr>
            <w:r>
              <w:rPr>
                <w:rFonts w:hint="eastAsia"/>
              </w:rPr>
              <w:t>供回水管道总长度（m）</w:t>
            </w:r>
          </w:p>
        </w:tc>
        <w:tc>
          <w:tcPr>
            <w:tcW w:w="624" w:type="dxa"/>
            <w:vMerge w:val="restart"/>
            <w:vAlign w:val="center"/>
          </w:tcPr>
          <w:p>
            <w:pPr>
              <w:widowControl/>
              <w:spacing w:line="288" w:lineRule="auto"/>
              <w:jc w:val="center"/>
            </w:pPr>
            <w:r>
              <w:rPr>
                <w:rFonts w:hint="eastAsia"/>
              </w:rPr>
              <w:t>α</w:t>
            </w:r>
          </w:p>
        </w:tc>
        <w:tc>
          <w:tcPr>
            <w:tcW w:w="2081" w:type="dxa"/>
            <w:gridSpan w:val="2"/>
            <w:vAlign w:val="center"/>
          </w:tcPr>
          <w:p>
            <w:pPr>
              <w:spacing w:line="288" w:lineRule="auto"/>
              <w:jc w:val="center"/>
            </w:pPr>
            <w:r>
              <w:rPr>
                <w:rFonts w:hint="eastAsia"/>
              </w:rPr>
              <w:t>集中供暖系统</w:t>
            </w:r>
          </w:p>
          <w:p>
            <w:pPr>
              <w:widowControl/>
              <w:spacing w:line="288" w:lineRule="auto"/>
              <w:jc w:val="center"/>
            </w:pPr>
            <w:r>
              <w:rPr>
                <w:rFonts w:hint="eastAsia"/>
              </w:rPr>
              <w:t>耗电输热比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vMerge w:val="continue"/>
            <w:vAlign w:val="center"/>
          </w:tcPr>
          <w:p>
            <w:pPr>
              <w:spacing w:line="288" w:lineRule="auto"/>
              <w:jc w:val="center"/>
            </w:pPr>
          </w:p>
        </w:tc>
        <w:tc>
          <w:tcPr>
            <w:tcW w:w="155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709" w:type="dxa"/>
            <w:vMerge w:val="continue"/>
            <w:vAlign w:val="center"/>
          </w:tcPr>
          <w:p>
            <w:pPr>
              <w:spacing w:line="288" w:lineRule="auto"/>
              <w:jc w:val="center"/>
            </w:pPr>
          </w:p>
        </w:tc>
        <w:tc>
          <w:tcPr>
            <w:tcW w:w="1406" w:type="dxa"/>
            <w:vMerge w:val="continue"/>
            <w:vAlign w:val="center"/>
          </w:tcPr>
          <w:p>
            <w:pPr>
              <w:spacing w:line="288" w:lineRule="auto"/>
              <w:jc w:val="center"/>
            </w:pPr>
          </w:p>
        </w:tc>
        <w:tc>
          <w:tcPr>
            <w:tcW w:w="624" w:type="dxa"/>
            <w:vMerge w:val="continue"/>
            <w:vAlign w:val="center"/>
          </w:tcPr>
          <w:p>
            <w:pPr>
              <w:spacing w:line="288" w:lineRule="auto"/>
              <w:jc w:val="center"/>
            </w:pPr>
          </w:p>
        </w:tc>
        <w:tc>
          <w:tcPr>
            <w:tcW w:w="1088" w:type="dxa"/>
            <w:vAlign w:val="center"/>
          </w:tcPr>
          <w:p>
            <w:pPr>
              <w:widowControl/>
              <w:spacing w:line="288" w:lineRule="auto"/>
              <w:jc w:val="center"/>
            </w:pPr>
            <w:r>
              <w:rPr>
                <w:rFonts w:hint="eastAsia"/>
              </w:rPr>
              <w:t>设计值</w:t>
            </w:r>
          </w:p>
        </w:tc>
        <w:tc>
          <w:tcPr>
            <w:tcW w:w="993" w:type="dxa"/>
            <w:vAlign w:val="center"/>
          </w:tcPr>
          <w:p>
            <w:pPr>
              <w:widowControl/>
              <w:spacing w:line="288" w:lineRule="auto"/>
              <w:jc w:val="center"/>
            </w:pPr>
            <w:r>
              <w:rPr>
                <w:rFonts w:hint="eastAsia"/>
                <w:kern w:val="0"/>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288" w:lineRule="auto"/>
              <w:jc w:val="center"/>
            </w:pPr>
          </w:p>
        </w:tc>
        <w:tc>
          <w:tcPr>
            <w:tcW w:w="1559" w:type="dxa"/>
            <w:vAlign w:val="center"/>
          </w:tcPr>
          <w:p>
            <w:pPr>
              <w:spacing w:line="288" w:lineRule="auto"/>
              <w:jc w:val="center"/>
            </w:pPr>
          </w:p>
        </w:tc>
        <w:tc>
          <w:tcPr>
            <w:tcW w:w="709" w:type="dxa"/>
            <w:vAlign w:val="center"/>
          </w:tcPr>
          <w:p>
            <w:pPr>
              <w:spacing w:line="288" w:lineRule="auto"/>
              <w:jc w:val="center"/>
            </w:pPr>
          </w:p>
        </w:tc>
        <w:tc>
          <w:tcPr>
            <w:tcW w:w="709" w:type="dxa"/>
            <w:vAlign w:val="center"/>
          </w:tcPr>
          <w:p>
            <w:pPr>
              <w:spacing w:line="288" w:lineRule="auto"/>
              <w:jc w:val="center"/>
            </w:pPr>
          </w:p>
        </w:tc>
        <w:tc>
          <w:tcPr>
            <w:tcW w:w="1406" w:type="dxa"/>
            <w:vAlign w:val="center"/>
          </w:tcPr>
          <w:p>
            <w:pPr>
              <w:spacing w:line="288" w:lineRule="auto"/>
              <w:jc w:val="center"/>
            </w:pPr>
          </w:p>
        </w:tc>
        <w:tc>
          <w:tcPr>
            <w:tcW w:w="624" w:type="dxa"/>
            <w:vAlign w:val="center"/>
          </w:tcPr>
          <w:p>
            <w:pPr>
              <w:spacing w:line="288" w:lineRule="auto"/>
              <w:jc w:val="center"/>
            </w:pPr>
          </w:p>
        </w:tc>
        <w:tc>
          <w:tcPr>
            <w:tcW w:w="1088" w:type="dxa"/>
            <w:vAlign w:val="center"/>
          </w:tcPr>
          <w:p>
            <w:pPr>
              <w:spacing w:line="288" w:lineRule="auto"/>
              <w:jc w:val="center"/>
            </w:pPr>
          </w:p>
        </w:tc>
        <w:tc>
          <w:tcPr>
            <w:tcW w:w="993" w:type="dxa"/>
            <w:vAlign w:val="center"/>
          </w:tcPr>
          <w:p>
            <w:pPr>
              <w:spacing w:line="288" w:lineRule="auto"/>
              <w:jc w:val="cente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通风空调系统风机单位风量耗功率：</w:t>
      </w:r>
    </w:p>
    <w:tbl>
      <w:tblPr>
        <w:tblStyle w:val="9"/>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09"/>
        <w:gridCol w:w="709"/>
        <w:gridCol w:w="2126"/>
        <w:gridCol w:w="1125"/>
        <w:gridCol w:w="856"/>
        <w:gridCol w:w="1136"/>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3" w:type="dxa"/>
            <w:vMerge w:val="restart"/>
            <w:vAlign w:val="center"/>
          </w:tcPr>
          <w:p>
            <w:pPr>
              <w:widowControl/>
              <w:spacing w:line="288" w:lineRule="auto"/>
              <w:jc w:val="center"/>
              <w:rPr>
                <w:rFonts w:cs="宋体"/>
                <w:kern w:val="0"/>
                <w:szCs w:val="18"/>
              </w:rPr>
            </w:pPr>
            <w:r>
              <w:rPr>
                <w:rFonts w:hint="eastAsia" w:cs="宋体"/>
                <w:kern w:val="0"/>
                <w:szCs w:val="18"/>
              </w:rPr>
              <w:t>设备编号</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设备类型</w:t>
            </w:r>
          </w:p>
        </w:tc>
        <w:tc>
          <w:tcPr>
            <w:tcW w:w="709" w:type="dxa"/>
            <w:vMerge w:val="restart"/>
            <w:vAlign w:val="center"/>
          </w:tcPr>
          <w:p>
            <w:pPr>
              <w:widowControl/>
              <w:spacing w:line="288" w:lineRule="auto"/>
              <w:jc w:val="center"/>
              <w:rPr>
                <w:rFonts w:cs="宋体"/>
                <w:kern w:val="0"/>
                <w:szCs w:val="18"/>
              </w:rPr>
            </w:pPr>
            <w:r>
              <w:rPr>
                <w:rFonts w:hint="eastAsia" w:cs="宋体"/>
                <w:kern w:val="0"/>
                <w:szCs w:val="18"/>
              </w:rPr>
              <w:t>系统形式</w:t>
            </w:r>
          </w:p>
        </w:tc>
        <w:tc>
          <w:tcPr>
            <w:tcW w:w="2126" w:type="dxa"/>
            <w:vMerge w:val="restart"/>
            <w:vAlign w:val="center"/>
          </w:tcPr>
          <w:p>
            <w:pPr>
              <w:widowControl/>
              <w:spacing w:line="288" w:lineRule="auto"/>
              <w:jc w:val="center"/>
              <w:rPr>
                <w:rFonts w:cs="宋体"/>
                <w:kern w:val="0"/>
                <w:szCs w:val="18"/>
              </w:rPr>
            </w:pPr>
            <w:r>
              <w:rPr>
                <w:rFonts w:hint="eastAsia" w:cs="宋体"/>
                <w:kern w:val="0"/>
                <w:szCs w:val="18"/>
              </w:rPr>
              <w:t>空调机组的余压</w:t>
            </w:r>
          </w:p>
          <w:p>
            <w:pPr>
              <w:widowControl/>
              <w:spacing w:line="288" w:lineRule="auto"/>
              <w:jc w:val="center"/>
              <w:rPr>
                <w:rFonts w:cs="宋体"/>
                <w:kern w:val="0"/>
                <w:szCs w:val="18"/>
              </w:rPr>
            </w:pPr>
            <w:r>
              <w:rPr>
                <w:rFonts w:hint="eastAsia" w:cs="宋体"/>
                <w:kern w:val="0"/>
                <w:szCs w:val="18"/>
              </w:rPr>
              <w:t>或通风系统风机的风压（Pa）</w:t>
            </w:r>
          </w:p>
        </w:tc>
        <w:tc>
          <w:tcPr>
            <w:tcW w:w="1125" w:type="dxa"/>
            <w:vMerge w:val="restart"/>
            <w:vAlign w:val="center"/>
          </w:tcPr>
          <w:p>
            <w:pPr>
              <w:widowControl/>
              <w:spacing w:line="288" w:lineRule="auto"/>
              <w:jc w:val="center"/>
              <w:rPr>
                <w:rFonts w:cs="宋体"/>
                <w:kern w:val="0"/>
                <w:szCs w:val="18"/>
              </w:rPr>
            </w:pPr>
            <w:r>
              <w:rPr>
                <w:rFonts w:hint="eastAsia" w:cs="宋体"/>
                <w:kern w:val="0"/>
                <w:szCs w:val="18"/>
              </w:rPr>
              <w:t>电机及传动效率</w:t>
            </w:r>
          </w:p>
        </w:tc>
        <w:tc>
          <w:tcPr>
            <w:tcW w:w="856" w:type="dxa"/>
            <w:vMerge w:val="restart"/>
            <w:vAlign w:val="center"/>
          </w:tcPr>
          <w:p>
            <w:pPr>
              <w:widowControl/>
              <w:spacing w:line="288" w:lineRule="auto"/>
              <w:jc w:val="center"/>
              <w:rPr>
                <w:rFonts w:cs="宋体"/>
                <w:kern w:val="0"/>
                <w:szCs w:val="18"/>
              </w:rPr>
            </w:pPr>
            <w:r>
              <w:rPr>
                <w:rFonts w:hint="eastAsia" w:cs="宋体"/>
                <w:kern w:val="0"/>
                <w:szCs w:val="18"/>
              </w:rPr>
              <w:t>风机效率</w:t>
            </w:r>
          </w:p>
        </w:tc>
        <w:tc>
          <w:tcPr>
            <w:tcW w:w="2085" w:type="dxa"/>
            <w:gridSpan w:val="2"/>
            <w:vAlign w:val="center"/>
          </w:tcPr>
          <w:p>
            <w:pPr>
              <w:widowControl/>
              <w:spacing w:line="288" w:lineRule="auto"/>
              <w:jc w:val="center"/>
              <w:rPr>
                <w:rFonts w:cs="宋体"/>
                <w:kern w:val="0"/>
                <w:szCs w:val="18"/>
              </w:rPr>
            </w:pPr>
            <w:r>
              <w:rPr>
                <w:rFonts w:hint="eastAsia" w:cs="宋体"/>
                <w:kern w:val="0"/>
                <w:szCs w:val="18"/>
              </w:rPr>
              <w:t>风机的单位风量耗功率（W/(m</w:t>
            </w:r>
            <w:r>
              <w:rPr>
                <w:rFonts w:cs="宋体"/>
                <w:kern w:val="0"/>
                <w:szCs w:val="18"/>
                <w:vertAlign w:val="superscript"/>
              </w:rPr>
              <w:t>3</w:t>
            </w:r>
            <w:r>
              <w:rPr>
                <w:rFonts w:hint="eastAsia" w:cs="宋体"/>
                <w:kern w:val="0"/>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3"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709" w:type="dxa"/>
            <w:vMerge w:val="continue"/>
            <w:vAlign w:val="center"/>
          </w:tcPr>
          <w:p>
            <w:pPr>
              <w:widowControl/>
              <w:spacing w:line="288" w:lineRule="auto"/>
              <w:jc w:val="center"/>
              <w:rPr>
                <w:rFonts w:cs="宋体"/>
                <w:kern w:val="0"/>
                <w:szCs w:val="18"/>
              </w:rPr>
            </w:pPr>
          </w:p>
        </w:tc>
        <w:tc>
          <w:tcPr>
            <w:tcW w:w="2126" w:type="dxa"/>
            <w:vMerge w:val="continue"/>
            <w:vAlign w:val="center"/>
          </w:tcPr>
          <w:p>
            <w:pPr>
              <w:widowControl/>
              <w:spacing w:line="288" w:lineRule="auto"/>
              <w:jc w:val="center"/>
              <w:rPr>
                <w:rFonts w:cs="宋体"/>
                <w:kern w:val="0"/>
                <w:szCs w:val="18"/>
              </w:rPr>
            </w:pPr>
          </w:p>
        </w:tc>
        <w:tc>
          <w:tcPr>
            <w:tcW w:w="1125" w:type="dxa"/>
            <w:vMerge w:val="continue"/>
            <w:vAlign w:val="center"/>
          </w:tcPr>
          <w:p>
            <w:pPr>
              <w:widowControl/>
              <w:spacing w:line="288" w:lineRule="auto"/>
              <w:jc w:val="center"/>
              <w:rPr>
                <w:rFonts w:cs="宋体"/>
                <w:kern w:val="0"/>
                <w:szCs w:val="18"/>
              </w:rPr>
            </w:pPr>
          </w:p>
        </w:tc>
        <w:tc>
          <w:tcPr>
            <w:tcW w:w="856" w:type="dxa"/>
            <w:vMerge w:val="continue"/>
            <w:vAlign w:val="center"/>
          </w:tcPr>
          <w:p>
            <w:pPr>
              <w:widowControl/>
              <w:spacing w:line="288" w:lineRule="auto"/>
              <w:jc w:val="center"/>
              <w:rPr>
                <w:rFonts w:cs="宋体"/>
                <w:kern w:val="0"/>
                <w:szCs w:val="18"/>
              </w:rPr>
            </w:pPr>
          </w:p>
        </w:tc>
        <w:tc>
          <w:tcPr>
            <w:tcW w:w="1136" w:type="dxa"/>
            <w:vAlign w:val="center"/>
          </w:tcPr>
          <w:p>
            <w:pPr>
              <w:spacing w:line="288" w:lineRule="auto"/>
              <w:jc w:val="center"/>
              <w:rPr>
                <w:rFonts w:cs="宋体"/>
                <w:kern w:val="0"/>
                <w:szCs w:val="18"/>
              </w:rPr>
            </w:pPr>
            <w:r>
              <w:rPr>
                <w:rFonts w:hint="eastAsia" w:cs="宋体"/>
                <w:kern w:val="0"/>
                <w:szCs w:val="18"/>
              </w:rPr>
              <w:t>设计值</w:t>
            </w:r>
          </w:p>
        </w:tc>
        <w:tc>
          <w:tcPr>
            <w:tcW w:w="949" w:type="dxa"/>
            <w:vAlign w:val="center"/>
          </w:tcPr>
          <w:p>
            <w:pPr>
              <w:spacing w:line="288" w:lineRule="auto"/>
              <w:jc w:val="center"/>
              <w:rPr>
                <w:rFonts w:cs="宋体"/>
                <w:kern w:val="0"/>
                <w:szCs w:val="18"/>
              </w:rPr>
            </w:pPr>
            <w:r>
              <w:rPr>
                <w:rFonts w:hint="eastAsia" w:cs="宋体"/>
                <w:kern w:val="0"/>
                <w:szCs w:val="18"/>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709" w:type="dxa"/>
            <w:vAlign w:val="center"/>
          </w:tcPr>
          <w:p>
            <w:pPr>
              <w:widowControl/>
              <w:spacing w:line="288" w:lineRule="auto"/>
              <w:jc w:val="center"/>
              <w:rPr>
                <w:rFonts w:cs="宋体"/>
                <w:kern w:val="0"/>
                <w:szCs w:val="18"/>
              </w:rPr>
            </w:pPr>
          </w:p>
        </w:tc>
        <w:tc>
          <w:tcPr>
            <w:tcW w:w="2126" w:type="dxa"/>
            <w:vAlign w:val="center"/>
          </w:tcPr>
          <w:p>
            <w:pPr>
              <w:widowControl/>
              <w:spacing w:line="288" w:lineRule="auto"/>
              <w:jc w:val="center"/>
              <w:rPr>
                <w:rFonts w:cs="宋体"/>
                <w:kern w:val="0"/>
                <w:szCs w:val="18"/>
              </w:rPr>
            </w:pPr>
          </w:p>
        </w:tc>
        <w:tc>
          <w:tcPr>
            <w:tcW w:w="1125" w:type="dxa"/>
            <w:vAlign w:val="center"/>
          </w:tcPr>
          <w:p>
            <w:pPr>
              <w:widowControl/>
              <w:spacing w:line="288" w:lineRule="auto"/>
              <w:jc w:val="center"/>
              <w:rPr>
                <w:rFonts w:cs="宋体"/>
                <w:kern w:val="0"/>
                <w:szCs w:val="18"/>
              </w:rPr>
            </w:pPr>
          </w:p>
        </w:tc>
        <w:tc>
          <w:tcPr>
            <w:tcW w:w="856" w:type="dxa"/>
            <w:vAlign w:val="center"/>
          </w:tcPr>
          <w:p>
            <w:pPr>
              <w:widowControl/>
              <w:spacing w:line="288" w:lineRule="auto"/>
              <w:jc w:val="center"/>
              <w:rPr>
                <w:rFonts w:cs="宋体"/>
                <w:kern w:val="0"/>
                <w:szCs w:val="18"/>
              </w:rPr>
            </w:pPr>
          </w:p>
        </w:tc>
        <w:tc>
          <w:tcPr>
            <w:tcW w:w="1136" w:type="dxa"/>
            <w:vAlign w:val="center"/>
          </w:tcPr>
          <w:p>
            <w:pPr>
              <w:widowControl/>
              <w:spacing w:line="288" w:lineRule="auto"/>
              <w:jc w:val="center"/>
              <w:rPr>
                <w:rFonts w:cs="宋体"/>
                <w:kern w:val="0"/>
                <w:szCs w:val="18"/>
              </w:rPr>
            </w:pPr>
          </w:p>
        </w:tc>
        <w:tc>
          <w:tcPr>
            <w:tcW w:w="949" w:type="dxa"/>
            <w:vAlign w:val="center"/>
          </w:tcPr>
          <w:p>
            <w:pPr>
              <w:widowControl/>
              <w:spacing w:line="288" w:lineRule="auto"/>
              <w:jc w:val="center"/>
              <w:rPr>
                <w:rFonts w:cs="宋体"/>
                <w:kern w:val="0"/>
                <w:szCs w:val="18"/>
              </w:rPr>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风机单位风量耗功率降低比例：%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空调冷热水系统循环水泵性能参数：</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2126"/>
        <w:gridCol w:w="184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r>
              <w:rPr>
                <w:rFonts w:hint="eastAsia"/>
              </w:rPr>
              <w:t>设备编号</w:t>
            </w:r>
          </w:p>
        </w:tc>
        <w:tc>
          <w:tcPr>
            <w:tcW w:w="1276" w:type="dxa"/>
            <w:vAlign w:val="center"/>
          </w:tcPr>
          <w:p>
            <w:pPr>
              <w:spacing w:line="288" w:lineRule="auto"/>
              <w:jc w:val="center"/>
            </w:pPr>
            <w:r>
              <w:rPr>
                <w:rFonts w:hint="eastAsia"/>
              </w:rPr>
              <w:t>设备类型</w:t>
            </w:r>
          </w:p>
        </w:tc>
        <w:tc>
          <w:tcPr>
            <w:tcW w:w="2126" w:type="dxa"/>
            <w:vAlign w:val="center"/>
          </w:tcPr>
          <w:p>
            <w:pPr>
              <w:spacing w:line="288" w:lineRule="auto"/>
              <w:jc w:val="center"/>
            </w:pPr>
            <w:r>
              <w:rPr>
                <w:rFonts w:hint="eastAsia"/>
              </w:rPr>
              <w:t>设计流量（m</w:t>
            </w:r>
            <w:r>
              <w:rPr>
                <w:rFonts w:hint="eastAsia"/>
                <w:vertAlign w:val="superscript"/>
              </w:rPr>
              <w:t>3</w:t>
            </w:r>
            <w:r>
              <w:rPr>
                <w:rFonts w:hint="eastAsia"/>
              </w:rPr>
              <w:t>/h）</w:t>
            </w:r>
          </w:p>
        </w:tc>
        <w:tc>
          <w:tcPr>
            <w:tcW w:w="1843" w:type="dxa"/>
            <w:vAlign w:val="center"/>
          </w:tcPr>
          <w:p>
            <w:pPr>
              <w:spacing w:line="288" w:lineRule="auto"/>
              <w:jc w:val="center"/>
            </w:pPr>
            <w:r>
              <w:rPr>
                <w:rFonts w:hint="eastAsia"/>
              </w:rPr>
              <w:t>设计扬程（m）</w:t>
            </w:r>
          </w:p>
        </w:tc>
        <w:tc>
          <w:tcPr>
            <w:tcW w:w="1985" w:type="dxa"/>
            <w:vAlign w:val="center"/>
          </w:tcPr>
          <w:p>
            <w:pPr>
              <w:spacing w:line="288" w:lineRule="auto"/>
              <w:jc w:val="center"/>
            </w:pPr>
            <w:r>
              <w:rPr>
                <w:rFonts w:hint="eastAsia"/>
              </w:rPr>
              <w:t>设计工作点效率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line="288" w:lineRule="auto"/>
              <w:jc w:val="center"/>
            </w:pPr>
          </w:p>
        </w:tc>
        <w:tc>
          <w:tcPr>
            <w:tcW w:w="1276" w:type="dxa"/>
            <w:vAlign w:val="center"/>
          </w:tcPr>
          <w:p>
            <w:pPr>
              <w:spacing w:line="288" w:lineRule="auto"/>
              <w:jc w:val="center"/>
            </w:pPr>
          </w:p>
        </w:tc>
        <w:tc>
          <w:tcPr>
            <w:tcW w:w="2126" w:type="dxa"/>
            <w:vAlign w:val="center"/>
          </w:tcPr>
          <w:p>
            <w:pPr>
              <w:spacing w:line="288" w:lineRule="auto"/>
              <w:jc w:val="center"/>
            </w:pPr>
          </w:p>
        </w:tc>
        <w:tc>
          <w:tcPr>
            <w:tcW w:w="1843" w:type="dxa"/>
            <w:vAlign w:val="center"/>
          </w:tcPr>
          <w:p>
            <w:pPr>
              <w:spacing w:line="288" w:lineRule="auto"/>
              <w:jc w:val="center"/>
            </w:pPr>
          </w:p>
        </w:tc>
        <w:tc>
          <w:tcPr>
            <w:tcW w:w="1985" w:type="dxa"/>
            <w:vAlign w:val="center"/>
          </w:tcPr>
          <w:p>
            <w:pPr>
              <w:spacing w:line="288" w:lineRule="auto"/>
              <w:jc w:val="center"/>
            </w:pPr>
          </w:p>
        </w:tc>
      </w:tr>
    </w:tbl>
    <w:p>
      <w:pPr>
        <w:spacing w:line="288" w:lineRule="auto"/>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空调冷热水系统循环水泵的耗电输冷（热）比：</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60"/>
        <w:gridCol w:w="396"/>
        <w:gridCol w:w="385"/>
        <w:gridCol w:w="1244"/>
        <w:gridCol w:w="42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6" w:type="dxa"/>
            <w:vMerge w:val="restart"/>
            <w:vAlign w:val="center"/>
          </w:tcPr>
          <w:p>
            <w:pPr>
              <w:spacing w:line="288" w:lineRule="auto"/>
              <w:jc w:val="center"/>
            </w:pPr>
            <w:r>
              <w:rPr>
                <w:rFonts w:hint="eastAsia"/>
              </w:rPr>
              <w:t>设计冷/热负荷</w:t>
            </w:r>
          </w:p>
          <w:p>
            <w:pPr>
              <w:spacing w:line="288" w:lineRule="auto"/>
              <w:jc w:val="center"/>
            </w:pPr>
            <w:r>
              <w:rPr>
                <w:rFonts w:hint="eastAsia"/>
              </w:rPr>
              <w:t>（kW）</w:t>
            </w:r>
          </w:p>
        </w:tc>
        <w:tc>
          <w:tcPr>
            <w:tcW w:w="1360" w:type="dxa"/>
            <w:vMerge w:val="restart"/>
            <w:vAlign w:val="center"/>
          </w:tcPr>
          <w:p>
            <w:pPr>
              <w:spacing w:line="288" w:lineRule="auto"/>
              <w:jc w:val="center"/>
            </w:pPr>
            <w:r>
              <w:rPr>
                <w:rFonts w:hint="eastAsia"/>
              </w:rPr>
              <w:t>设计供回水</w:t>
            </w:r>
          </w:p>
          <w:p>
            <w:pPr>
              <w:spacing w:line="288" w:lineRule="auto"/>
              <w:jc w:val="center"/>
            </w:pPr>
            <w:r>
              <w:rPr>
                <w:rFonts w:hint="eastAsia"/>
              </w:rPr>
              <w:t>温差（℃）</w:t>
            </w:r>
          </w:p>
        </w:tc>
        <w:tc>
          <w:tcPr>
            <w:tcW w:w="396" w:type="dxa"/>
            <w:vMerge w:val="restart"/>
            <w:vAlign w:val="center"/>
          </w:tcPr>
          <w:p>
            <w:pPr>
              <w:spacing w:line="288" w:lineRule="auto"/>
              <w:jc w:val="center"/>
            </w:pPr>
            <w:r>
              <w:rPr>
                <w:rFonts w:hint="eastAsia"/>
              </w:rPr>
              <w:t>A</w:t>
            </w:r>
          </w:p>
        </w:tc>
        <w:tc>
          <w:tcPr>
            <w:tcW w:w="385" w:type="dxa"/>
            <w:vMerge w:val="restart"/>
            <w:vAlign w:val="center"/>
          </w:tcPr>
          <w:p>
            <w:pPr>
              <w:spacing w:line="288" w:lineRule="auto"/>
              <w:jc w:val="center"/>
            </w:pPr>
            <w:r>
              <w:rPr>
                <w:rFonts w:hint="eastAsia"/>
              </w:rPr>
              <w:t>B</w:t>
            </w:r>
          </w:p>
        </w:tc>
        <w:tc>
          <w:tcPr>
            <w:tcW w:w="1244" w:type="dxa"/>
            <w:vMerge w:val="restart"/>
            <w:vAlign w:val="center"/>
          </w:tcPr>
          <w:p>
            <w:pPr>
              <w:spacing w:line="288" w:lineRule="auto"/>
              <w:jc w:val="center"/>
            </w:pPr>
            <w:r>
              <w:rPr>
                <w:rFonts w:hint="eastAsia"/>
              </w:rPr>
              <w:t>供回水管道总长度（m）</w:t>
            </w:r>
          </w:p>
        </w:tc>
        <w:tc>
          <w:tcPr>
            <w:tcW w:w="425" w:type="dxa"/>
            <w:vMerge w:val="restart"/>
            <w:vAlign w:val="center"/>
          </w:tcPr>
          <w:p>
            <w:pPr>
              <w:spacing w:line="288" w:lineRule="auto"/>
              <w:jc w:val="center"/>
            </w:pPr>
            <w:r>
              <w:rPr>
                <w:rFonts w:hint="eastAsia"/>
              </w:rPr>
              <w:t>α</w:t>
            </w:r>
          </w:p>
        </w:tc>
        <w:tc>
          <w:tcPr>
            <w:tcW w:w="3686" w:type="dxa"/>
            <w:gridSpan w:val="3"/>
            <w:vAlign w:val="center"/>
          </w:tcPr>
          <w:p>
            <w:pPr>
              <w:spacing w:line="288" w:lineRule="auto"/>
              <w:jc w:val="center"/>
            </w:pPr>
            <w:r>
              <w:rPr>
                <w:rFonts w:hint="eastAsia"/>
              </w:rPr>
              <w:t>空调冷热水系统循环水泵</w:t>
            </w:r>
          </w:p>
          <w:p>
            <w:pPr>
              <w:spacing w:line="288" w:lineRule="auto"/>
              <w:jc w:val="center"/>
            </w:pPr>
            <w:r>
              <w:rPr>
                <w:rFonts w:hint="eastAsia"/>
              </w:rPr>
              <w:t>的耗电输冷（热）比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6" w:type="dxa"/>
            <w:vMerge w:val="continue"/>
            <w:vAlign w:val="center"/>
          </w:tcPr>
          <w:p>
            <w:pPr>
              <w:spacing w:line="288" w:lineRule="auto"/>
              <w:jc w:val="center"/>
            </w:pPr>
          </w:p>
        </w:tc>
        <w:tc>
          <w:tcPr>
            <w:tcW w:w="1360" w:type="dxa"/>
            <w:vMerge w:val="continue"/>
            <w:vAlign w:val="center"/>
          </w:tcPr>
          <w:p>
            <w:pPr>
              <w:spacing w:line="288" w:lineRule="auto"/>
              <w:jc w:val="center"/>
            </w:pPr>
          </w:p>
        </w:tc>
        <w:tc>
          <w:tcPr>
            <w:tcW w:w="396" w:type="dxa"/>
            <w:vMerge w:val="continue"/>
            <w:vAlign w:val="center"/>
          </w:tcPr>
          <w:p>
            <w:pPr>
              <w:spacing w:line="288" w:lineRule="auto"/>
              <w:jc w:val="center"/>
            </w:pPr>
          </w:p>
        </w:tc>
        <w:tc>
          <w:tcPr>
            <w:tcW w:w="385" w:type="dxa"/>
            <w:vMerge w:val="continue"/>
            <w:vAlign w:val="center"/>
          </w:tcPr>
          <w:p>
            <w:pPr>
              <w:spacing w:line="288" w:lineRule="auto"/>
              <w:jc w:val="center"/>
            </w:pPr>
          </w:p>
        </w:tc>
        <w:tc>
          <w:tcPr>
            <w:tcW w:w="1244" w:type="dxa"/>
            <w:vMerge w:val="continue"/>
            <w:vAlign w:val="center"/>
          </w:tcPr>
          <w:p>
            <w:pPr>
              <w:spacing w:line="288" w:lineRule="auto"/>
              <w:jc w:val="center"/>
            </w:pPr>
          </w:p>
        </w:tc>
        <w:tc>
          <w:tcPr>
            <w:tcW w:w="425" w:type="dxa"/>
            <w:vMerge w:val="continue"/>
            <w:vAlign w:val="center"/>
          </w:tcPr>
          <w:p>
            <w:pPr>
              <w:spacing w:line="288" w:lineRule="auto"/>
              <w:jc w:val="center"/>
            </w:pPr>
          </w:p>
        </w:tc>
        <w:tc>
          <w:tcPr>
            <w:tcW w:w="1134" w:type="dxa"/>
            <w:vAlign w:val="center"/>
          </w:tcPr>
          <w:p>
            <w:pPr>
              <w:spacing w:line="288" w:lineRule="auto"/>
              <w:jc w:val="center"/>
            </w:pPr>
            <w:r>
              <w:rPr>
                <w:rFonts w:hint="eastAsia"/>
              </w:rPr>
              <w:t>设计值</w:t>
            </w:r>
          </w:p>
        </w:tc>
        <w:tc>
          <w:tcPr>
            <w:tcW w:w="1276" w:type="dxa"/>
            <w:vAlign w:val="center"/>
          </w:tcPr>
          <w:p>
            <w:pPr>
              <w:spacing w:line="288" w:lineRule="auto"/>
              <w:jc w:val="center"/>
            </w:pPr>
            <w:r>
              <w:rPr>
                <w:rFonts w:hint="eastAsia"/>
              </w:rPr>
              <w:t>限值</w:t>
            </w:r>
          </w:p>
        </w:tc>
        <w:tc>
          <w:tcPr>
            <w:tcW w:w="1276" w:type="dxa"/>
          </w:tcPr>
          <w:p>
            <w:pPr>
              <w:spacing w:line="288" w:lineRule="auto"/>
              <w:jc w:val="center"/>
            </w:pPr>
            <w:r>
              <w:rPr>
                <w:rFonts w:hint="eastAsia"/>
              </w:rPr>
              <w:t>降低幅度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88" w:lineRule="auto"/>
              <w:jc w:val="center"/>
            </w:pPr>
          </w:p>
        </w:tc>
        <w:tc>
          <w:tcPr>
            <w:tcW w:w="1360" w:type="dxa"/>
            <w:vAlign w:val="center"/>
          </w:tcPr>
          <w:p>
            <w:pPr>
              <w:spacing w:line="288" w:lineRule="auto"/>
              <w:jc w:val="center"/>
            </w:pPr>
          </w:p>
        </w:tc>
        <w:tc>
          <w:tcPr>
            <w:tcW w:w="396" w:type="dxa"/>
            <w:vAlign w:val="center"/>
          </w:tcPr>
          <w:p>
            <w:pPr>
              <w:spacing w:line="288" w:lineRule="auto"/>
              <w:jc w:val="center"/>
            </w:pPr>
          </w:p>
        </w:tc>
        <w:tc>
          <w:tcPr>
            <w:tcW w:w="385" w:type="dxa"/>
            <w:vAlign w:val="center"/>
          </w:tcPr>
          <w:p>
            <w:pPr>
              <w:spacing w:line="288" w:lineRule="auto"/>
              <w:jc w:val="center"/>
            </w:pPr>
          </w:p>
        </w:tc>
        <w:tc>
          <w:tcPr>
            <w:tcW w:w="1244" w:type="dxa"/>
            <w:vAlign w:val="center"/>
          </w:tcPr>
          <w:p>
            <w:pPr>
              <w:spacing w:line="288" w:lineRule="auto"/>
              <w:jc w:val="center"/>
            </w:pPr>
          </w:p>
        </w:tc>
        <w:tc>
          <w:tcPr>
            <w:tcW w:w="425" w:type="dxa"/>
            <w:vAlign w:val="center"/>
          </w:tcPr>
          <w:p>
            <w:pPr>
              <w:spacing w:line="288" w:lineRule="auto"/>
              <w:jc w:val="center"/>
            </w:pPr>
          </w:p>
        </w:tc>
        <w:tc>
          <w:tcPr>
            <w:tcW w:w="1134" w:type="dxa"/>
            <w:vAlign w:val="center"/>
          </w:tcPr>
          <w:p>
            <w:pPr>
              <w:spacing w:line="288" w:lineRule="auto"/>
              <w:jc w:val="center"/>
            </w:pPr>
          </w:p>
        </w:tc>
        <w:tc>
          <w:tcPr>
            <w:tcW w:w="1276" w:type="dxa"/>
            <w:vAlign w:val="center"/>
          </w:tcPr>
          <w:p>
            <w:pPr>
              <w:spacing w:line="288" w:lineRule="auto"/>
              <w:jc w:val="center"/>
            </w:pPr>
          </w:p>
        </w:tc>
        <w:tc>
          <w:tcPr>
            <w:tcW w:w="1276" w:type="dxa"/>
          </w:tcPr>
          <w:p>
            <w:pPr>
              <w:spacing w:line="288" w:lineRule="auto"/>
              <w:jc w:val="cente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816"/>
        <w:gridCol w:w="3996"/>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81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9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81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9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应体现风系统形式和送风温度、空调采暖系统冷热源形式和容量、水系统形式和供回水温度</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通风空调系统风机的单位风量耗功率计算书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集中供暖系统热水循环泵的耗电输热比计算书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空调冷热水系统循环水泵的耗电输冷（热）比计算书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暖通设备清单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应体现集中供暖系统热水循环泵和冷热水系统循环水泵的设计流量、设计扬程、设计工作点效率等设计参数</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应体现通风空调系统空调机组风机的余压或通风系统风机的风压、电机及传动效率和风机效率等设计参数</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暖通产品说明、产品型式检验报告</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应体现实际安装集中供暖系统热水循环泵、空调冷热水系统循环水泵的设备类型、型号和性能参数（设计流量、设计扬程、设计工作点效率等），且与设备清单吻合</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应体现实际安装通风空调系统的设备类型、型号和性能参数（通风空调系统空调机组风机的余压或通风系统风机的风压、电机及传动效率和风机效率等），且与设备清单吻合</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空调冷热水系统循环水泵运行记录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通风空调系统运行记录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集中供暖系统热水循环泵运行记录</w:t>
            </w:r>
          </w:p>
        </w:tc>
        <w:tc>
          <w:tcPr>
            <w:tcW w:w="3996"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7.2.7 采用节能型电气设备及节能控制措施。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各类建筑的照明功率密度值不应高于现行国家标准《建筑照明设计标准》</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50034</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规定的目标值，</w:t>
      </w:r>
      <w:r>
        <w:rPr>
          <w:rFonts w:hint="eastAsia"/>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采光区域的人工照明随天然光照度变化自动调节，</w:t>
      </w:r>
      <w:r>
        <w:rPr>
          <w:rFonts w:hint="eastAsia"/>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照明产品、三相配电变压器、水泵、风机等设备满足国家现行有关标准的节能评价值的要求，</w:t>
      </w:r>
      <w:r>
        <w:rPr>
          <w:rFonts w:hint="eastAsia"/>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供暖空调系统根据室内外环境变化，结合房间负荷变化，实现系统风量、水量、设备运行状态的控制调节，</w:t>
      </w:r>
      <w:r>
        <w:rPr>
          <w:rFonts w:hint="eastAsia"/>
        </w:rPr>
        <w:t>□</w:t>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简要说明照明系统灯具类型、主要灯具型号和参数：（150字以内）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应包括照明设计要求、照明设计标准、照明控制措施等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照明功率密度计算分析报告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照明功率密度现场检测报告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364" w:type="dxa"/>
          </w:tcPr>
          <w:p>
            <w:pPr>
              <w:spacing w:line="288" w:lineRule="auto"/>
            </w:pPr>
          </w:p>
        </w:tc>
      </w:tr>
    </w:tbl>
    <w:p/>
    <w:p/>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7.2.8 采取措施降低建筑能耗。</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1建筑能耗相比国家和地方现行有关建筑能耗标准的约束值降低10%，</w:t>
      </w:r>
      <w:r>
        <w:rPr>
          <w:rFonts w:hint="eastAsia"/>
        </w:rPr>
        <w:t>□</w:t>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2达到引导值，</w:t>
      </w:r>
      <w:r>
        <w:rPr>
          <w:rFonts w:hint="eastAsia"/>
        </w:rPr>
        <w:t>□</w:t>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建筑所处城市的建筑热工气候分区：</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建筑总能耗：</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 xml:space="preserve"> MJ/a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建筑单位面积能耗：</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kWh/（m2˙a）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围护结构热工性能提高比例：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供暖空调负荷降低比例：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严寒和寒冷地区住宅外窗传热系数降低比例：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建筑能耗降低幅度：</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项目采取的节能措施。（100字以内）</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114" w:type="dxa"/>
            <w:tcBorders>
              <w:top w:val="single" w:color="auto" w:sz="4" w:space="0"/>
              <w:left w:val="single" w:color="auto" w:sz="4" w:space="0"/>
              <w:bottom w:val="single" w:color="auto" w:sz="4" w:space="0"/>
              <w:right w:val="single" w:color="auto" w:sz="4" w:space="0"/>
            </w:tcBorders>
          </w:tcPr>
          <w:p>
            <w:pPr>
              <w:pStyle w:val="14"/>
              <w:spacing w:line="288" w:lineRule="auto"/>
              <w:ind w:firstLine="10" w:firstLineChars="5"/>
              <w:outlineLvl w:val="9"/>
              <w:rPr>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暖通空调能耗模拟计算书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照明能耗模拟计算书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运行能耗统计数据及其节能率计算报告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暖通系统运行调试记录</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7.2.9 结合当地气候和自然资源条件合理利用可再生能源。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表7.2.9 可再生能源利用评分规则</w:t>
      </w:r>
    </w:p>
    <w:tbl>
      <w:tblPr>
        <w:tblStyle w:val="21"/>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369"/>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7" w:type="dxa"/>
            <w:gridSpan w:val="2"/>
          </w:tcPr>
          <w:p>
            <w:pPr>
              <w:pStyle w:val="20"/>
              <w:rPr>
                <w:rFonts w:cs="Times New Roman"/>
                <w:b w:val="0"/>
              </w:rPr>
            </w:pPr>
            <w:bookmarkStart w:id="75" w:name="_Hlk24543856"/>
            <w:r>
              <w:rPr>
                <w:rFonts w:cs="Times New Roman"/>
                <w:b w:val="0"/>
              </w:rPr>
              <w:t>可再生能源利用类型和指标</w:t>
            </w:r>
          </w:p>
        </w:tc>
        <w:tc>
          <w:tcPr>
            <w:tcW w:w="817" w:type="dxa"/>
          </w:tcPr>
          <w:p>
            <w:pPr>
              <w:pStyle w:val="20"/>
              <w:rPr>
                <w:rFonts w:cs="Times New Roman"/>
                <w:b w:val="0"/>
              </w:rPr>
            </w:pPr>
            <w:r>
              <w:rPr>
                <w:rFonts w:cs="Times New Roman"/>
                <w:b w:val="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768" w:type="dxa"/>
            <w:vMerge w:val="restart"/>
          </w:tcPr>
          <w:p>
            <w:pPr>
              <w:pStyle w:val="20"/>
              <w:rPr>
                <w:rFonts w:cs="Times New Roman"/>
                <w:b w:val="0"/>
              </w:rPr>
            </w:pPr>
            <w:r>
              <w:rPr>
                <w:rFonts w:cs="Times New Roman"/>
                <w:b w:val="0"/>
              </w:rPr>
              <w:t>由可再生能源提供的生活热水比例R</w:t>
            </w:r>
            <w:r>
              <w:rPr>
                <w:rFonts w:cs="Times New Roman"/>
                <w:b w:val="0"/>
                <w:vertAlign w:val="subscript"/>
              </w:rPr>
              <w:t>hw</w:t>
            </w:r>
          </w:p>
        </w:tc>
        <w:tc>
          <w:tcPr>
            <w:tcW w:w="2369" w:type="dxa"/>
          </w:tcPr>
          <w:p>
            <w:pPr>
              <w:pStyle w:val="20"/>
              <w:rPr>
                <w:rFonts w:cs="Times New Roman"/>
                <w:b w:val="0"/>
              </w:rPr>
            </w:pPr>
            <w:r>
              <w:rPr>
                <w:rFonts w:cs="Times New Roman"/>
                <w:b w:val="0"/>
              </w:rPr>
              <w:t>20%≤R</w:t>
            </w:r>
            <w:r>
              <w:rPr>
                <w:rFonts w:cs="Times New Roman"/>
                <w:b w:val="0"/>
                <w:vertAlign w:val="subscript"/>
              </w:rPr>
              <w:t>hw</w:t>
            </w:r>
            <w:r>
              <w:rPr>
                <w:rFonts w:cs="Times New Roman"/>
                <w:b w:val="0"/>
              </w:rPr>
              <w:t>&lt;35%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35%≤R</w:t>
            </w:r>
            <w:r>
              <w:rPr>
                <w:rFonts w:cs="Times New Roman"/>
                <w:b w:val="0"/>
                <w:vertAlign w:val="subscript"/>
              </w:rPr>
              <w:t>hw</w:t>
            </w:r>
            <w:r>
              <w:rPr>
                <w:rFonts w:cs="Times New Roman"/>
                <w:b w:val="0"/>
              </w:rPr>
              <w:t>&lt;50%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50%≤R</w:t>
            </w:r>
            <w:r>
              <w:rPr>
                <w:rFonts w:cs="Times New Roman"/>
                <w:b w:val="0"/>
                <w:vertAlign w:val="subscript"/>
              </w:rPr>
              <w:t>hw</w:t>
            </w:r>
            <w:r>
              <w:rPr>
                <w:rFonts w:cs="Times New Roman"/>
                <w:b w:val="0"/>
              </w:rPr>
              <w:t>&lt;65%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65%≤R</w:t>
            </w:r>
            <w:r>
              <w:rPr>
                <w:rFonts w:cs="Times New Roman"/>
                <w:b w:val="0"/>
                <w:vertAlign w:val="subscript"/>
              </w:rPr>
              <w:t>hw</w:t>
            </w:r>
            <w:r>
              <w:rPr>
                <w:rFonts w:cs="Times New Roman"/>
                <w:b w:val="0"/>
              </w:rPr>
              <w:t>&lt;80%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R</w:t>
            </w:r>
            <w:r>
              <w:rPr>
                <w:rFonts w:cs="Times New Roman"/>
                <w:b w:val="0"/>
                <w:vertAlign w:val="subscript"/>
              </w:rPr>
              <w:t>hw</w:t>
            </w:r>
            <w:r>
              <w:rPr>
                <w:rFonts w:cs="Times New Roman"/>
                <w:b w:val="0"/>
              </w:rPr>
              <w: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20"/>
              <w:rPr>
                <w:rFonts w:cs="Times New Roman"/>
                <w:b w:val="0"/>
              </w:rPr>
            </w:pPr>
            <w:r>
              <w:rPr>
                <w:rFonts w:cs="Times New Roman"/>
                <w:b w:val="0"/>
              </w:rPr>
              <w:t>由可再生能源提供的空调用冷量和热量比例R</w:t>
            </w:r>
            <w:r>
              <w:rPr>
                <w:rFonts w:cs="Times New Roman"/>
                <w:b w:val="0"/>
                <w:vertAlign w:val="subscript"/>
              </w:rPr>
              <w:t>ch</w:t>
            </w:r>
          </w:p>
        </w:tc>
        <w:tc>
          <w:tcPr>
            <w:tcW w:w="2369" w:type="dxa"/>
          </w:tcPr>
          <w:p>
            <w:pPr>
              <w:pStyle w:val="20"/>
              <w:rPr>
                <w:rFonts w:cs="Times New Roman"/>
                <w:b w:val="0"/>
              </w:rPr>
            </w:pPr>
            <w:r>
              <w:rPr>
                <w:rFonts w:cs="Times New Roman"/>
                <w:b w:val="0"/>
              </w:rPr>
              <w:t>20%≤R</w:t>
            </w:r>
            <w:r>
              <w:rPr>
                <w:rFonts w:cs="Times New Roman"/>
                <w:b w:val="0"/>
                <w:vertAlign w:val="subscript"/>
              </w:rPr>
              <w:t>ch</w:t>
            </w:r>
            <w:r>
              <w:rPr>
                <w:rFonts w:cs="Times New Roman"/>
                <w:b w:val="0"/>
              </w:rPr>
              <w:t>&lt;35%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35%≤R</w:t>
            </w:r>
            <w:r>
              <w:rPr>
                <w:rFonts w:cs="Times New Roman"/>
                <w:b w:val="0"/>
                <w:vertAlign w:val="subscript"/>
              </w:rPr>
              <w:t>ch</w:t>
            </w:r>
            <w:r>
              <w:rPr>
                <w:rFonts w:cs="Times New Roman"/>
                <w:b w:val="0"/>
              </w:rPr>
              <w:t>&lt;50%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50%≤R</w:t>
            </w:r>
            <w:r>
              <w:rPr>
                <w:rFonts w:cs="Times New Roman"/>
                <w:b w:val="0"/>
                <w:vertAlign w:val="subscript"/>
              </w:rPr>
              <w:t>ch</w:t>
            </w:r>
            <w:r>
              <w:rPr>
                <w:rFonts w:cs="Times New Roman"/>
                <w:b w:val="0"/>
              </w:rPr>
              <w:t>&lt;65%</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65%≤R</w:t>
            </w:r>
            <w:r>
              <w:rPr>
                <w:rFonts w:cs="Times New Roman"/>
                <w:b w:val="0"/>
                <w:vertAlign w:val="subscript"/>
              </w:rPr>
              <w:t>ch</w:t>
            </w:r>
            <w:r>
              <w:rPr>
                <w:rFonts w:cs="Times New Roman"/>
                <w:b w:val="0"/>
              </w:rPr>
              <w:t>&lt;80%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R</w:t>
            </w:r>
            <w:r>
              <w:rPr>
                <w:rFonts w:cs="Times New Roman"/>
                <w:b w:val="0"/>
                <w:vertAlign w:val="subscript"/>
              </w:rPr>
              <w:t>ch</w:t>
            </w:r>
            <w:r>
              <w:rPr>
                <w:rFonts w:cs="Times New Roman"/>
                <w:b w:val="0"/>
              </w:rPr>
              <w:t>≥80%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pPr>
              <w:pStyle w:val="20"/>
              <w:rPr>
                <w:rFonts w:cs="Times New Roman"/>
                <w:b w:val="0"/>
              </w:rPr>
            </w:pPr>
            <w:r>
              <w:rPr>
                <w:rFonts w:cs="Times New Roman"/>
                <w:b w:val="0"/>
              </w:rPr>
              <w:t>由可再生能源提供的电量比例R</w:t>
            </w:r>
            <w:r>
              <w:rPr>
                <w:rFonts w:cs="Times New Roman"/>
                <w:b w:val="0"/>
                <w:vertAlign w:val="subscript"/>
              </w:rPr>
              <w:t>e</w:t>
            </w:r>
          </w:p>
        </w:tc>
        <w:tc>
          <w:tcPr>
            <w:tcW w:w="2369" w:type="dxa"/>
          </w:tcPr>
          <w:p>
            <w:pPr>
              <w:pStyle w:val="20"/>
              <w:rPr>
                <w:rFonts w:cs="Times New Roman"/>
                <w:b w:val="0"/>
              </w:rPr>
            </w:pPr>
            <w:r>
              <w:rPr>
                <w:rFonts w:cs="Times New Roman"/>
                <w:b w:val="0"/>
              </w:rPr>
              <w:t>0.5%≤R</w:t>
            </w:r>
            <w:r>
              <w:rPr>
                <w:rFonts w:cs="Times New Roman"/>
                <w:b w:val="0"/>
                <w:vertAlign w:val="subscript"/>
              </w:rPr>
              <w:t>e</w:t>
            </w:r>
            <w:r>
              <w:rPr>
                <w:rFonts w:cs="Times New Roman"/>
                <w:b w:val="0"/>
              </w:rPr>
              <w:t>≤1.0%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1.0%≤R</w:t>
            </w:r>
            <w:r>
              <w:rPr>
                <w:rFonts w:cs="Times New Roman"/>
                <w:b w:val="0"/>
                <w:vertAlign w:val="subscript"/>
              </w:rPr>
              <w:t>e</w:t>
            </w:r>
            <w:r>
              <w:rPr>
                <w:rFonts w:cs="Times New Roman"/>
                <w:b w:val="0"/>
              </w:rPr>
              <w:t>≤2.0%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2.0%≤R</w:t>
            </w:r>
            <w:r>
              <w:rPr>
                <w:rFonts w:cs="Times New Roman"/>
                <w:b w:val="0"/>
                <w:vertAlign w:val="subscript"/>
              </w:rPr>
              <w:t>e</w:t>
            </w:r>
            <w:r>
              <w:rPr>
                <w:rFonts w:cs="Times New Roman"/>
                <w:b w:val="0"/>
              </w:rPr>
              <w:t>≤3.0%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3.0%≤R</w:t>
            </w:r>
            <w:r>
              <w:rPr>
                <w:rFonts w:cs="Times New Roman"/>
                <w:b w:val="0"/>
                <w:vertAlign w:val="subscript"/>
              </w:rPr>
              <w:t>e</w:t>
            </w:r>
            <w:r>
              <w:rPr>
                <w:rFonts w:cs="Times New Roman"/>
                <w:b w:val="0"/>
              </w:rPr>
              <w:t>≤4.0%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pPr>
              <w:pStyle w:val="20"/>
              <w:rPr>
                <w:rFonts w:cs="Times New Roman"/>
                <w:b w:val="0"/>
              </w:rPr>
            </w:pPr>
          </w:p>
        </w:tc>
        <w:tc>
          <w:tcPr>
            <w:tcW w:w="2369" w:type="dxa"/>
          </w:tcPr>
          <w:p>
            <w:pPr>
              <w:pStyle w:val="20"/>
              <w:rPr>
                <w:rFonts w:cs="Times New Roman"/>
                <w:b w:val="0"/>
              </w:rPr>
            </w:pPr>
            <w:r>
              <w:rPr>
                <w:rFonts w:cs="Times New Roman"/>
                <w:b w:val="0"/>
              </w:rPr>
              <w:t>R</w:t>
            </w:r>
            <w:r>
              <w:rPr>
                <w:rFonts w:cs="Times New Roman"/>
                <w:b w:val="0"/>
                <w:vertAlign w:val="subscript"/>
              </w:rPr>
              <w:t>e</w:t>
            </w:r>
            <w:r>
              <w:rPr>
                <w:rFonts w:cs="Times New Roman"/>
                <w:b w:val="0"/>
              </w:rPr>
              <w:t>≥4.0%</w:t>
            </w:r>
          </w:p>
        </w:tc>
        <w:tc>
          <w:tcPr>
            <w:tcW w:w="817" w:type="dxa"/>
          </w:tcPr>
          <w:p>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bookmarkEnd w:id="75"/>
    </w:tbl>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可再生能源产生的热水量：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建筑生活热水量：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可再生能源产生的热水比例：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项目总供冷供热量：___  GJ/a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可再生能源提供的空调用冷量和热量：___  GJ/a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可再生能源提供的空调用冷量和热量比例：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可再生能源发电量：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万kWh/a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建筑用电量：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万kWh/a</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可再生能源产生发电比例：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简要说明可再生能源系统设计说明：当地可再生资源状况、可再生能源利用形式、可提供生活热水（或发电量）的比例，并对其系统适用性及经济效益进行阐述。（200字以内）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522" w:type="dxa"/>
            <w:tcBorders>
              <w:top w:val="single" w:color="auto" w:sz="4" w:space="0"/>
              <w:left w:val="single" w:color="auto" w:sz="4" w:space="0"/>
              <w:bottom w:val="single" w:color="auto" w:sz="4" w:space="0"/>
              <w:right w:val="single" w:color="auto" w:sz="4" w:space="0"/>
            </w:tcBorders>
          </w:tcPr>
          <w:p>
            <w:pPr>
              <w:pStyle w:val="22"/>
              <w:spacing w:line="288" w:lineRule="auto"/>
              <w:ind w:firstLine="420" w:firstLineChars="200"/>
              <w:jc w:val="both"/>
              <w:rPr>
                <w:rFonts w:ascii="Times New Roman"/>
                <w:color w:val="auto"/>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395"/>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59"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4395"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应体现可再生能源系统设计情况</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空调热泵机房平面布置图和详图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应体现可再生能源系统相关设备的位置及连接方式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空调热泵机房水系统流程图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应体现可再生能源系统相关设备的连接方式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室外管线平面布置图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仅土壤源热泵系统提供</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应体现可再生能源系统设计情况</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给排水系统图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应体现可再生能源生活热水系统的形式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太阳能集热板平面布置图（太阳能生活热水系统）/机房平面布置图（热泵提供生活热水）</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应体现集热板的位置/热泵的位置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应体现可再生能源发电设计情况（系统形式、系统容量等）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太阳能光伏发电板平面布置图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应体现光伏发电板的位置和面积</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太阳能光伏发电系统组件连接图/逆变器接线图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可再生能源利用分析报告</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应体现项目的设计方案、年发电量计算过程和结果、投资情况、经济效益分析过程和结果</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含可再生能源设备（地源热泵、水源热泵机组等）检测报告、可再生能源设备（太阳能集热板、空气源热泵等）检测报告、太阳能光伏发电设备检测报告等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可再生能源系统（太阳能、地源热泵、水源热泵系统等）运行记录</w:t>
            </w:r>
          </w:p>
        </w:tc>
        <w:tc>
          <w:tcPr>
            <w:tcW w:w="4395"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应体现可再生能源利用系统的能耗和提供冷/热量情况，及一年的运行数据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559" w:type="dxa"/>
            <w:vMerge w:val="continue"/>
            <w:tcBorders>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4395" w:type="dxa"/>
            <w:vMerge w:val="continue"/>
            <w:tcBorders>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364" w:type="dxa"/>
          </w:tcPr>
          <w:p>
            <w:pPr>
              <w:spacing w:line="288" w:lineRule="auto"/>
            </w:pPr>
          </w:p>
        </w:tc>
      </w:tr>
    </w:tbl>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7.2.10 合理采用被动式技术措施。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外窗、玻璃幕墙等外立面透明部分围护结构有较大可开启部分，使建筑获得良好的自然通风，</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设玻璃幕墙且不设外窗的建筑，其玻璃幕墙透明部分可开启面积比例：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a 不低于5%但低于10%，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b 不低于10%，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2）设外窗且不设玻璃幕墙的建筑，外窗可开启面积比例：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a 不低于35%但低于40%，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b 不低于40%，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3）设玻璃幕墙和外窗的建筑，对其玻璃幕墙透明部分和外窗分别按本条第1款和第2款进行评价，得分取两项得分的平均值。</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提高建筑门窗气密性及</w:t>
      </w:r>
      <w:bookmarkStart w:id="76" w:name="_Hlk20932299"/>
      <w:r>
        <w:rPr>
          <w:rFonts w:hint="eastAsia" w:ascii="Times New Roman" w:hAnsi="Times New Roman" w:eastAsia="宋体" w:cs="Times New Roman"/>
          <w:bCs/>
          <w:color w:val="000000"/>
          <w:szCs w:val="24"/>
          <w:lang w:val="en-US" w:eastAsia="zh-CN"/>
        </w:rPr>
        <w:t>施工节点等的气密性</w:t>
      </w:r>
      <w:bookmarkEnd w:id="76"/>
      <w:r>
        <w:rPr>
          <w:rFonts w:hint="eastAsia" w:ascii="Times New Roman" w:hAnsi="Times New Roman" w:eastAsia="宋体" w:cs="Times New Roman"/>
          <w:bCs/>
          <w:color w:val="000000"/>
          <w:szCs w:val="24"/>
          <w:lang w:val="en-US" w:eastAsia="zh-CN"/>
        </w:rPr>
        <w:t>能比国家现行相关建筑节能设计标准规定的气密性标准增加1级，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地下空间非设备用房区域</w:t>
      </w:r>
      <w:bookmarkStart w:id="77" w:name="_Hlk25162552"/>
      <w:r>
        <w:rPr>
          <w:rFonts w:hint="eastAsia" w:ascii="Times New Roman" w:hAnsi="Times New Roman" w:eastAsia="宋体" w:cs="Times New Roman"/>
          <w:bCs/>
          <w:color w:val="000000"/>
          <w:szCs w:val="24"/>
          <w:lang w:val="en-US" w:eastAsia="zh-CN"/>
        </w:rPr>
        <w:t>平均采光系数不小于0.5%的面积与地下室首层面积的比例达到10%以上</w:t>
      </w:r>
      <w:bookmarkEnd w:id="77"/>
      <w:r>
        <w:rPr>
          <w:rFonts w:hint="eastAsia" w:ascii="Times New Roman" w:hAnsi="Times New Roman" w:eastAsia="宋体" w:cs="Times New Roman"/>
          <w:bCs/>
          <w:color w:val="000000"/>
          <w:szCs w:val="24"/>
          <w:lang w:val="en-US" w:eastAsia="zh-CN"/>
        </w:rPr>
        <w:t>，</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居住建筑体形系数小于等于0.4，公共建筑体形系数小于等于0.3，</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简要说明采用被动式技术措施。（200字以内）。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778"/>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建筑立、剖、平面图</w:t>
            </w:r>
          </w:p>
        </w:tc>
        <w:tc>
          <w:tcPr>
            <w:tcW w:w="4778"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应体现门窗的设计，大小，开启方式，材料，面积</w:t>
            </w:r>
          </w:p>
        </w:tc>
        <w:tc>
          <w:tcPr>
            <w:tcW w:w="85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4778"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含主要功能房间外门窗或玻璃幕墙的可开启面积比例计算书、车库自然采光区域面积计算书、节能计算报告</w:t>
            </w:r>
          </w:p>
        </w:tc>
        <w:tc>
          <w:tcPr>
            <w:tcW w:w="85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门窗、主要能耗房间气密性检测检验报告</w:t>
            </w:r>
          </w:p>
        </w:tc>
        <w:tc>
          <w:tcPr>
            <w:tcW w:w="4778" w:type="dxa"/>
            <w:shd w:val="clear" w:color="auto" w:fill="auto"/>
            <w:noWrap/>
            <w:vAlign w:val="center"/>
          </w:tcPr>
          <w:p>
            <w:pPr>
              <w:widowControl/>
              <w:jc w:val="left"/>
              <w:rPr>
                <w:rFonts w:ascii="宋体" w:hAnsi="宋体" w:eastAsia="宋体" w:cs="宋体"/>
                <w:color w:val="000000"/>
                <w:kern w:val="0"/>
                <w:sz w:val="22"/>
              </w:rPr>
            </w:pPr>
          </w:p>
        </w:tc>
        <w:tc>
          <w:tcPr>
            <w:tcW w:w="850" w:type="dxa"/>
            <w:shd w:val="clear" w:color="auto" w:fill="auto"/>
            <w:noWrap/>
            <w:vAlign w:val="center"/>
          </w:tcPr>
          <w:p>
            <w:pPr>
              <w:widowControl/>
              <w:jc w:val="left"/>
              <w:rPr>
                <w:rFonts w:ascii="宋体" w:hAnsi="宋体" w:eastAsia="宋体" w:cs="宋体"/>
                <w:color w:val="000000"/>
                <w:kern w:val="0"/>
                <w:sz w:val="22"/>
              </w:rPr>
            </w:pPr>
          </w:p>
        </w:tc>
        <w:tc>
          <w:tcPr>
            <w:tcW w:w="851" w:type="dxa"/>
            <w:shd w:val="clear" w:color="auto" w:fill="auto"/>
            <w:noWrap/>
            <w:vAlign w:val="center"/>
          </w:tcPr>
          <w:p>
            <w:pPr>
              <w:widowControl/>
              <w:jc w:val="left"/>
              <w:rPr>
                <w:rFonts w:ascii="宋体" w:hAnsi="宋体" w:eastAsia="宋体" w:cs="宋体"/>
                <w:color w:val="000000"/>
                <w:kern w:val="0"/>
                <w:sz w:val="22"/>
              </w:rPr>
            </w:pP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64" w:type="dxa"/>
          </w:tcPr>
          <w:p>
            <w:pPr>
              <w:spacing w:line="288" w:lineRule="auto"/>
            </w:pPr>
          </w:p>
        </w:tc>
      </w:tr>
    </w:tbl>
    <w:p/>
    <w:p/>
    <w:p/>
    <w:p/>
    <w:p/>
    <w:p/>
    <w:p/>
    <w:p/>
    <w:p/>
    <w:p/>
    <w:p/>
    <w:p/>
    <w:p/>
    <w:p/>
    <w:p/>
    <w:p/>
    <w:p/>
    <w:p/>
    <w:p/>
    <w:p/>
    <w:p/>
    <w:p/>
    <w:p/>
    <w:p/>
    <w:p/>
    <w:p/>
    <w:p>
      <w:pPr>
        <w:pStyle w:val="3"/>
        <w:spacing w:line="288" w:lineRule="auto"/>
        <w:jc w:val="center"/>
        <w:rPr>
          <w:rFonts w:hint="eastAsia" w:ascii="宋体" w:hAnsi="宋体" w:eastAsia="宋体" w:cs="宋体"/>
        </w:rPr>
      </w:pPr>
      <w:bookmarkStart w:id="78" w:name="_Toc22221585"/>
      <w:bookmarkStart w:id="79" w:name="_Toc35364752"/>
      <w:r>
        <w:rPr>
          <w:rFonts w:hint="eastAsia" w:ascii="宋体" w:hAnsi="宋体" w:eastAsia="宋体" w:cs="宋体"/>
        </w:rPr>
        <w:t>Ⅲ 节水与水资源利用</w:t>
      </w:r>
      <w:bookmarkEnd w:id="78"/>
      <w:bookmarkEnd w:id="79"/>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7.2.11 使用较高用水效率等级的卫生器具。</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w:t>
      </w:r>
      <w:bookmarkStart w:id="80" w:name="_Hlk25162653"/>
      <w:r>
        <w:rPr>
          <w:rFonts w:hint="eastAsia" w:ascii="Times New Roman" w:hAnsi="Times New Roman" w:eastAsia="宋体" w:cs="Times New Roman"/>
          <w:bCs/>
          <w:color w:val="000000"/>
          <w:szCs w:val="24"/>
          <w:lang w:val="en-US" w:eastAsia="zh-CN"/>
        </w:rPr>
        <w:t>10％以上卫生器具的用水效率等级达到1级且其他达到2级，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1分，20％以上卫生器具的用水效率等级达到1级且其他达到2级，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3分，30％以上卫生器具的用水效率等级达到1级且其他达到2级，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5分；5</w:t>
      </w:r>
      <w:bookmarkEnd w:id="80"/>
      <w:r>
        <w:rPr>
          <w:rFonts w:hint="eastAsia" w:ascii="Times New Roman" w:hAnsi="Times New Roman" w:eastAsia="宋体" w:cs="Times New Roman"/>
          <w:bCs/>
          <w:color w:val="000000"/>
          <w:szCs w:val="24"/>
          <w:lang w:val="en-US" w:eastAsia="zh-CN"/>
        </w:rPr>
        <w:t>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全部卫生器具的用水效率等级达到1级，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卫生器具水效</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项目基本情况及用水器具类型：</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土建工程与装修工程一体化设计项目：</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主要器具类型有：□龙头、□大便器、□小便器、□淋浴器、□其他</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节水器具设置情况：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采用节水器具：□是、□否</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节水器具统计表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用水器具名称</w:t>
            </w: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节水器具参数及特点</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节水器具数量</w:t>
            </w: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r>
              <w:rPr>
                <w:rFonts w:hint="eastAsia" w:cs="宋体"/>
              </w:rPr>
              <w:t>用水效率等级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cs="宋体"/>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程非一体化设计项目节水器具设置的确保措施：</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对土建工程与装修工程非一体化设计项目，是否有确保业主采用节水器具的措施、方案或约定：□是、□否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如果“是”，请简要说明确保采用节水器具的措施、方案或约定（200字以内）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778"/>
        <w:gridCol w:w="850"/>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4778"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卫生间、浴室等节水器具和设备的选用</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给排水设备清单及给排水器具、设备的产品说明书</w:t>
            </w:r>
          </w:p>
        </w:tc>
        <w:tc>
          <w:tcPr>
            <w:tcW w:w="477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应体现节水器具或设备的选用类型和数量，并应与图纸一致，相关节水器具的性能参数要求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给排水器具、设备的节水性能检测报告</w:t>
            </w:r>
          </w:p>
        </w:tc>
        <w:tc>
          <w:tcPr>
            <w:tcW w:w="4778"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应体现节水器具或设备用水特性和第三方出具的器具或设备节水性能检测结果（指标要求与自评一致）</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364" w:type="dxa"/>
          </w:tcPr>
          <w:p>
            <w:pPr>
              <w:spacing w:line="288" w:lineRule="auto"/>
            </w:pPr>
          </w:p>
        </w:tc>
      </w:tr>
    </w:tbl>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7.2.12 绿化灌溉及空调冷却水系统采用节水设备或技术。</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绿化灌溉采用节水设备或技术，并按下列规则评分：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采用节水灌溉系统，□4分。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在采用节水灌溉系统的基础上，设置土壤湿度感应器、雨天自动控制装置等节水控制措施，或种植无须永久灌溉植物，□6分。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空调冷却水系统采用节水设备或技术，并按下列规则评分：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采用无蒸发耗水量的冷却技术，且设备能效等级达到一级，□3分。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合理充分利用空调冷凝水，降低空调主机冷凝器的冷却介质温度。□3分。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节水灌溉系统</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1）</w:t>
      </w:r>
      <w:r>
        <w:rPr>
          <w:rFonts w:hint="eastAsia" w:ascii="Times New Roman" w:hAnsi="Times New Roman" w:eastAsia="宋体" w:cs="Times New Roman"/>
          <w:b/>
          <w:bCs w:val="0"/>
          <w:color w:val="000000"/>
          <w:szCs w:val="24"/>
          <w:lang w:val="en-US" w:eastAsia="zh-CN"/>
        </w:rPr>
        <w:t>灌溉形式：</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绿化灌溉水源为：□市政自来水、□市政中水、□建筑中水、□雨水</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采用的绿化灌溉方式为：□喷灌、□滴灌、□微喷灌、□其他</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2）</w:t>
      </w:r>
      <w:r>
        <w:rPr>
          <w:rFonts w:hint="eastAsia" w:ascii="Times New Roman" w:hAnsi="Times New Roman" w:eastAsia="宋体" w:cs="Times New Roman"/>
          <w:b/>
          <w:bCs w:val="0"/>
          <w:color w:val="000000"/>
          <w:szCs w:val="24"/>
          <w:lang w:val="en-US" w:eastAsia="zh-CN"/>
        </w:rPr>
        <w:t>节水灌溉规模：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采用节水灌溉系统的绿化面积比例为：%</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3）</w:t>
      </w:r>
      <w:r>
        <w:rPr>
          <w:rFonts w:hint="eastAsia" w:ascii="Times New Roman" w:hAnsi="Times New Roman" w:eastAsia="宋体" w:cs="Times New Roman"/>
          <w:b/>
          <w:bCs w:val="0"/>
          <w:color w:val="000000"/>
          <w:szCs w:val="24"/>
          <w:lang w:val="en-US" w:eastAsia="zh-CN"/>
        </w:rPr>
        <w:t>节水灌溉控制：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采用节水灌溉系统基础上，设置土壤湿度感应器、雨天关闭装置等节水控制措施的绿化面积比例：%，</w:t>
      </w: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lang w:val="zh-CN" w:eastAsia="zh-CN"/>
        </w:rPr>
        <w:t>参数及具体控制措施。（100字以内）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288" w:lineRule="auto"/>
              <w:rPr>
                <w:szCs w:val="21"/>
              </w:rPr>
            </w:pPr>
          </w:p>
          <w:p>
            <w:pPr>
              <w:spacing w:line="288" w:lineRule="auto"/>
              <w:rPr>
                <w:szCs w:val="21"/>
              </w:rPr>
            </w:pPr>
          </w:p>
          <w:p>
            <w:pPr>
              <w:spacing w:line="288" w:lineRule="auto"/>
              <w:rPr>
                <w:szCs w:val="21"/>
              </w:rPr>
            </w:pPr>
          </w:p>
        </w:tc>
      </w:tr>
    </w:tbl>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无需永久灌溉植物</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是否种植无需永久灌溉植物：□是（种类）、□否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种植的无需永久灌溉植物所占绿化面积比例为：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节水冷却技术</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cs="Times New Roman"/>
          <w:b/>
          <w:bCs w:val="0"/>
          <w:color w:val="000000"/>
          <w:szCs w:val="24"/>
          <w:lang w:val="en-US" w:eastAsia="zh-CN"/>
        </w:rPr>
        <w:t>1）</w:t>
      </w:r>
      <w:r>
        <w:rPr>
          <w:rFonts w:hint="eastAsia" w:ascii="Times New Roman" w:hAnsi="Times New Roman" w:eastAsia="宋体" w:cs="Times New Roman"/>
          <w:b/>
          <w:bCs w:val="0"/>
          <w:color w:val="000000"/>
          <w:szCs w:val="24"/>
          <w:lang w:val="zh-CN" w:eastAsia="zh-CN"/>
        </w:rPr>
        <w:t>空调系统设置情况：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是否设置了空调设备或系统：□是、□否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空调冷却系统是否有蒸发耗水量：□是、□否</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cs="Times New Roman"/>
          <w:b/>
          <w:bCs w:val="0"/>
          <w:color w:val="000000"/>
          <w:szCs w:val="24"/>
          <w:lang w:val="en-US" w:eastAsia="zh-CN"/>
        </w:rPr>
        <w:t>2）</w:t>
      </w:r>
      <w:r>
        <w:rPr>
          <w:rFonts w:hint="eastAsia" w:ascii="Times New Roman" w:hAnsi="Times New Roman" w:eastAsia="宋体" w:cs="Times New Roman"/>
          <w:b/>
          <w:bCs w:val="0"/>
          <w:color w:val="000000"/>
          <w:szCs w:val="24"/>
          <w:lang w:val="zh-CN" w:eastAsia="zh-CN"/>
        </w:rPr>
        <w:t>节水冷却技术：</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是否采用了无蒸发耗水量的冷却技术：□是（具体形式为：），□否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循环冷却水系统是否设置水处理措施：□是、□否，如果“是”，简要说明循环冷却系统采用的节水技术和水质处理措施。（150字以内），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应体现空调冷却水系统设计情况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暖通系统图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应体现冷却塔的位置、平衡管设计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应体现节水设备和产品的选用类型和数量，应与图纸一致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应体现空调采暖系统冷热源的设备类型、型号和容量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暖通产品说明、产品型式检验报告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应包括节水产品节水性能检测报告，体现第三方出具的设备节水性能检测结果</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应包括节水产品说明书，体现节水设备用水特性</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暖通设备进场复验报告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应体现节水设备的选用类型和数量，应与设计图纸一致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应体现绿化灌溉系统、循环水冷却系统的水处理措施、采用的节水技术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应体现绿化灌溉系统的具体节水措施形式，如绿化灌溉由景观深化设计应提出相应的节水措施要求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给排水设备材清单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应体现节水器具或设备的选用类型和数量，并应与图纸一致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给排水器具、设备的产品说明书和节水性能检测报告</w:t>
            </w:r>
          </w:p>
        </w:tc>
        <w:tc>
          <w:tcPr>
            <w:tcW w:w="3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应体现节水器具或设备用水特性和第三方出具的器具或设备节水性能检测结果（指标要求与自评一致）</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应包括苗木表、当地植物名录等，并体现项目内乔、灌、草植物种类、基本信息、应体现无需永久性灌溉植物的名称及所占面积比例</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绿化灌溉设计图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应体现节水灌溉产品的设备材料表，采用绿化灌溉节水措施区域范围及面积比例</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应体现绿化灌溉喷头类型及相关参数</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用水量记录报告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冷却水系统运行数据</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包括冷却水系统蒸发量数据、冷却补水用水量记录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绿化管理记录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应包括绿化养护、灌溉用水情况，化学品的使用情况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绿化管理制度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应包括绿化养护制度、绿化用水计量、节水型灌溉系统运行策略、杀虫剂、除草剂、化肥、农药等化学物的使用制度等内容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364" w:type="dxa"/>
          </w:tcPr>
          <w:p>
            <w:pPr>
              <w:spacing w:line="288" w:lineRule="auto"/>
            </w:pPr>
          </w:p>
        </w:tc>
      </w:tr>
    </w:tbl>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7.2.13 结合雨水综合利用设施营造室外景观水体，室外景观水体利用雨水的补水量大于水体蒸发量的60％，且采用保障水体水质的生态水处理技术。</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1 对进入室外景观水体的雨水，利用生态设施削减径流污染，</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2 利用水生动、植物保障室外景观水体水质，</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4分。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景观水体补水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项目内设有景观水体：□是、□否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景观水体补水来源：□临近的河、湖水、□市政中水、□建筑中水、□雨水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景观水体利用雨水的补水量占其水体蒸发量的比例：___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简要说明水景设计方案、所在地气候条件（逐月蒸发量、降雨量）、项目场地条件（综合径流系数）、雨水利用设施和雨水生态系统的工艺流程及参数、水质安全保障措施。（300字以内）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93" w:type="dxa"/>
        <w:tblLayout w:type="autofit"/>
        <w:tblCellMar>
          <w:top w:w="0" w:type="dxa"/>
          <w:left w:w="108" w:type="dxa"/>
          <w:bottom w:w="0" w:type="dxa"/>
          <w:right w:w="108" w:type="dxa"/>
        </w:tblCellMar>
      </w:tblPr>
      <w:tblGrid>
        <w:gridCol w:w="740"/>
        <w:gridCol w:w="2020"/>
        <w:gridCol w:w="3805"/>
        <w:gridCol w:w="955"/>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805"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55"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应体现景观水体设置情况</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景观给排水设计说明</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应体现景观水体补水采用雨水的水质保障措施、应体现水景补水水源</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景观给排水平面图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应体现景观水体补水水源、补水计量</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应体现雨水处理设施做法</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89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市政设施情况、项目概况、给排水系统设计施工说明、非传统水源系统设计施工说明、防误接误用措施说明、水质及水质保护、用水安全、设备材料表等</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室外给排水平面图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应体现水景补水水源</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非传统水源处理/供水机房设计详图</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应体现非传统水源处理/供水机房平面布置、剖面或系统原理示意、设备材料表</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非传统水源利用率计算书</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应包括非传统水源水质定期检测记录，检测记录包含检测时间、检测项目、检测方法、检测结果等</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用水量记录报告</w:t>
            </w:r>
          </w:p>
        </w:tc>
        <w:tc>
          <w:tcPr>
            <w:tcW w:w="38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9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364" w:type="dxa"/>
          </w:tcPr>
          <w:p>
            <w:pPr>
              <w:spacing w:line="288" w:lineRule="auto"/>
            </w:pPr>
          </w:p>
        </w:tc>
      </w:tr>
    </w:tbl>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7.2.14 使用非传统水源。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1 绿化灌溉、车库及道路冲洗、洗车用水采用非传统水源的用水量占其总用水量的比例不低于40％，得3分；不低于60％，得5分；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2 冲厕采用非传统水源的用水量占其总用水量的比例不低于30％，得3分；不低于50％，得5分；全部采用，得15分。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建筑年用水总量：___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建筑平均日用水量：___  m3</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绿化灌溉、车库及道路冲洗、洗车用水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绿化灌溉、车库及道路冲洗、洗车中非传统水源用量：___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绿化灌溉、车库及道路冲洗、洗车中非传统水源利用率：___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冲厕用水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冲厕用水中非传统水源用量：___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冲厕用水中非传统水源利用率：___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冷却水补水</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建筑是否有冷却水补水系统：□是、□否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冷却水年补水量：___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冷却水补水中非传统水源用量：___  m3/a</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冷却补水非传统水源利用率：___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简要说明冷却塔补水量、补水来源、非传统水源处理工艺、设计出水水质。（150字以内）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给水系统说明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应包括非传统水源来源说明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非传统水源处理/供水机房设计详图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应体现非传统水源处理/供水机房平面布置、剖面或系统原理示意、设备材料表</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非传统水源利用计算书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水资源利用方案及当地主管部门的许可</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非传统水源用水量记录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非传统水源水质检测报告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应包括非传统水源水质定期检测记录，检测记录包含检测时间、检测项目、检测方法、检测结果等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364" w:type="dxa"/>
          </w:tcPr>
          <w:p>
            <w:pPr>
              <w:spacing w:line="288" w:lineRule="auto"/>
            </w:pPr>
          </w:p>
        </w:tc>
      </w:tr>
    </w:tbl>
    <w:p/>
    <w:p/>
    <w:p/>
    <w:p/>
    <w:p/>
    <w:p/>
    <w:p/>
    <w:p/>
    <w:p/>
    <w:p/>
    <w:p/>
    <w:p/>
    <w:p>
      <w:pPr>
        <w:pStyle w:val="3"/>
        <w:spacing w:line="288" w:lineRule="auto"/>
        <w:jc w:val="center"/>
        <w:rPr>
          <w:rFonts w:hint="eastAsia" w:ascii="宋体" w:hAnsi="宋体" w:eastAsia="宋体" w:cs="宋体"/>
        </w:rPr>
      </w:pPr>
      <w:bookmarkStart w:id="81" w:name="_Toc22221586"/>
      <w:bookmarkStart w:id="82" w:name="_Toc35364753"/>
      <w:r>
        <w:rPr>
          <w:rFonts w:hint="eastAsia" w:ascii="宋体" w:hAnsi="宋体" w:eastAsia="宋体" w:cs="宋体"/>
        </w:rPr>
        <w:t>Ⅳ 节材与绿色建材</w:t>
      </w:r>
      <w:bookmarkEnd w:id="81"/>
      <w:bookmarkEnd w:id="82"/>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7.2.15 建筑所有区域实施土建工程与装修工程一体化设计及施工。</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评价总分值为7分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建筑所有区域实施土建工程与装修工程一体化设计及施工；</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 </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住宅总户数：___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土建与装修一体化设计的户数：___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土建与装修一体化设计的部位：□所有部位；□公共部位；</w:t>
      </w:r>
      <w:r>
        <w:rPr>
          <w:rFonts w:hint="eastAsia" w:ascii="Times New Roman" w:hAnsi="Times New Roman" w:eastAsia="宋体" w:cs="Times New Roman"/>
          <w:bCs/>
          <w:color w:val="000000"/>
          <w:szCs w:val="24"/>
          <w:lang w:val="zh-CN" w:eastAsia="zh-CN"/>
        </w:rPr>
        <w:sym w:font="Wingdings 2" w:char="0052"/>
      </w:r>
      <w:r>
        <w:rPr>
          <w:rFonts w:hint="eastAsia" w:ascii="Times New Roman" w:hAnsi="Times New Roman" w:eastAsia="宋体" w:cs="Times New Roman"/>
          <w:bCs/>
          <w:color w:val="000000"/>
          <w:szCs w:val="24"/>
          <w:lang w:val="zh-CN" w:eastAsia="zh-CN"/>
        </w:rPr>
        <w:t>其他部位。</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装修设计图</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应包括土建与装修一体化设计部位的装修施工图，应与土建各专业图纸配套</w:t>
            </w: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土建与装修一体化相关施工的照片或视频</w:t>
            </w: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pPr>
              <w:spacing w:line="288" w:lineRule="auto"/>
            </w:pPr>
          </w:p>
        </w:tc>
      </w:tr>
    </w:tbl>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7.2.16 合理选用建筑结构材料与构件。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混凝土结构，按下列规则分别评分并累计：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400MPa级及以上强度等级受力普通钢筋应用比例达到85％，</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混凝土竖向承重结构采用强度等级不</w:t>
      </w:r>
      <w:bookmarkStart w:id="83" w:name="_Hlk25162870"/>
      <w:r>
        <w:rPr>
          <w:rFonts w:hint="eastAsia" w:ascii="Times New Roman" w:hAnsi="Times New Roman" w:eastAsia="宋体" w:cs="Times New Roman"/>
          <w:bCs/>
          <w:color w:val="000000"/>
          <w:szCs w:val="24"/>
          <w:lang w:val="en-US" w:eastAsia="zh-CN"/>
        </w:rPr>
        <w:t>低</w:t>
      </w:r>
      <w:bookmarkEnd w:id="83"/>
      <w:r>
        <w:rPr>
          <w:rFonts w:hint="eastAsia" w:ascii="Times New Roman" w:hAnsi="Times New Roman" w:eastAsia="宋体" w:cs="Times New Roman"/>
          <w:bCs/>
          <w:color w:val="000000"/>
          <w:szCs w:val="24"/>
          <w:lang w:val="en-US" w:eastAsia="zh-CN"/>
        </w:rPr>
        <w:t>于C50混凝土用量占竖向承重结构中混凝土总量的比例达到50％，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钢结构，按下列规则分别评分并累计：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w:t>
      </w:r>
      <w:bookmarkStart w:id="84" w:name="_Hlk25524160"/>
      <w:r>
        <w:rPr>
          <w:rFonts w:hint="eastAsia" w:ascii="Times New Roman" w:hAnsi="Times New Roman" w:eastAsia="宋体" w:cs="Times New Roman"/>
          <w:bCs/>
          <w:color w:val="000000"/>
          <w:szCs w:val="24"/>
          <w:lang w:val="en-US" w:eastAsia="zh-CN"/>
        </w:rPr>
        <w:t>Q355</w:t>
      </w:r>
      <w:bookmarkEnd w:id="84"/>
      <w:r>
        <w:rPr>
          <w:rFonts w:hint="eastAsia" w:ascii="Times New Roman" w:hAnsi="Times New Roman" w:eastAsia="宋体" w:cs="Times New Roman"/>
          <w:bCs/>
          <w:color w:val="000000"/>
          <w:szCs w:val="24"/>
          <w:lang w:val="en-US" w:eastAsia="zh-CN"/>
        </w:rPr>
        <w:t>及以上高强钢材用量占钢材总量的比例达到50％，得3分；达到70％，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螺栓连接等非现场焊接节点占现场全部连接、拼接节点的数量比例达到50％，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采用施工时免支撑的楼屋面板等节材施工工艺，</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混合结构：对其混凝土结构部分、钢结构部分，分别按本条第1款、第2款进行评价，得分取各项得分的最低分。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混凝土结构高强结构建材使用情况：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混凝土结构建筑的主体结构400Mpa级及以上受力普通钢筋用量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钢筋总用量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400MPa级及以上受力普通钢筋用量的比例：___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混凝土结构建筑的混凝土承重结构中采用强度等级在C50（或以上）混凝土用量：___  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承重结构中混凝土用量：___  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强度等级在C50（或以上）混凝土占承重结构中混凝土总量的比例：___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钢结构高强结构建材使用情况：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 xml:space="preserve">钢结构建筑的Q345及以上高强钢材用量：___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钢材总用量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Q345及以上高强钢材用量的比例：___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混合结构高强结构建材使用情况：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根据混凝土结构和钢结构评价要点，混凝土结构得分</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；钢</w:t>
      </w:r>
      <w:r>
        <w:rPr>
          <w:rFonts w:hint="eastAsia" w:ascii="Times New Roman" w:hAnsi="Times New Roman" w:eastAsia="宋体" w:cs="Times New Roman"/>
          <w:bCs/>
          <w:color w:val="000000"/>
          <w:szCs w:val="24"/>
          <w:lang w:val="zh-CN" w:eastAsia="zh-CN"/>
        </w:rPr>
        <w:t>结构得分</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；合计得分：</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449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应体现高强钢材的设计要求及使用部位等信息；应体现混凝土竖向承重结构高强混凝土和高强钢筋的设计要求及使用部位</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应体现钢材种类、钢筋及混凝土的种类及实际用量</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restart"/>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高强度材料用量比例计算书</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应说明钢结构中高强钢材的用量及使用比例（指标要求与自评一致）</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应说明高强混凝土、高强度钢筋的用量及使用比例（指标要求与自评一致）</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364" w:type="dxa"/>
          </w:tcPr>
          <w:p>
            <w:pPr>
              <w:spacing w:line="288" w:lineRule="auto"/>
            </w:pPr>
          </w:p>
        </w:tc>
      </w:tr>
    </w:tbl>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7.2.17 建筑装修选用工业化内装部品。</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1建筑装修选用工业化内装部品占同类部品用量比例达到50％以上的部品种类，达到1种，□3分；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2达到3种，□5分；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3达到3种以上，□8分。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工业化内装部品使用情况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是否采用了工业化内装部品：□是、□否；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工业化内装部品占同类部品50%以上的部品类别：</w:t>
      </w:r>
      <w:r>
        <w:rPr>
          <w:rFonts w:hint="eastAsia" w:ascii="Times New Roman" w:hAnsi="Times New Roman" w:eastAsia="宋体" w:cs="Times New Roman"/>
          <w:bCs/>
          <w:color w:val="000000"/>
          <w:szCs w:val="24"/>
          <w:lang w:val="zh-CN" w:eastAsia="zh-CN"/>
        </w:rPr>
        <w:t>___   种</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应体现项目采用的工业化内装部品的种类</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结构平面布置图</w:t>
            </w:r>
          </w:p>
        </w:tc>
        <w:tc>
          <w:tcPr>
            <w:tcW w:w="3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应体现内装部品的位置、尺寸、构造</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应包括土建与装修一体化设计部位的装修施工图，应与土建各专业图纸配套</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工业化内装部品用量比例计算书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应体现项目采用的工业化内装部品的种类和工程量</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64" w:type="dxa"/>
          </w:tcPr>
          <w:p>
            <w:pPr>
              <w:spacing w:line="288" w:lineRule="auto"/>
            </w:pPr>
          </w:p>
        </w:tc>
      </w:tr>
    </w:tbl>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7.2.18 选用可再循环材料、可再利用材料及利废建材。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可再循环材料和可再利用材料用量比例，按下列规则评分：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住宅建筑达到6％或公共建筑达到10％，□3分。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住宅建筑达到10％或公共建筑达到15％，□5分。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利废建材选用及其用量比例，按下列规则评分：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采用一种利废建材，其占同类建材的用量比例不低于50％，□3分。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选用两种及以上的利废建材，每一种占同类建材的用量比例均不低于30％，□5分。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可再利用材料和可再循环材料使用情况：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建筑可再利用材料使用重量：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建筑可再循环材料使用重量：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本项目所有建筑材料总重量：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可再利用材料和可再循环材料使用重量占所有建筑材料总重量的比例：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各类材料用量比例计算书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含可再循环材料使用比例计算报告等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可再利用材料和可再循环材料使用比例计算书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应体现项目实际采用的可再利用材料和可再循环材料的种类、使用部位、用量及使用比例（指标要求与自评一致）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利废建材中废弃物掺量说明及证明材料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应体现项目选用的全部材料种类、名称，使用部位、用量等信息，应与土建及装修设计图纸对应</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364" w:type="dxa"/>
          </w:tcPr>
          <w:p>
            <w:pPr>
              <w:spacing w:line="288" w:lineRule="auto"/>
            </w:pPr>
          </w:p>
        </w:tc>
      </w:tr>
    </w:tbl>
    <w:p/>
    <w:p/>
    <w:p/>
    <w:p/>
    <w:p/>
    <w:p/>
    <w:p/>
    <w:p/>
    <w:p/>
    <w:p/>
    <w:p/>
    <w:p/>
    <w:p/>
    <w:p/>
    <w:p/>
    <w:p/>
    <w:p/>
    <w:p/>
    <w:p/>
    <w:p/>
    <w:p/>
    <w:p/>
    <w:p/>
    <w:p/>
    <w:p/>
    <w:p/>
    <w:p/>
    <w:p/>
    <w:p/>
    <w:p/>
    <w:p/>
    <w:p/>
    <w:p/>
    <w:p/>
    <w:p/>
    <w:p/>
    <w:p/>
    <w:p>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7.2.19 选用绿色建材。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1绿色建材应用比例不低于60％，□6分；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2不低于80％，□12分。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绿色建材使用情况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是否采用了绿色建材：□是、□否；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绿色建材用量：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绿色建材应用比例：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工程概预算材料/决算清单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绿色建材应用比例分析报告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相关产品性能检测报告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绿色建材标识证书（或绿色产品认证证书）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36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7.2.20 采用建筑形体和布置规则的建筑结构。</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采用建筑形体和布置规则的建筑结构，</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eastAsia="宋体"/>
          <w:lang w:val="en-US" w:eastAsia="zh-CN"/>
        </w:rPr>
      </w:pPr>
      <w:r>
        <w:rPr>
          <w:rFonts w:hint="eastAsia" w:ascii="Times New Roman" w:hAnsi="Times New Roman" w:eastAsia="宋体" w:cs="Times New Roman"/>
          <w:bCs/>
          <w:color w:val="000000"/>
          <w:szCs w:val="24"/>
          <w:lang w:val="en-US" w:eastAsia="zh-CN"/>
        </w:rPr>
        <w:t>简要说明采用建筑形体和布置规则的建筑结构。（200字以内）。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平面、立面和竖向剖面的规则性、建筑的平、立面外形尺寸</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包含抗侧力构件布置、质量分布，直至承载力分布</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建筑形体规则性判定报告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364" w:type="dxa"/>
          </w:tcPr>
          <w:p>
            <w:pPr>
              <w:spacing w:line="288" w:lineRule="auto"/>
            </w:pPr>
          </w:p>
        </w:tc>
      </w:tr>
    </w:tbl>
    <w:p/>
    <w:p/>
    <w:p/>
    <w:p/>
    <w:p/>
    <w:p/>
    <w:p/>
    <w:p>
      <w:pPr>
        <w:pStyle w:val="2"/>
        <w:spacing w:line="288" w:lineRule="auto"/>
      </w:pPr>
      <w:r>
        <w:t xml:space="preserve">8 </w:t>
      </w:r>
      <w:r>
        <w:rPr>
          <w:rFonts w:hint="eastAsia"/>
        </w:rPr>
        <w:t>环境</w:t>
      </w:r>
      <w:bookmarkEnd w:id="64"/>
      <w:bookmarkEnd w:id="65"/>
      <w:bookmarkEnd w:id="66"/>
      <w:r>
        <w:rPr>
          <w:rFonts w:hint="eastAsia"/>
        </w:rPr>
        <w:t>宜居</w:t>
      </w:r>
      <w:bookmarkEnd w:id="67"/>
    </w:p>
    <w:tbl>
      <w:tblPr>
        <w:tblStyle w:val="9"/>
        <w:tblW w:w="8381" w:type="dxa"/>
        <w:tblInd w:w="91" w:type="dxa"/>
        <w:tblLayout w:type="autofit"/>
        <w:tblCellMar>
          <w:top w:w="0" w:type="dxa"/>
          <w:left w:w="108" w:type="dxa"/>
          <w:bottom w:w="0" w:type="dxa"/>
          <w:right w:w="108" w:type="dxa"/>
        </w:tblCellMar>
      </w:tblPr>
      <w:tblGrid>
        <w:gridCol w:w="820"/>
        <w:gridCol w:w="757"/>
        <w:gridCol w:w="5103"/>
        <w:gridCol w:w="850"/>
        <w:gridCol w:w="851"/>
      </w:tblGrid>
      <w:tr>
        <w:tblPrEx>
          <w:tblCellMar>
            <w:top w:w="0" w:type="dxa"/>
            <w:left w:w="108" w:type="dxa"/>
            <w:bottom w:w="0" w:type="dxa"/>
            <w:right w:w="108" w:type="dxa"/>
          </w:tblCellMar>
        </w:tblPrEx>
        <w:trPr>
          <w:trHeight w:val="270" w:hRule="atLeast"/>
          <w:tblHeader/>
        </w:trPr>
        <w:tc>
          <w:tcPr>
            <w:tcW w:w="8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b/>
                <w:bCs/>
                <w:color w:val="000000"/>
                <w:kern w:val="0"/>
                <w:szCs w:val="21"/>
              </w:rPr>
              <w:t>子项</w:t>
            </w:r>
          </w:p>
        </w:tc>
        <w:tc>
          <w:tcPr>
            <w:tcW w:w="75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color w:val="000000"/>
                <w:kern w:val="0"/>
                <w:szCs w:val="21"/>
              </w:rPr>
            </w:pPr>
            <w:r>
              <w:rPr>
                <w:b/>
                <w:bCs/>
                <w:color w:val="000000"/>
                <w:kern w:val="0"/>
                <w:szCs w:val="21"/>
              </w:rPr>
              <w:t>条文</w:t>
            </w:r>
          </w:p>
          <w:p>
            <w:pPr>
              <w:widowControl/>
              <w:spacing w:line="288" w:lineRule="auto"/>
              <w:jc w:val="center"/>
              <w:rPr>
                <w:b/>
                <w:bCs/>
                <w:color w:val="000000"/>
                <w:kern w:val="0"/>
                <w:szCs w:val="21"/>
              </w:rPr>
            </w:pPr>
            <w:r>
              <w:rPr>
                <w:b/>
                <w:bCs/>
                <w:color w:val="000000"/>
                <w:kern w:val="0"/>
                <w:szCs w:val="21"/>
              </w:rPr>
              <w:t>编号</w:t>
            </w:r>
          </w:p>
        </w:tc>
        <w:tc>
          <w:tcPr>
            <w:tcW w:w="5103"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spacing w:line="288" w:lineRule="auto"/>
              <w:jc w:val="center"/>
              <w:rPr>
                <w:b/>
                <w:bCs/>
                <w:kern w:val="0"/>
                <w:szCs w:val="21"/>
              </w:rPr>
            </w:pPr>
            <w:r>
              <w:rPr>
                <w:b/>
                <w:bCs/>
                <w:kern w:val="0"/>
                <w:szCs w:val="21"/>
              </w:rPr>
              <w:t>条文</w:t>
            </w:r>
          </w:p>
        </w:tc>
        <w:tc>
          <w:tcPr>
            <w:tcW w:w="850"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spacing w:line="288" w:lineRule="auto"/>
              <w:jc w:val="center"/>
              <w:rPr>
                <w:b/>
                <w:bCs/>
                <w:kern w:val="0"/>
                <w:szCs w:val="21"/>
              </w:rPr>
            </w:pPr>
            <w:r>
              <w:rPr>
                <w:rFonts w:hint="eastAsia" w:ascii="宋体" w:hAnsi="宋体"/>
                <w:b/>
                <w:bCs/>
                <w:kern w:val="0"/>
                <w:szCs w:val="21"/>
              </w:rPr>
              <w:t>满分</w:t>
            </w:r>
          </w:p>
        </w:tc>
        <w:tc>
          <w:tcPr>
            <w:tcW w:w="85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tblPrEx>
          <w:tblCellMar>
            <w:top w:w="0" w:type="dxa"/>
            <w:left w:w="108" w:type="dxa"/>
            <w:bottom w:w="0" w:type="dxa"/>
            <w:right w:w="108" w:type="dxa"/>
          </w:tblCellMar>
        </w:tblPrEx>
        <w:trPr>
          <w:trHeight w:val="27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8.1.1</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cs="Times New Roman"/>
                <w:bCs w:val="0"/>
              </w:rPr>
              <w:t>建筑规划布局应满足日照标准，且不得降低周边建筑的日照标准。</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室外热环境应满足国家现行有关标准的要求。</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8.1.3</w:t>
            </w:r>
          </w:p>
        </w:tc>
        <w:tc>
          <w:tcPr>
            <w:tcW w:w="5103" w:type="dxa"/>
            <w:tcBorders>
              <w:top w:val="nil"/>
              <w:left w:val="nil"/>
              <w:bottom w:val="single" w:color="auto" w:sz="4" w:space="0"/>
              <w:right w:val="single" w:color="auto" w:sz="4" w:space="0"/>
            </w:tcBorders>
            <w:shd w:val="clear" w:color="auto" w:fill="auto"/>
            <w:vAlign w:val="center"/>
          </w:tcPr>
          <w:p>
            <w:pPr>
              <w:pStyle w:val="5"/>
              <w:rPr>
                <w:rFonts w:ascii="宋体" w:hAnsi="宋体" w:cs="宋体"/>
                <w:color w:val="000000"/>
                <w:kern w:val="0"/>
                <w:szCs w:val="21"/>
              </w:rPr>
            </w:pPr>
            <w:r>
              <w:rPr>
                <w:rFonts w:cs="Times New Roman"/>
                <w:bCs w:val="0"/>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场地的竖向设计应有利于雨水的收集或排放，应有效组织雨水的下渗、滞蓄或再利用；对大于10hm</w:t>
            </w:r>
            <w:r>
              <w:rPr>
                <w:rFonts w:cs="Times New Roman"/>
                <w:bCs w:val="0"/>
                <w:vertAlign w:val="superscript"/>
              </w:rPr>
              <w:t>2</w:t>
            </w:r>
            <w:r>
              <w:rPr>
                <w:rFonts w:cs="Times New Roman"/>
                <w:bCs w:val="0"/>
              </w:rPr>
              <w:t>的场地应进行雨水控制利用专项设计。</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场地内不应有排放超标的污染源。</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8.1.6</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cs="Times New Roman"/>
                <w:bCs w:val="0"/>
              </w:rPr>
              <w:t>生活垃圾应分类收集</w:t>
            </w:r>
            <w:r>
              <w:rPr>
                <w:rFonts w:hint="eastAsia" w:cs="Times New Roman"/>
                <w:bCs w:val="0"/>
              </w:rPr>
              <w:t>、运输</w:t>
            </w:r>
            <w:r>
              <w:rPr>
                <w:rFonts w:cs="Times New Roman"/>
                <w:bCs w:val="0"/>
              </w:rPr>
              <w:t>，垃圾容器和收集点的设置应合理</w:t>
            </w:r>
            <w:r>
              <w:rPr>
                <w:rFonts w:hint="eastAsia" w:cs="Times New Roman"/>
                <w:bCs w:val="0"/>
              </w:rPr>
              <w:t>、规范</w:t>
            </w:r>
            <w:r>
              <w:rPr>
                <w:rFonts w:cs="Times New Roman"/>
                <w:bCs w:val="0"/>
              </w:rPr>
              <w:t>并应与周围景观协调。</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8.1.7</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cs="Times New Roman"/>
                <w:bCs w:val="0"/>
              </w:rPr>
              <w:t>幼儿园、中小学校全面禁止吸烟。</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w:t>
            </w:r>
          </w:p>
        </w:tc>
      </w:tr>
      <w:tr>
        <w:tblPrEx>
          <w:tblCellMar>
            <w:top w:w="0" w:type="dxa"/>
            <w:left w:w="108" w:type="dxa"/>
            <w:bottom w:w="0" w:type="dxa"/>
            <w:right w:w="108" w:type="dxa"/>
          </w:tblCellMar>
        </w:tblPrEx>
        <w:trPr>
          <w:trHeight w:val="540" w:hRule="atLeast"/>
        </w:trPr>
        <w:tc>
          <w:tcPr>
            <w:tcW w:w="820" w:type="dxa"/>
            <w:vMerge w:val="restart"/>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场地生态景观</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8.2.1</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充分保护或修复场地生态环境，合理布局建筑及景观</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8.2.2</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hint="eastAsia"/>
                <w:bCs w:val="0"/>
              </w:rPr>
              <w:t>规划场地地表和屋面雨水径流，对场地雨水实施外排水质水量控制</w:t>
            </w:r>
            <w:r>
              <w:rPr>
                <w:rFonts w:hint="eastAsia"/>
                <w:bCs w:val="0"/>
                <w:lang w:eastAsia="zh-CN"/>
              </w:rPr>
              <w:t>。</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8.2.3</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充分利用场地空间设置绿化用地</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8.2.4</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室外吸烟区位置布局合理</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8.2.5</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利用场地空间设置绿色雨水基础设施</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p>
        </w:tc>
      </w:tr>
      <w:tr>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8.2.6</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hint="eastAsia"/>
                <w:bCs w:val="0"/>
              </w:rPr>
              <w:t>总体布局尊重并利用现状自然资源条件，保护生态环境，避免大填大挖</w:t>
            </w:r>
            <w:r>
              <w:rPr>
                <w:rFonts w:hint="eastAsia"/>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4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室外物理环境</w:t>
            </w: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8.2.7</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场地内的环境噪声优于现行国家标准</w:t>
            </w:r>
            <w:bookmarkStart w:id="85" w:name="_Hlk32659550"/>
            <w:r>
              <w:rPr>
                <w:rFonts w:cs="Times New Roman"/>
                <w:bCs w:val="0"/>
              </w:rPr>
              <w:t>《声环境质量标准》GB3096</w:t>
            </w:r>
            <w:bookmarkEnd w:id="85"/>
            <w:r>
              <w:rPr>
                <w:rFonts w:cs="Times New Roman"/>
                <w:bCs w:val="0"/>
              </w:rPr>
              <w:t>的要求</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8.2.8</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建筑及照明设计避免产生光污染</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8.2.9</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val="en-US" w:eastAsia="zh-CN"/>
              </w:rPr>
            </w:pPr>
            <w:r>
              <w:rPr>
                <w:rFonts w:cs="Times New Roman"/>
                <w:bCs w:val="0"/>
              </w:rPr>
              <w:t>场地内风环境有利于室外行走、活动舒适和建筑的自然通风</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Cs w:val="21"/>
              </w:rPr>
            </w:pPr>
          </w:p>
        </w:tc>
        <w:tc>
          <w:tcPr>
            <w:tcW w:w="75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eastAsia="宋体"/>
                <w:color w:val="000000"/>
                <w:kern w:val="0"/>
                <w:szCs w:val="21"/>
                <w:lang w:val="en-US" w:eastAsia="zh-CN"/>
              </w:rPr>
            </w:pPr>
            <w:r>
              <w:rPr>
                <w:rFonts w:hint="eastAsia"/>
                <w:color w:val="000000"/>
                <w:kern w:val="0"/>
                <w:szCs w:val="21"/>
                <w:lang w:val="en-US" w:eastAsia="zh-CN"/>
              </w:rPr>
              <w:t>8.2.10</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Cs w:val="21"/>
                <w:lang w:eastAsia="zh-CN"/>
              </w:rPr>
            </w:pPr>
            <w:r>
              <w:rPr>
                <w:rFonts w:cs="Times New Roman"/>
                <w:bCs w:val="0"/>
              </w:rPr>
              <w:t>采取措施</w:t>
            </w:r>
            <w:bookmarkStart w:id="86" w:name="_Hlk26797722"/>
            <w:r>
              <w:rPr>
                <w:rFonts w:cs="Times New Roman"/>
                <w:bCs w:val="0"/>
              </w:rPr>
              <w:t>降低热岛强度</w:t>
            </w:r>
            <w:bookmarkEnd w:id="86"/>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3"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spacing w:line="288" w:lineRule="auto"/>
      </w:pPr>
    </w:p>
    <w:p/>
    <w:p/>
    <w:p/>
    <w:p/>
    <w:p/>
    <w:p/>
    <w:p/>
    <w:p>
      <w:pPr>
        <w:pStyle w:val="2"/>
        <w:bidi w:val="0"/>
        <w:rPr>
          <w:rFonts w:hint="eastAsia"/>
        </w:rPr>
      </w:pPr>
      <w:bookmarkStart w:id="87" w:name="_Toc22221588"/>
      <w:bookmarkStart w:id="88" w:name="_Toc35364755"/>
      <w:r>
        <w:rPr>
          <w:rFonts w:hint="eastAsia"/>
        </w:rPr>
        <w:t>8.1 控制项</w:t>
      </w:r>
      <w:bookmarkEnd w:id="87"/>
      <w:bookmarkEnd w:id="88"/>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8.1.1 建筑规划布局应满足日照标准，且不得降低周边建筑的日照标准。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zh-CN" w:eastAsia="zh-CN"/>
        </w:rPr>
        <w:t>□</w:t>
      </w:r>
      <w:r>
        <w:rPr>
          <w:rFonts w:hint="eastAsia" w:ascii="Times New Roman" w:hAnsi="Times New Roman" w:eastAsia="宋体" w:cs="Times New Roman"/>
          <w:b/>
          <w:bCs w:val="0"/>
          <w:color w:val="000000"/>
          <w:szCs w:val="24"/>
          <w:lang w:val="en-US"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建筑日照标准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住区位于气候区_______</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所在城市为属于：□大城市、□中小城市</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本项目中住宅标准日最低日照时数：___  小时</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住区内是否有老年人住宅建筑</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如有老年人住宅建筑，则老年人住宅建筑冬至日日照时数：___  小时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是否为旧区改建内的新建住宅：□是、□否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周围建筑情况，是否影响周围建筑的日照：□是、□否</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建筑日照标准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本项目是否为以下几类建筑类型：□托儿所、□幼儿园、□中小学校、□以上皆不是</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如是托儿所或幼儿园，则其生活用房冬至日底层满窗日照小时</w:t>
      </w:r>
      <w:r>
        <w:rPr>
          <w:rFonts w:hint="eastAsia" w:ascii="Times New Roman" w:hAnsi="Times New Roman" w:eastAsia="宋体" w:cs="Times New Roman"/>
          <w:bCs/>
          <w:color w:val="000000"/>
          <w:szCs w:val="24"/>
          <w:lang w:val="zh-CN" w:eastAsia="zh-CN"/>
        </w:rPr>
        <w:t>数：____小时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如是中小学校，则其南向的普通教室冬至日底层满窗日照小时</w:t>
      </w:r>
      <w:r>
        <w:rPr>
          <w:rFonts w:hint="eastAsia" w:ascii="Times New Roman" w:hAnsi="Times New Roman" w:eastAsia="宋体" w:cs="Times New Roman"/>
          <w:bCs/>
          <w:color w:val="000000"/>
          <w:szCs w:val="24"/>
          <w:lang w:val="zh-CN" w:eastAsia="zh-CN"/>
        </w:rPr>
        <w:t>数：____小时</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周边是否有住宅建筑、学校建筑等有日照要求的建筑：□是、□否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如周边有住宅建筑、学校建筑等有日照要求的建筑，本项目是否影响其日照要求：□是、□否</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规划批复文件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总平面设计图</w:t>
            </w:r>
          </w:p>
        </w:tc>
        <w:tc>
          <w:tcPr>
            <w:tcW w:w="3960"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日照计算分析报告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应包括使用项目所在地城乡规划行政主管部门认可的计算软件对标准日最低日照时数进行的模拟计算，日照模拟分析建模应包括地块周边既有建筑（至少将从项目边界计起的第二排纳入建模及分析）</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414" w:type="dxa"/>
          </w:tcPr>
          <w:p>
            <w:pPr>
              <w:spacing w:line="288" w:lineRule="auto"/>
            </w:pPr>
          </w:p>
        </w:tc>
      </w:tr>
    </w:tbl>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8.1.2 室外热环境应满足国家现行有关标准的要求。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室外热环境</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居住区夏季逐时湿球黑球温度：____℃</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居住区夏季平均热岛强度：____℃</w:t>
      </w:r>
    </w:p>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室外景观总平面图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构筑物设计详图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应包括构筑物投影面积值</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屋面做法详图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道路铺装详图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场地热环境计算报告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如为规定设计，应包括迎风面积比、遮阳覆盖率等内容；如为评价性设计，应包括注释试求黑球温度和平均热岛强度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8.1.3 配建的绿地应符合所在地城乡规划的要求，应合理选择绿化方式，植物种植应适应当地气候和土壤，且应无毒害、易维护，种植区域覆土深度和排水能力应满足植物生长需求，并应采用复层绿化方式。</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乡土植物，复层绿化</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项目所在地为以下选项中的：</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□华北、□东北、□西北、□华中、□华东、□华南、□西南</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绿化物种是否主要选用适宜当地气候和土壤条件的乡土植物：□是、□否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是否采用包含乔、灌木的复层绿化：□是、□否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如绿化植物种植在地下车库顶板上，则种植区域覆土深度：___  m</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地下车库顶板上排水设施情况：___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绿地配植乔木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项目用地面积：___  m2，绿地面积：___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绿地中乔木的数量：株，平均每100m2绿地面积上的乔木数：___  株</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请列举本项目中的主要绿化物种：（200字以内）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2384"/>
        <w:gridCol w:w="3091"/>
        <w:gridCol w:w="992"/>
        <w:gridCol w:w="7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04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38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091"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788"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38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09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应体现项目红线范围内景观总体设计内容，植物设计图</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38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分析计算图</w:t>
            </w:r>
          </w:p>
        </w:tc>
        <w:tc>
          <w:tcPr>
            <w:tcW w:w="309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含绿地率分析计算图、人均公共绿地分析计算图</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景观设计说明</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应包括苗木表、当地植物名录等，并体现项目内乔、灌、草植物种类、基本信息</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种植平面图及植物配置分析计算报告</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应体现项目内乔、灌、草植物种类、基本信息、种植位置图</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屋顶绿化平面图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应包括屋顶可绿化面积、屋顶绿化的类型、面积、种植植物</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垂直绿化种植图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应包括垂直绿化的位置、面积、种植植物</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每100㎡绿地上的乔木数量计算文件</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应包括乔木类别、数量及相关计算过程</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屋顶绿化比例计算书</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应包括屋顶绿化面积占可绿化面积的比例的计算过程</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种植区域竖向设计和排水设计图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restart"/>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苗木采购清单</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苗木养护资料</w:t>
            </w:r>
          </w:p>
        </w:tc>
        <w:tc>
          <w:tcPr>
            <w:tcW w:w="3091"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788" w:type="dxa"/>
            <w:tcBorders>
              <w:top w:val="single" w:color="auto" w:sz="6"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414" w:type="dxa"/>
          </w:tcPr>
          <w:p>
            <w:pPr>
              <w:spacing w:line="288" w:lineRule="auto"/>
            </w:pPr>
          </w:p>
        </w:tc>
      </w:tr>
    </w:tbl>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8.1.4 场地的竖向设计应有利于雨水的收集或排放，应有效组织雨水的下渗、滞蓄或再利用；对大于10hm2的场地应进行雨水控制利用专项设计。</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场地用地面积是否大于10hm2：□是、□否。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场地用地面积大于10hm2，简要描述场地雨水专项规划设计，包含对场地内径流减排、污染控制、雨水收集回用等的全面统筹规划设计；小于10hm2的项目简述场地雨水综合利用方案（根据场地条件合理采用雨水控制利用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pPr>
              <w:pStyle w:val="22"/>
              <w:spacing w:line="288" w:lineRule="auto"/>
              <w:ind w:firstLine="422" w:firstLineChars="200"/>
              <w:jc w:val="both"/>
              <w:outlineLvl w:val="8"/>
              <w:rPr>
                <w:rFonts w:ascii="Times New Roman" w:cs="Times New Roman"/>
                <w:b/>
                <w:bCs/>
                <w:color w:val="auto"/>
                <w:kern w:val="2"/>
                <w:sz w:val="21"/>
                <w:szCs w:val="21"/>
              </w:rPr>
            </w:pPr>
          </w:p>
        </w:tc>
      </w:tr>
    </w:tbl>
    <w:p>
      <w:pPr>
        <w:pStyle w:val="13"/>
        <w:spacing w:line="288" w:lineRule="auto"/>
        <w:ind w:left="720" w:firstLine="0" w:firstLineChars="0"/>
        <w:rPr>
          <w:b/>
          <w:lang w:val="zh-CN"/>
        </w:rPr>
      </w:pP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下凹式绿地、雨水花园等有调蓄雨水功能的绿地和水体的面积之和占绿地面积的比例：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有调蓄雨水功能的绿地和水体的面积之和：___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场地绿地面积：___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有调蓄雨水功能的绿地和水体的面积之和占绿地面积的比例：___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绿色雨水基础设施统计：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spacing w:line="288" w:lineRule="auto"/>
              <w:jc w:val="center"/>
            </w:pPr>
            <w:r>
              <w:t>1</w:t>
            </w:r>
          </w:p>
        </w:tc>
        <w:tc>
          <w:tcPr>
            <w:tcW w:w="3970" w:type="dxa"/>
          </w:tcPr>
          <w:p>
            <w:pPr>
              <w:spacing w:line="288" w:lineRule="auto"/>
            </w:pPr>
            <w:r>
              <w:rPr>
                <w:rFonts w:hint="eastAsia"/>
              </w:rPr>
              <w:t>雨水花园</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2</w:t>
            </w:r>
          </w:p>
        </w:tc>
        <w:tc>
          <w:tcPr>
            <w:tcW w:w="3970" w:type="dxa"/>
          </w:tcPr>
          <w:p>
            <w:pPr>
              <w:spacing w:line="288" w:lineRule="auto"/>
            </w:pPr>
            <w:r>
              <w:rPr>
                <w:rFonts w:hint="eastAsia"/>
              </w:rPr>
              <w:t>下凹式绿地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3</w:t>
            </w:r>
          </w:p>
        </w:tc>
        <w:tc>
          <w:tcPr>
            <w:tcW w:w="3970" w:type="dxa"/>
          </w:tcPr>
          <w:p>
            <w:pPr>
              <w:spacing w:line="288" w:lineRule="auto"/>
            </w:pPr>
            <w:r>
              <w:rPr>
                <w:rFonts w:hint="eastAsia"/>
              </w:rPr>
              <w:t>植被浅沟</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4</w:t>
            </w:r>
          </w:p>
        </w:tc>
        <w:tc>
          <w:tcPr>
            <w:tcW w:w="3970" w:type="dxa"/>
          </w:tcPr>
          <w:p>
            <w:pPr>
              <w:spacing w:line="288" w:lineRule="auto"/>
            </w:pPr>
            <w:r>
              <w:rPr>
                <w:rFonts w:hint="eastAsia"/>
              </w:rPr>
              <w:t>雨水截留设施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5</w:t>
            </w:r>
          </w:p>
        </w:tc>
        <w:tc>
          <w:tcPr>
            <w:tcW w:w="3970" w:type="dxa"/>
          </w:tcPr>
          <w:p>
            <w:pPr>
              <w:spacing w:line="288" w:lineRule="auto"/>
              <w:rPr>
                <w:rFonts w:ascii="宋体" w:cs="宋体"/>
                <w:kern w:val="0"/>
                <w:szCs w:val="21"/>
              </w:rPr>
            </w:pPr>
            <w:r>
              <w:rPr>
                <w:rFonts w:hint="eastAsia" w:ascii="宋体" w:cs="宋体"/>
                <w:kern w:val="0"/>
                <w:szCs w:val="21"/>
              </w:rPr>
              <w:t>渗透设施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6</w:t>
            </w:r>
          </w:p>
        </w:tc>
        <w:tc>
          <w:tcPr>
            <w:tcW w:w="3970" w:type="dxa"/>
          </w:tcPr>
          <w:p>
            <w:pPr>
              <w:spacing w:line="288" w:lineRule="auto"/>
              <w:rPr>
                <w:kern w:val="0"/>
              </w:rPr>
            </w:pPr>
            <w:r>
              <w:rPr>
                <w:rFonts w:hint="eastAsia"/>
                <w:kern w:val="0"/>
              </w:rPr>
              <w:t>雨水塘</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7</w:t>
            </w:r>
          </w:p>
        </w:tc>
        <w:tc>
          <w:tcPr>
            <w:tcW w:w="3970" w:type="dxa"/>
          </w:tcPr>
          <w:p>
            <w:pPr>
              <w:autoSpaceDE w:val="0"/>
              <w:autoSpaceDN w:val="0"/>
              <w:adjustRightInd w:val="0"/>
              <w:spacing w:line="288" w:lineRule="auto"/>
              <w:jc w:val="left"/>
              <w:rPr>
                <w:kern w:val="0"/>
              </w:rPr>
            </w:pPr>
            <w:r>
              <w:rPr>
                <w:rFonts w:hint="eastAsia"/>
                <w:kern w:val="0"/>
              </w:rPr>
              <w:t>雨水湿地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8</w:t>
            </w:r>
          </w:p>
        </w:tc>
        <w:tc>
          <w:tcPr>
            <w:tcW w:w="3970" w:type="dxa"/>
          </w:tcPr>
          <w:p>
            <w:pPr>
              <w:spacing w:line="288" w:lineRule="auto"/>
              <w:rPr>
                <w:kern w:val="0"/>
              </w:rPr>
            </w:pPr>
            <w:r>
              <w:rPr>
                <w:rFonts w:hint="eastAsia"/>
                <w:kern w:val="0"/>
              </w:rPr>
              <w:t>景观水体</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9</w:t>
            </w:r>
          </w:p>
        </w:tc>
        <w:tc>
          <w:tcPr>
            <w:tcW w:w="3970" w:type="dxa"/>
          </w:tcPr>
          <w:p>
            <w:pPr>
              <w:spacing w:line="288" w:lineRule="auto"/>
              <w:rPr>
                <w:rFonts w:ascii="宋体" w:cs="宋体"/>
                <w:kern w:val="0"/>
                <w:szCs w:val="21"/>
              </w:rPr>
            </w:pPr>
            <w:r>
              <w:rPr>
                <w:rFonts w:hint="eastAsia" w:ascii="宋体" w:cs="宋体"/>
                <w:kern w:val="0"/>
                <w:szCs w:val="21"/>
              </w:rPr>
              <w:t>多功能调蓄设施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10</w:t>
            </w:r>
          </w:p>
        </w:tc>
        <w:tc>
          <w:tcPr>
            <w:tcW w:w="3970" w:type="dxa"/>
          </w:tcPr>
          <w:p>
            <w:pPr>
              <w:spacing w:line="288" w:lineRule="auto"/>
              <w:rPr>
                <w:kern w:val="0"/>
              </w:rPr>
            </w:pPr>
            <w:r>
              <w:rPr>
                <w:rFonts w:hint="eastAsia"/>
                <w:kern w:val="0"/>
              </w:rPr>
              <w:t>其他</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p>
        </w:tc>
        <w:tc>
          <w:tcPr>
            <w:tcW w:w="3970" w:type="dxa"/>
          </w:tcPr>
          <w:p>
            <w:pPr>
              <w:spacing w:line="288" w:lineRule="auto"/>
              <w:rPr>
                <w:kern w:val="0"/>
              </w:rPr>
            </w:pPr>
            <w:r>
              <w:rPr>
                <w:rFonts w:hint="eastAsia"/>
                <w:kern w:val="0"/>
              </w:rPr>
              <w:t>合计</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jc w:val="center"/>
              <w:rPr>
                <w:kern w:val="0"/>
              </w:rPr>
            </w:pPr>
            <w:r>
              <w:rPr>
                <w:rFonts w:hint="eastAsia"/>
              </w:rPr>
              <w:t>场地绿地面积</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pPr>
              <w:spacing w:line="288" w:lineRule="auto"/>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场地竖向设计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雨水控制利用专项规划设计或方案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年径流总量控制率计算书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设计控制雨量计算书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14" w:type="dxa"/>
          </w:tcPr>
          <w:p>
            <w:pPr>
              <w:spacing w:line="288" w:lineRule="auto"/>
            </w:pPr>
          </w:p>
        </w:tc>
      </w:tr>
    </w:tbl>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8.1.5 场地内不应有排放超标的污染源。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场地无排放超标的污染源</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场地内是否有以下建筑或设施：</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□餐饮类建筑、□锅炉房、□垃圾运转站、</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□其他易产生烟、气、尘、噪声的建筑或设施（_____________）、□以上皆无</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如有以上建筑或设施，简要说明避免排放超标的控制措施：（200字以内）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8472" w:type="dxa"/>
          </w:tcPr>
          <w:p>
            <w:pPr>
              <w:spacing w:line="288" w:lineRule="auto"/>
              <w:ind w:firstLine="420" w:firstLineChars="200"/>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636"/>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636" w:type="dxa"/>
            <w:shd w:val="clear" w:color="DBE5F1"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应体现相关污染源所在位置及其控制措施</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现场照片</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污染防治措施现场照片</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应包括各类污染防治措施现场照片</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各类污染检测报告（废水、固体废弃物等）</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应包括厨房油烟（如有）、污废水检测报告，报告应由具有CMA检测认证的第三方检测机构对场地内厨房油烟、污废水进行抽样检测，结果应符合相关标准要求</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pPr>
              <w:widowControl/>
              <w:jc w:val="left"/>
              <w:rPr>
                <w:rFonts w:ascii="宋体" w:hAnsi="宋体" w:eastAsia="宋体" w:cs="宋体"/>
                <w:b/>
                <w:bCs/>
                <w:color w:val="000000"/>
                <w:kern w:val="0"/>
                <w:sz w:val="22"/>
              </w:rPr>
            </w:pPr>
          </w:p>
        </w:tc>
        <w:tc>
          <w:tcPr>
            <w:tcW w:w="1176"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环评报告书（表）</w:t>
            </w:r>
          </w:p>
        </w:tc>
        <w:tc>
          <w:tcPr>
            <w:tcW w:w="4636"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应包括场地内各类污染源及其控制措施分析</w:t>
            </w:r>
          </w:p>
        </w:tc>
        <w:tc>
          <w:tcPr>
            <w:tcW w:w="992"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8.1.6 生活垃圾应分类收集、运输，垃圾容器和收集点的设置应合理、规范并应与周围景观协调。</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垃圾分类收集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项目垃圾排放总质量：___  t/a，分类收集的垃圾质量：___  t/a，垃圾分类收集率：___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垃圾回收比例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项目可回收垃圾排放总质量：___  （/a，已回收的可回收垃圾质量：___  t/a，可回收垃圾的回收比例：___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垃圾生物降解</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是否对可生物降解垃圾进行单独收集：□是 □否，处置方式：__                    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有害垃圾收集处置</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是否对有害垃圾进行单独收集：□是 □否，处置方式：___                           </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环境卫生设计说明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设备材料表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垃圾收集设施布置图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垃圾管理制度</w:t>
            </w:r>
          </w:p>
        </w:tc>
        <w:tc>
          <w:tcPr>
            <w:tcW w:w="3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应包括对厨余垃圾或其他可生物降解垃圾分类收集管理制度；对可回收垃圾分类收集管理制度；对有害垃圾分类收集管理制度；体现垃圾分类收集管理制度</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
    <w:p/>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414" w:type="dxa"/>
          </w:tcPr>
          <w:p>
            <w:pPr>
              <w:spacing w:line="288" w:lineRule="auto"/>
            </w:pPr>
          </w:p>
        </w:tc>
      </w:tr>
    </w:tbl>
    <w:p/>
    <w:p/>
    <w:p/>
    <w:p/>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8.1.7 幼儿园、中小学校全面禁止吸烟。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lang w:val="zh-CN" w:eastAsia="zh-CN"/>
        </w:rPr>
        <w:t>学校</w:t>
      </w:r>
      <w:r>
        <w:rPr>
          <w:rFonts w:hint="eastAsia" w:ascii="Times New Roman" w:hAnsi="Times New Roman" w:eastAsia="宋体" w:cs="Times New Roman"/>
          <w:bCs/>
          <w:color w:val="000000"/>
          <w:szCs w:val="24"/>
          <w:lang w:val="en-US" w:eastAsia="zh-CN"/>
        </w:rPr>
        <w:t>是否</w:t>
      </w:r>
      <w:r>
        <w:rPr>
          <w:rFonts w:hint="eastAsia" w:cs="Times New Roman"/>
          <w:bCs/>
          <w:color w:val="000000"/>
          <w:szCs w:val="24"/>
          <w:lang w:val="en-US" w:eastAsia="zh-CN"/>
        </w:rPr>
        <w:t>有</w:t>
      </w:r>
      <w:r>
        <w:rPr>
          <w:rFonts w:hint="eastAsia" w:ascii="Times New Roman" w:hAnsi="Times New Roman" w:eastAsia="宋体" w:cs="Times New Roman"/>
          <w:bCs/>
          <w:color w:val="000000"/>
          <w:szCs w:val="24"/>
          <w:lang w:val="en-US" w:eastAsia="zh-CN"/>
        </w:rPr>
        <w:t>明确</w:t>
      </w:r>
      <w:r>
        <w:rPr>
          <w:rFonts w:hint="eastAsia" w:ascii="Times New Roman" w:hAnsi="Times New Roman" w:eastAsia="宋体" w:cs="Times New Roman"/>
          <w:bCs/>
          <w:color w:val="000000"/>
          <w:szCs w:val="24"/>
          <w:lang w:val="zh-CN" w:eastAsia="zh-CN"/>
        </w:rPr>
        <w:t>相关管理规章制度、控烟宣传活动、禁烟标识布置图等</w:t>
      </w:r>
      <w:r>
        <w:rPr>
          <w:rFonts w:hint="eastAsia" w:cs="Times New Roman"/>
          <w:bCs/>
          <w:color w:val="000000"/>
          <w:szCs w:val="24"/>
          <w:lang w:val="zh-CN"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做到</w:t>
      </w:r>
      <w:r>
        <w:rPr>
          <w:rFonts w:hint="eastAsia" w:ascii="Times New Roman" w:hAnsi="Times New Roman" w:eastAsia="宋体" w:cs="Times New Roman"/>
          <w:bCs/>
          <w:color w:val="000000"/>
          <w:szCs w:val="24"/>
          <w:lang w:val="zh-CN" w:eastAsia="zh-CN"/>
        </w:rPr>
        <w:t>现场检查是否设立兼职控烟宣传员、监督员等</w:t>
      </w:r>
      <w:r>
        <w:rPr>
          <w:rFonts w:hint="eastAsia" w:cs="Times New Roman"/>
          <w:bCs/>
          <w:color w:val="000000"/>
          <w:szCs w:val="24"/>
          <w:lang w:val="zh-CN" w:eastAsia="zh-CN"/>
        </w:rPr>
        <w:t>；</w:t>
      </w:r>
      <w:r>
        <w:rPr>
          <w:rFonts w:hint="eastAsia" w:ascii="Times New Roman" w:hAnsi="Times New Roman" w:eastAsia="宋体" w:cs="Times New Roman"/>
          <w:bCs/>
          <w:color w:val="000000"/>
          <w:szCs w:val="24"/>
          <w:lang w:val="zh-CN" w:eastAsia="zh-CN"/>
        </w:rPr>
        <w:t>现场查勘校园内重点区域</w:t>
      </w:r>
      <w:r>
        <w:rPr>
          <w:rFonts w:hint="eastAsia" w:cs="Times New Roman"/>
          <w:bCs/>
          <w:color w:val="000000"/>
          <w:szCs w:val="24"/>
          <w:lang w:val="en-US" w:eastAsia="zh-CN"/>
        </w:rPr>
        <w:t>是否</w:t>
      </w:r>
      <w:r>
        <w:rPr>
          <w:rFonts w:hint="eastAsia" w:ascii="Times New Roman" w:hAnsi="Times New Roman" w:eastAsia="宋体" w:cs="Times New Roman"/>
          <w:bCs/>
          <w:color w:val="000000"/>
          <w:szCs w:val="24"/>
          <w:lang w:val="zh-CN" w:eastAsia="zh-CN"/>
        </w:rPr>
        <w:t>有醒目的禁烟标识。（</w:t>
      </w:r>
      <w:r>
        <w:rPr>
          <w:rFonts w:hint="eastAsia" w:ascii="Times New Roman" w:hAnsi="Times New Roman" w:eastAsia="宋体" w:cs="Times New Roman"/>
          <w:bCs/>
          <w:color w:val="000000"/>
          <w:szCs w:val="24"/>
          <w:lang w:val="en-US" w:eastAsia="zh-CN"/>
        </w:rPr>
        <w:t>200字以内</w:t>
      </w:r>
      <w:r>
        <w:rPr>
          <w:rFonts w:hint="eastAsia" w:ascii="Times New Roman" w:hAnsi="Times New Roman" w:eastAsia="宋体" w:cs="Times New Roman"/>
          <w:bCs/>
          <w:color w:val="000000"/>
          <w:szCs w:val="24"/>
          <w:lang w:val="zh-CN"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8414" w:type="dxa"/>
          </w:tcPr>
          <w:p>
            <w:pPr>
              <w:spacing w:line="288" w:lineRule="auto"/>
              <w:ind w:firstLine="420" w:firstLineChars="200"/>
              <w:rPr>
                <w:szCs w:val="21"/>
              </w:rPr>
            </w:pPr>
          </w:p>
        </w:tc>
      </w:tr>
    </w:tbl>
    <w:p>
      <w:pPr>
        <w:rPr>
          <w:rFonts w:hint="eastAsia"/>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禁烟设计说明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禁烟标识布置图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禁烟管理制度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应包括加强控烟监督检查、开展控烟宣传教育及明确的管理制度</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414" w:type="dxa"/>
          </w:tcPr>
          <w:p>
            <w:pPr>
              <w:spacing w:line="288" w:lineRule="auto"/>
            </w:pPr>
          </w:p>
        </w:tc>
      </w:tr>
    </w:tbl>
    <w:p/>
    <w:p/>
    <w:p>
      <w:pPr>
        <w:pStyle w:val="2"/>
        <w:bidi w:val="0"/>
        <w:rPr>
          <w:rFonts w:hint="eastAsia"/>
        </w:rPr>
      </w:pPr>
      <w:bookmarkStart w:id="89" w:name="_Toc22221589"/>
      <w:bookmarkStart w:id="90" w:name="_Toc35364756"/>
      <w:r>
        <w:rPr>
          <w:rFonts w:hint="eastAsia"/>
        </w:rPr>
        <w:t>8.2 评分项</w:t>
      </w:r>
      <w:bookmarkEnd w:id="89"/>
      <w:bookmarkEnd w:id="90"/>
    </w:p>
    <w:p>
      <w:pPr>
        <w:pStyle w:val="3"/>
        <w:spacing w:line="288" w:lineRule="auto"/>
        <w:jc w:val="center"/>
        <w:rPr>
          <w:rFonts w:hint="eastAsia" w:ascii="宋体" w:hAnsi="宋体" w:eastAsia="宋体" w:cs="宋体"/>
        </w:rPr>
      </w:pPr>
      <w:bookmarkStart w:id="91" w:name="_Toc22221590"/>
      <w:bookmarkStart w:id="92" w:name="_Toc35364757"/>
      <w:r>
        <w:rPr>
          <w:rFonts w:hint="eastAsia" w:ascii="宋体" w:hAnsi="宋体" w:eastAsia="宋体" w:cs="宋体"/>
        </w:rPr>
        <w:t>Ⅰ 场地生态与景观</w:t>
      </w:r>
      <w:bookmarkEnd w:id="91"/>
      <w:bookmarkEnd w:id="92"/>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8.2.1 充分保护或修复场地生态环境，合理布局建筑及景观。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保护场地内原有的自然水域、湿地、植被等，保持场地内的生态系统与场地外生态系统的连贯性，</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采取净地表层土回收利用等生态补偿措施，</w:t>
      </w:r>
      <w:r>
        <w:rPr>
          <w:rFonts w:hint="eastAsia" w:ascii="Times New Roman" w:hAnsi="Times New Roman" w:eastAsia="宋体" w:cs="Times New Roman"/>
          <w:bCs/>
          <w:color w:val="000000"/>
          <w:szCs w:val="24"/>
          <w:lang w:val="zh-CN" w:eastAsia="zh-CN"/>
        </w:rPr>
        <w:sym w:font="Wingdings 2" w:char="0052"/>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根据场地实际状况，采取其他生态恢复或补偿措施，</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项目场地内是否有自然水域：</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项目场地内是否有湿地：</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项目场地内是否有植被：</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场地设计与建筑布局是否充分利用原有地形地貌：□</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场地设计是否对原有的表层土进行保护利用：</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如对场地内原有的自然水域、湿地和植被进行了改造，简要说明工程结束后所采取的生态补偿措施（包括表层土的利用措施）。（200字以内）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66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960"/>
        <w:gridCol w:w="80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场地原地形图</w:t>
            </w: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应体现场地开发前的原有地形地貌</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带地形的</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竖向设计图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景观设计总平面图</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restar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vMerge w:val="restart"/>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生态补偿方案及记录</w:t>
            </w: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表层土利用方案：应包括表层土回收计划或方案，表层土利用相关图纸及说明文件，表层土收集利用量计算书</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vMerge w:val="continue"/>
            <w:vAlign w:val="center"/>
          </w:tcPr>
          <w:p>
            <w:pPr>
              <w:widowControl/>
              <w:jc w:val="left"/>
              <w:rPr>
                <w:rFonts w:ascii="宋体" w:hAnsi="宋体" w:eastAsia="宋体" w:cs="宋体"/>
                <w:b/>
                <w:bCs/>
                <w:color w:val="000000"/>
                <w:kern w:val="0"/>
                <w:sz w:val="22"/>
              </w:rPr>
            </w:pP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乔木等植被保护方案：应包括保留场地内全部原有中龄期以上的乔木（允许移植）</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vMerge w:val="continue"/>
            <w:vAlign w:val="center"/>
          </w:tcPr>
          <w:p>
            <w:pPr>
              <w:widowControl/>
              <w:jc w:val="left"/>
              <w:rPr>
                <w:rFonts w:ascii="宋体" w:hAnsi="宋体" w:eastAsia="宋体" w:cs="宋体"/>
                <w:b/>
                <w:bCs/>
                <w:color w:val="000000"/>
                <w:kern w:val="0"/>
                <w:sz w:val="22"/>
              </w:rPr>
            </w:pP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水体保留方案</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vMerge w:val="continue"/>
            <w:vAlign w:val="center"/>
          </w:tcPr>
          <w:p>
            <w:pPr>
              <w:widowControl/>
              <w:jc w:val="left"/>
              <w:rPr>
                <w:rFonts w:ascii="宋体" w:hAnsi="宋体" w:eastAsia="宋体" w:cs="宋体"/>
                <w:b/>
                <w:bCs/>
                <w:color w:val="000000"/>
                <w:kern w:val="0"/>
                <w:sz w:val="22"/>
              </w:rPr>
            </w:pPr>
          </w:p>
        </w:tc>
        <w:tc>
          <w:tcPr>
            <w:tcW w:w="3960" w:type="dxa"/>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应具体介绍项目采用生态补偿措施的具体方法及生态补偿后的效果</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pPr>
              <w:widowControl/>
              <w:jc w:val="left"/>
              <w:rPr>
                <w:rFonts w:ascii="宋体" w:hAnsi="宋体" w:eastAsia="宋体" w:cs="宋体"/>
                <w:b/>
                <w:bCs/>
                <w:color w:val="000000"/>
                <w:kern w:val="0"/>
                <w:sz w:val="22"/>
              </w:rPr>
            </w:pPr>
          </w:p>
        </w:tc>
        <w:tc>
          <w:tcPr>
            <w:tcW w:w="2020" w:type="dxa"/>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影像资料</w:t>
            </w:r>
          </w:p>
        </w:tc>
        <w:tc>
          <w:tcPr>
            <w:tcW w:w="3960" w:type="dxa"/>
            <w:shd w:val="clear" w:color="auto" w:fill="auto"/>
            <w:noWrap/>
            <w:vAlign w:val="center"/>
          </w:tcPr>
          <w:p>
            <w:pPr>
              <w:widowControl/>
              <w:jc w:val="left"/>
              <w:rPr>
                <w:rFonts w:ascii="宋体" w:hAnsi="宋体" w:eastAsia="宋体" w:cs="宋体"/>
                <w:bCs/>
                <w:color w:val="000000"/>
                <w:kern w:val="0"/>
                <w:sz w:val="22"/>
              </w:rPr>
            </w:pPr>
            <w:r>
              <w:rPr>
                <w:rFonts w:hint="eastAsia" w:ascii="宋体" w:hAnsi="宋体" w:eastAsia="宋体" w:cs="宋体"/>
                <w:bCs/>
                <w:color w:val="000000"/>
                <w:kern w:val="0"/>
                <w:sz w:val="22"/>
              </w:rPr>
              <w:t>水体和植被修复改造过程照片</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414" w:type="dxa"/>
          </w:tcPr>
          <w:p>
            <w:pPr>
              <w:spacing w:line="288" w:lineRule="auto"/>
            </w:pPr>
          </w:p>
        </w:tc>
      </w:tr>
    </w:tbl>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8.2.2 规划场地地表和屋面雨水径流，对场地雨水实施外排水质水量控制。</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1场地年径流总量控制率不低于70％，场地年径流污染去除率不低于50％，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2场地年径流总量控制率不低于80％，场地年径流污染去除率不低于55％，</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径流总量控制</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1）项目雨水控制目标：</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项目雨水目标年径流总量控制率：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目标控制率对应项目所在地目标控制降雨量（日值）：</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项目雨水汇水总面积：</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目标控制降雨量（日值）对应项目雨水目标控制外排量：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2）项目雨水控制措施及效果：</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项目汇水区域径流系数及控制外排量计算表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134"/>
        <w:gridCol w:w="1984"/>
        <w:gridCol w:w="1276"/>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vAlign w:val="center"/>
          </w:tcPr>
          <w:p>
            <w:pPr>
              <w:jc w:val="center"/>
            </w:pPr>
            <w:r>
              <w:rPr>
                <w:rFonts w:hint="eastAsia"/>
              </w:rPr>
              <w:t>汇水区域类型</w:t>
            </w:r>
          </w:p>
        </w:tc>
        <w:tc>
          <w:tcPr>
            <w:tcW w:w="1134" w:type="dxa"/>
          </w:tcPr>
          <w:p>
            <w:pPr>
              <w:jc w:val="center"/>
            </w:pPr>
            <w:r>
              <w:rPr>
                <w:rFonts w:hint="eastAsia"/>
              </w:rPr>
              <w:t>面积</w:t>
            </w:r>
            <w:r>
              <w:t>(m</w:t>
            </w:r>
            <w:r>
              <w:rPr>
                <w:vertAlign w:val="superscript"/>
              </w:rPr>
              <w:t>2</w:t>
            </w:r>
            <w:r>
              <w:t>)</w:t>
            </w:r>
          </w:p>
        </w:tc>
        <w:tc>
          <w:tcPr>
            <w:tcW w:w="1984" w:type="dxa"/>
            <w:vAlign w:val="center"/>
          </w:tcPr>
          <w:p>
            <w:pPr>
              <w:jc w:val="center"/>
            </w:pPr>
            <w:r>
              <w:rPr>
                <w:rFonts w:hint="eastAsia"/>
                <w:szCs w:val="21"/>
              </w:rPr>
              <w:t>目标控制雨量(mm)</w:t>
            </w:r>
          </w:p>
        </w:tc>
        <w:tc>
          <w:tcPr>
            <w:tcW w:w="1276" w:type="dxa"/>
            <w:vAlign w:val="center"/>
          </w:tcPr>
          <w:p>
            <w:pPr>
              <w:jc w:val="center"/>
            </w:pPr>
            <w:r>
              <w:rPr>
                <w:rFonts w:hint="eastAsia"/>
              </w:rPr>
              <w:t>径流系数</w:t>
            </w:r>
          </w:p>
        </w:tc>
        <w:tc>
          <w:tcPr>
            <w:tcW w:w="2390" w:type="dxa"/>
            <w:vAlign w:val="center"/>
          </w:tcPr>
          <w:p>
            <w:pPr>
              <w:jc w:val="cente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pPr>
              <w:jc w:val="center"/>
            </w:pPr>
          </w:p>
        </w:tc>
        <w:tc>
          <w:tcPr>
            <w:tcW w:w="1134" w:type="dxa"/>
          </w:tcPr>
          <w:p>
            <w:pPr>
              <w:jc w:val="center"/>
            </w:pPr>
          </w:p>
        </w:tc>
        <w:tc>
          <w:tcPr>
            <w:tcW w:w="1984" w:type="dxa"/>
            <w:vAlign w:val="center"/>
          </w:tcPr>
          <w:p>
            <w:pPr>
              <w:jc w:val="center"/>
            </w:pPr>
          </w:p>
        </w:tc>
        <w:tc>
          <w:tcPr>
            <w:tcW w:w="1276" w:type="dxa"/>
            <w:vAlign w:val="center"/>
          </w:tcPr>
          <w:p>
            <w:pPr>
              <w:jc w:val="center"/>
            </w:pPr>
          </w:p>
        </w:tc>
        <w:tc>
          <w:tcPr>
            <w:tcW w:w="239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3" w:type="dxa"/>
            <w:gridSpan w:val="4"/>
          </w:tcPr>
          <w:p>
            <w:pPr>
              <w:jc w:val="cente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2390" w:type="dxa"/>
            <w:vAlign w:val="center"/>
          </w:tcPr>
          <w:p>
            <w:pPr>
              <w:jc w:val="center"/>
            </w:pPr>
          </w:p>
        </w:tc>
      </w:tr>
    </w:tbl>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项目雨水调蓄回用设施规模及控制外排量计算表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536"/>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r>
              <w:rPr>
                <w:rFonts w:hint="eastAsia"/>
                <w:kern w:val="0"/>
              </w:rPr>
              <w:t>设施类型</w:t>
            </w:r>
          </w:p>
        </w:tc>
        <w:tc>
          <w:tcPr>
            <w:tcW w:w="3536" w:type="dxa"/>
          </w:tcPr>
          <w:p>
            <w:pPr>
              <w:jc w:val="center"/>
              <w:rPr>
                <w:kern w:val="0"/>
              </w:rPr>
            </w:pPr>
            <w:r>
              <w:rPr>
                <w:rFonts w:hint="eastAsia"/>
                <w:kern w:val="0"/>
              </w:rPr>
              <w:t>规模：调蓄容积</w:t>
            </w:r>
            <w:r>
              <w:t>(m</w:t>
            </w:r>
            <w:r>
              <w:rPr>
                <w:vertAlign w:val="superscript"/>
              </w:rPr>
              <w:t>3</w:t>
            </w:r>
            <w:r>
              <w:t>)</w:t>
            </w:r>
            <w:r>
              <w:rPr>
                <w:rFonts w:hint="eastAsia"/>
                <w:kern w:val="0"/>
              </w:rPr>
              <w:t>或回用量（m</w:t>
            </w:r>
            <w:r>
              <w:rPr>
                <w:rFonts w:hint="eastAsia"/>
                <w:kern w:val="0"/>
                <w:vertAlign w:val="superscript"/>
              </w:rPr>
              <w:t>3</w:t>
            </w:r>
            <w:r>
              <w:rPr>
                <w:rFonts w:hint="eastAsia"/>
                <w:kern w:val="0"/>
              </w:rPr>
              <w:t>/d）</w:t>
            </w:r>
          </w:p>
        </w:tc>
        <w:tc>
          <w:tcPr>
            <w:tcW w:w="3232" w:type="dxa"/>
          </w:tcPr>
          <w:p>
            <w:pPr>
              <w:jc w:val="center"/>
              <w:rPr>
                <w:kern w:val="0"/>
              </w:rPr>
            </w:pPr>
            <w:r>
              <w:rPr>
                <w:rFonts w:hint="eastAsia"/>
                <w:szCs w:val="21"/>
              </w:rPr>
              <w:t>可实现控制外排量</w:t>
            </w:r>
            <w:r>
              <w:t>(m</w:t>
            </w:r>
            <w:r>
              <w:rPr>
                <w:vertAlign w:val="superscript"/>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pPr>
              <w:jc w:val="center"/>
              <w:rPr>
                <w:kern w:val="0"/>
              </w:rPr>
            </w:pPr>
          </w:p>
        </w:tc>
        <w:tc>
          <w:tcPr>
            <w:tcW w:w="3536" w:type="dxa"/>
          </w:tcPr>
          <w:p>
            <w:pPr>
              <w:jc w:val="center"/>
              <w:rPr>
                <w:kern w:val="0"/>
              </w:rPr>
            </w:pPr>
          </w:p>
        </w:tc>
        <w:tc>
          <w:tcPr>
            <w:tcW w:w="3232" w:type="dxa"/>
          </w:tcPr>
          <w:p>
            <w:pPr>
              <w:jc w:val="cente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2" w:type="dxa"/>
            <w:gridSpan w:val="2"/>
          </w:tcPr>
          <w:p>
            <w:pPr>
              <w:jc w:val="center"/>
              <w:rPr>
                <w:kern w:val="0"/>
              </w:rP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3232" w:type="dxa"/>
          </w:tcPr>
          <w:p>
            <w:pPr>
              <w:jc w:val="center"/>
              <w:rPr>
                <w:kern w:val="0"/>
              </w:rPr>
            </w:pPr>
          </w:p>
        </w:tc>
      </w:tr>
    </w:tbl>
    <w:p>
      <w:pPr>
        <w:rPr>
          <w:kern w:val="0"/>
        </w:rPr>
      </w:pPr>
    </w:p>
    <w:p>
      <w:pPr>
        <w:spacing w:line="360" w:lineRule="auto"/>
        <w:ind w:left="210" w:leftChars="100" w:firstLine="0" w:firstLineChars="0"/>
        <w:jc w:val="left"/>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总计可实现控制外排量：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w:t>
      </w:r>
    </w:p>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5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应体现下凹式绿地、雨水花园、水体景观等具有雨水控制功能基础设施的做法、位置、规模及高程设计</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应体现下凹式绿地、雨水花园、水体景观等具有雨水控制功能基础设施的详细做法</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给排水总平面图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应体现项目各汇水区域分布情况及高程设计、雨水控制设施设置位置及规模、项目经济技术指标表及单体建筑明细表</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雨水处理站设计详图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应体现雨水处理站的土建做法、处理工艺、设备布置、设备参数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雨水调蓄池设计详图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应体现雨水调蓄池的土建做法、设备布置、设备参数</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年径流总量控制率计算书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应满足《海绵城市建设评价标准》</w:t>
            </w:r>
            <w:r>
              <w:rPr>
                <w:rFonts w:ascii="宋体" w:hAnsi="宋体" w:eastAsia="宋体" w:cs="宋体"/>
                <w:color w:val="000000"/>
                <w:kern w:val="0"/>
                <w:sz w:val="22"/>
              </w:rPr>
              <w:t>GB/T 51345的要求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设计控制雨量计算式</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应满足《海绵城市建设评价标准》</w:t>
            </w:r>
            <w:r>
              <w:rPr>
                <w:rFonts w:ascii="宋体" w:hAnsi="宋体" w:eastAsia="宋体" w:cs="宋体"/>
                <w:color w:val="000000"/>
                <w:kern w:val="0"/>
                <w:sz w:val="22"/>
              </w:rPr>
              <w:t>GB/T 51345的要求</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场地雨水综合利用方案或专项设计文件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414" w:type="dxa"/>
          </w:tcPr>
          <w:p>
            <w:pPr>
              <w:spacing w:line="288" w:lineRule="auto"/>
            </w:pPr>
          </w:p>
        </w:tc>
      </w:tr>
    </w:tbl>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8.2.3 充分利用场地空间设置绿化用地。</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评价总分值为11分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1)绿地率达到规划指标115％及以上，</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6分；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w:t>
      </w:r>
      <w:bookmarkStart w:id="93" w:name="_Hlk26103311"/>
      <w:r>
        <w:rPr>
          <w:rFonts w:hint="eastAsia" w:ascii="Times New Roman" w:hAnsi="Times New Roman" w:eastAsia="宋体" w:cs="Times New Roman"/>
          <w:bCs/>
          <w:color w:val="000000"/>
          <w:szCs w:val="24"/>
          <w:lang w:val="en-US" w:eastAsia="zh-CN"/>
        </w:rPr>
        <w:t>住宅建筑</w:t>
      </w:r>
      <w:bookmarkStart w:id="94" w:name="_Hlk25163816"/>
      <w:r>
        <w:rPr>
          <w:rFonts w:hint="eastAsia" w:ascii="Times New Roman" w:hAnsi="Times New Roman" w:eastAsia="宋体" w:cs="Times New Roman"/>
          <w:bCs/>
          <w:color w:val="000000"/>
          <w:szCs w:val="24"/>
          <w:lang w:val="en-US" w:eastAsia="zh-CN"/>
        </w:rPr>
        <w:t>人均集中绿地</w:t>
      </w:r>
      <w:bookmarkEnd w:id="94"/>
      <w:r>
        <w:rPr>
          <w:rFonts w:hint="eastAsia" w:ascii="Times New Roman" w:hAnsi="Times New Roman" w:eastAsia="宋体" w:cs="Times New Roman"/>
          <w:bCs/>
          <w:color w:val="000000"/>
          <w:szCs w:val="24"/>
          <w:lang w:val="en-US" w:eastAsia="zh-CN"/>
        </w:rPr>
        <w:t>面积＞1.2m2但≤1.5m2，得2分；＞1.5m2但≤1.8m2，得3分；＞1.8m2，</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bookmarkEnd w:id="93"/>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1)绿地率达到规划指标105％及以上，</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2)绿地向公众开放，</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住区</w:t>
      </w:r>
      <w:r>
        <w:rPr>
          <w:rFonts w:hint="eastAsia" w:ascii="Times New Roman" w:hAnsi="Times New Roman" w:eastAsia="宋体" w:cs="Times New Roman"/>
          <w:bCs/>
          <w:color w:val="000000"/>
          <w:szCs w:val="24"/>
          <w:lang w:val="zh-CN" w:eastAsia="zh-CN"/>
        </w:rPr>
        <w:t>人均</w:t>
      </w:r>
      <w:r>
        <w:rPr>
          <w:rFonts w:hint="eastAsia" w:ascii="Times New Roman" w:hAnsi="Times New Roman" w:eastAsia="宋体" w:cs="Times New Roman"/>
          <w:bCs/>
          <w:color w:val="000000"/>
          <w:szCs w:val="24"/>
          <w:lang w:val="en-US" w:eastAsia="zh-CN"/>
        </w:rPr>
        <w:t>公共绿地面积：</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住区总公共绿地面积：___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居住人口人</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___  人（若当地有具体规定，应按照当地规定取值，如无统一规定按每户3.2人计算）</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人均集中绿地面积：___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住区绿地率：</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住区用地面积：___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住区绿地率：___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绿地率：</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项目用地面积：___  m2</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项目绿地率：___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绿地向社会公众开放：</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项目绿地是否是：</w:t>
      </w:r>
      <w:r>
        <w:rPr>
          <w:rFonts w:hint="eastAsia" w:ascii="Times New Roman" w:hAnsi="Times New Roman" w:eastAsia="宋体" w:cs="Times New Roman"/>
          <w:bCs/>
          <w:color w:val="000000"/>
          <w:szCs w:val="24"/>
          <w:lang w:val="zh-CN" w:eastAsia="zh-CN"/>
        </w:rPr>
        <w:t xml:space="preserve">□幼儿园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小学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中学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医院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其他</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项目绿地是否向社会公众开放：</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规划许可的设计条件</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应体现公共绿地位置、公共绿地面积技术经济指标</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CellMar>
            <w:top w:w="0" w:type="dxa"/>
            <w:left w:w="108" w:type="dxa"/>
            <w:bottom w:w="0" w:type="dxa"/>
            <w:right w:w="108" w:type="dxa"/>
          </w:tblCellMar>
        </w:tblPrEx>
        <w:trPr>
          <w:trHeight w:val="683"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9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应体现绿地位置、绿地面积、绿地率等技术经济指标（指标要求与自评一致）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日照模拟分析报告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应体现绿地的日照和阴影情况</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人均公共绿地面积计算书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应包括公共绿地的位置、面积指标，公共绿地的日照和阴影情况以及人均公共绿地面积的计算结果（指标要求与自评一致）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公共建筑绿地是否对外开放的说明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应包括绿地向社会公众开放的规章制度和具体措施</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14" w:type="dxa"/>
          </w:tcPr>
          <w:p>
            <w:pPr>
              <w:spacing w:line="288" w:lineRule="auto"/>
            </w:pPr>
          </w:p>
        </w:tc>
      </w:tr>
    </w:tbl>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8.2.4 室外吸烟区位置布局合理。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评价总分值为4分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室外吸烟区与绿植结合布置，并合理配置座椅和带烟头收集的垃圾筒，从建筑主出入口至室外吸烟区的导向标识完整、定位标识醒目，吸烟区设置吸烟有害健康的警示标识，</w:t>
      </w:r>
      <w:r>
        <w:rPr>
          <w:rFonts w:hint="eastAsia" w:cs="Times New Roman"/>
          <w:bCs/>
          <w:color w:val="000000"/>
          <w:szCs w:val="24"/>
          <w:lang w:val="en-US" w:eastAsia="zh-CN"/>
        </w:rPr>
        <w:t xml:space="preserve">   </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全面禁止吸烟，</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简要说明室外吸烟区布局情况。（200字以内）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5" w:hRule="atLeast"/>
        </w:trPr>
        <w:tc>
          <w:tcPr>
            <w:tcW w:w="8364" w:type="dxa"/>
          </w:tcPr>
          <w:p>
            <w:pPr>
              <w:spacing w:line="288" w:lineRule="auto"/>
              <w:ind w:firstLine="420" w:firstLineChars="200"/>
              <w:rPr>
                <w:rFonts w:hint="eastAsia" w:eastAsia="宋体"/>
                <w:lang w:val="en-US" w:eastAsia="zh-CN"/>
              </w:rPr>
            </w:pPr>
            <w:r>
              <w:rPr>
                <w:rFonts w:hint="eastAsia"/>
                <w:lang w:val="en-US" w:eastAsia="zh-CN"/>
              </w:rPr>
              <w:t xml:space="preserve"> </w:t>
            </w: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项目总图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明确项目范围内吸烟区的位置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含吸烟区布置的景观施工图</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相关禁烟标识影像资料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rPr>
          <w:rFonts w:hint="eastAsia"/>
          <w:b/>
        </w:rPr>
      </w:pPr>
    </w:p>
    <w:p>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364" w:type="dxa"/>
          </w:tcPr>
          <w:p>
            <w:pPr>
              <w:spacing w:line="288" w:lineRule="auto"/>
            </w:pPr>
          </w:p>
        </w:tc>
      </w:tr>
    </w:tbl>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8.2.5 利用场地空间设置绿色雨水基础设施。</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下凹式绿地、雨水花园等有调蓄雨水功能的绿地和水体的面积之和占绿地面积的比例达到40％，得3分；达到60％，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衔接和引导不少于80％的屋面雨水进入地面生态设施，</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衔接和引导不少于80％的道路雨水进入地面生态设施，</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硬质铺装地面中透水铺装面积的比例达到50％，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下凹</w:t>
      </w:r>
      <w:r>
        <w:rPr>
          <w:rFonts w:hint="eastAsia" w:ascii="Times New Roman" w:hAnsi="Times New Roman" w:eastAsia="宋体" w:cs="Times New Roman"/>
          <w:b/>
          <w:bCs w:val="0"/>
          <w:color w:val="000000"/>
          <w:szCs w:val="24"/>
          <w:lang w:val="zh-CN" w:eastAsia="zh-CN"/>
        </w:rPr>
        <w:t>式绿地、雨水花园等有调蓄雨水功能的绿地和水体的面积之和占绿地面积的比例：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有调蓄雨水功能的绿地和水体的面积之和</w:t>
      </w:r>
      <w:r>
        <w:rPr>
          <w:rFonts w:hint="eastAsia" w:ascii="Times New Roman" w:hAnsi="Times New Roman" w:eastAsia="宋体" w:cs="Times New Roman"/>
          <w:bCs/>
          <w:color w:val="000000"/>
          <w:szCs w:val="24"/>
          <w:lang w:val="zh-CN" w:eastAsia="zh-CN"/>
        </w:rPr>
        <w:t>：___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场地绿地面积：___  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有调蓄雨水功能的绿地和水体的面积之和</w:t>
      </w:r>
      <w:r>
        <w:rPr>
          <w:rFonts w:hint="eastAsia" w:ascii="Times New Roman" w:hAnsi="Times New Roman" w:eastAsia="宋体" w:cs="Times New Roman"/>
          <w:bCs/>
          <w:color w:val="000000"/>
          <w:szCs w:val="24"/>
          <w:lang w:val="zh-CN" w:eastAsia="zh-CN"/>
        </w:rPr>
        <w:t>占绿地面积的比例：___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绿色雨水基础设施统计：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pPr>
            <w:r>
              <w:rPr>
                <w:rFonts w:hint="eastAsia"/>
              </w:rPr>
              <w:t>序号</w:t>
            </w:r>
          </w:p>
        </w:tc>
        <w:tc>
          <w:tcPr>
            <w:tcW w:w="3970" w:type="dxa"/>
          </w:tcPr>
          <w:p>
            <w:pPr>
              <w:spacing w:line="288" w:lineRule="auto"/>
            </w:pPr>
            <w:r>
              <w:rPr>
                <w:rFonts w:hint="eastAsia" w:ascii="宋体" w:cs="宋体"/>
                <w:kern w:val="0"/>
                <w:szCs w:val="21"/>
              </w:rPr>
              <w:t>绿色雨水基础</w:t>
            </w:r>
            <w:r>
              <w:rPr>
                <w:rFonts w:hint="eastAsia"/>
              </w:rPr>
              <w:t>设施类型</w:t>
            </w:r>
          </w:p>
        </w:tc>
        <w:tc>
          <w:tcPr>
            <w:tcW w:w="3413"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pPr>
              <w:spacing w:line="288" w:lineRule="auto"/>
              <w:jc w:val="center"/>
            </w:pPr>
            <w:r>
              <w:t>1</w:t>
            </w:r>
          </w:p>
        </w:tc>
        <w:tc>
          <w:tcPr>
            <w:tcW w:w="3970" w:type="dxa"/>
          </w:tcPr>
          <w:p>
            <w:pPr>
              <w:spacing w:line="288" w:lineRule="auto"/>
            </w:pPr>
            <w:r>
              <w:rPr>
                <w:rFonts w:hint="eastAsia"/>
              </w:rPr>
              <w:t>雨水花园</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2</w:t>
            </w:r>
          </w:p>
        </w:tc>
        <w:tc>
          <w:tcPr>
            <w:tcW w:w="3970" w:type="dxa"/>
          </w:tcPr>
          <w:p>
            <w:pPr>
              <w:spacing w:line="288" w:lineRule="auto"/>
            </w:pPr>
            <w:r>
              <w:rPr>
                <w:rFonts w:hint="eastAsia"/>
              </w:rPr>
              <w:t>下凹式绿地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3</w:t>
            </w:r>
          </w:p>
        </w:tc>
        <w:tc>
          <w:tcPr>
            <w:tcW w:w="3970" w:type="dxa"/>
          </w:tcPr>
          <w:p>
            <w:pPr>
              <w:spacing w:line="288" w:lineRule="auto"/>
            </w:pPr>
            <w:r>
              <w:rPr>
                <w:rFonts w:hint="eastAsia"/>
              </w:rPr>
              <w:t>植被浅沟</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4</w:t>
            </w:r>
          </w:p>
        </w:tc>
        <w:tc>
          <w:tcPr>
            <w:tcW w:w="3970" w:type="dxa"/>
          </w:tcPr>
          <w:p>
            <w:pPr>
              <w:spacing w:line="288" w:lineRule="auto"/>
            </w:pPr>
            <w:r>
              <w:rPr>
                <w:rFonts w:hint="eastAsia"/>
              </w:rPr>
              <w:t>雨水截留设施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5</w:t>
            </w:r>
          </w:p>
        </w:tc>
        <w:tc>
          <w:tcPr>
            <w:tcW w:w="3970" w:type="dxa"/>
          </w:tcPr>
          <w:p>
            <w:pPr>
              <w:spacing w:line="288" w:lineRule="auto"/>
              <w:rPr>
                <w:rFonts w:ascii="宋体" w:cs="宋体"/>
                <w:kern w:val="0"/>
                <w:szCs w:val="21"/>
              </w:rPr>
            </w:pPr>
            <w:r>
              <w:rPr>
                <w:rFonts w:hint="eastAsia" w:ascii="宋体" w:cs="宋体"/>
                <w:kern w:val="0"/>
                <w:szCs w:val="21"/>
              </w:rPr>
              <w:t>渗透设施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6</w:t>
            </w:r>
          </w:p>
        </w:tc>
        <w:tc>
          <w:tcPr>
            <w:tcW w:w="3970" w:type="dxa"/>
          </w:tcPr>
          <w:p>
            <w:pPr>
              <w:spacing w:line="288" w:lineRule="auto"/>
              <w:rPr>
                <w:kern w:val="0"/>
              </w:rPr>
            </w:pPr>
            <w:r>
              <w:rPr>
                <w:rFonts w:hint="eastAsia"/>
                <w:kern w:val="0"/>
              </w:rPr>
              <w:t>雨水塘</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7</w:t>
            </w:r>
          </w:p>
        </w:tc>
        <w:tc>
          <w:tcPr>
            <w:tcW w:w="3970" w:type="dxa"/>
          </w:tcPr>
          <w:p>
            <w:pPr>
              <w:autoSpaceDE w:val="0"/>
              <w:autoSpaceDN w:val="0"/>
              <w:adjustRightInd w:val="0"/>
              <w:spacing w:line="288" w:lineRule="auto"/>
              <w:jc w:val="left"/>
              <w:rPr>
                <w:kern w:val="0"/>
              </w:rPr>
            </w:pPr>
            <w:r>
              <w:rPr>
                <w:rFonts w:hint="eastAsia"/>
                <w:kern w:val="0"/>
              </w:rPr>
              <w:t>雨水湿地</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8</w:t>
            </w:r>
          </w:p>
        </w:tc>
        <w:tc>
          <w:tcPr>
            <w:tcW w:w="3970" w:type="dxa"/>
          </w:tcPr>
          <w:p>
            <w:pPr>
              <w:spacing w:line="288" w:lineRule="auto"/>
              <w:rPr>
                <w:kern w:val="0"/>
              </w:rPr>
            </w:pPr>
            <w:r>
              <w:rPr>
                <w:rFonts w:hint="eastAsia"/>
                <w:kern w:val="0"/>
              </w:rPr>
              <w:t>景观水体</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9</w:t>
            </w:r>
          </w:p>
        </w:tc>
        <w:tc>
          <w:tcPr>
            <w:tcW w:w="3970" w:type="dxa"/>
          </w:tcPr>
          <w:p>
            <w:pPr>
              <w:spacing w:line="288" w:lineRule="auto"/>
              <w:rPr>
                <w:rFonts w:ascii="宋体" w:cs="宋体"/>
                <w:kern w:val="0"/>
                <w:szCs w:val="21"/>
              </w:rPr>
            </w:pPr>
            <w:r>
              <w:rPr>
                <w:rFonts w:hint="eastAsia" w:ascii="宋体" w:cs="宋体"/>
                <w:kern w:val="0"/>
                <w:szCs w:val="21"/>
              </w:rPr>
              <w:t>多功能调蓄设施</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r>
              <w:t>10</w:t>
            </w:r>
          </w:p>
        </w:tc>
        <w:tc>
          <w:tcPr>
            <w:tcW w:w="3970" w:type="dxa"/>
          </w:tcPr>
          <w:p>
            <w:pPr>
              <w:spacing w:line="288" w:lineRule="auto"/>
              <w:rPr>
                <w:kern w:val="0"/>
              </w:rPr>
            </w:pPr>
            <w:r>
              <w:rPr>
                <w:rFonts w:hint="eastAsia"/>
                <w:kern w:val="0"/>
              </w:rPr>
              <w:t>其他</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pPr>
              <w:spacing w:line="288" w:lineRule="auto"/>
              <w:jc w:val="center"/>
            </w:pPr>
          </w:p>
        </w:tc>
        <w:tc>
          <w:tcPr>
            <w:tcW w:w="3970" w:type="dxa"/>
          </w:tcPr>
          <w:p>
            <w:pPr>
              <w:spacing w:line="288" w:lineRule="auto"/>
              <w:rPr>
                <w:kern w:val="0"/>
              </w:rPr>
            </w:pPr>
            <w:r>
              <w:rPr>
                <w:rFonts w:hint="eastAsia"/>
                <w:kern w:val="0"/>
              </w:rPr>
              <w:t>合计</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jc w:val="center"/>
              <w:rPr>
                <w:kern w:val="0"/>
              </w:rPr>
            </w:pPr>
            <w:r>
              <w:rPr>
                <w:rFonts w:hint="eastAsia"/>
              </w:rPr>
              <w:t>场地绿地面积</w:t>
            </w:r>
          </w:p>
        </w:tc>
        <w:tc>
          <w:tcPr>
            <w:tcW w:w="3413"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pPr>
              <w:spacing w:line="288" w:lineRule="auto"/>
            </w:pPr>
          </w:p>
        </w:tc>
      </w:tr>
    </w:tbl>
    <w:p>
      <w:pPr>
        <w:spacing w:line="288" w:lineRule="auto"/>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合理衔接和引导屋面雨水、道路雨水进入地面生态设施</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简要描述场地内屋面雨水、道路雨水进入地面生态设施的衔接和引导设计，及相应的径流污染控制措施。（300字以内）</w:t>
      </w:r>
    </w:p>
    <w:tbl>
      <w:tblPr>
        <w:tblStyle w:val="9"/>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11" w:type="dxa"/>
          </w:tcPr>
          <w:p>
            <w:pPr>
              <w:pStyle w:val="22"/>
              <w:spacing w:line="288" w:lineRule="auto"/>
              <w:ind w:firstLine="422" w:firstLineChars="200"/>
              <w:jc w:val="both"/>
              <w:outlineLvl w:val="8"/>
              <w:rPr>
                <w:rFonts w:ascii="Times New Roman" w:cs="Times New Roman"/>
                <w:b/>
                <w:bCs/>
                <w:color w:val="auto"/>
                <w:kern w:val="2"/>
                <w:sz w:val="21"/>
                <w:szCs w:val="21"/>
              </w:rPr>
            </w:pPr>
          </w:p>
        </w:tc>
      </w:tr>
    </w:tbl>
    <w:p>
      <w:pPr>
        <w:spacing w:line="288" w:lineRule="auto"/>
      </w:pP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硬质铺装地面中透水铺装面积的比例</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透水铺装面积之和</w:t>
      </w:r>
      <w:r>
        <w:rPr>
          <w:rFonts w:hint="eastAsia" w:ascii="Times New Roman" w:hAnsi="Times New Roman" w:eastAsia="宋体" w:cs="Times New Roman"/>
          <w:bCs/>
          <w:color w:val="000000"/>
          <w:szCs w:val="24"/>
          <w:lang w:val="zh-CN" w:eastAsia="zh-CN"/>
        </w:rPr>
        <w:t>：m2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硬质铺装地面</w:t>
      </w:r>
      <w:r>
        <w:rPr>
          <w:rFonts w:hint="eastAsia" w:ascii="Times New Roman" w:hAnsi="Times New Roman" w:eastAsia="宋体" w:cs="Times New Roman"/>
          <w:bCs/>
          <w:color w:val="000000"/>
          <w:szCs w:val="24"/>
          <w:lang w:val="en-US" w:eastAsia="zh-CN"/>
        </w:rPr>
        <w:t>面积</w:t>
      </w:r>
      <w:r>
        <w:rPr>
          <w:rFonts w:hint="eastAsia" w:ascii="Times New Roman" w:hAnsi="Times New Roman" w:eastAsia="宋体" w:cs="Times New Roman"/>
          <w:bCs/>
          <w:color w:val="000000"/>
          <w:szCs w:val="24"/>
          <w:lang w:val="zh-CN" w:eastAsia="zh-CN"/>
        </w:rPr>
        <w:t>：m2</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硬质铺装</w:t>
      </w:r>
      <w:r>
        <w:rPr>
          <w:rFonts w:hint="eastAsia" w:ascii="Times New Roman" w:hAnsi="Times New Roman" w:eastAsia="宋体" w:cs="Times New Roman"/>
          <w:bCs/>
          <w:color w:val="000000"/>
          <w:szCs w:val="24"/>
          <w:lang w:val="zh-CN" w:eastAsia="zh-CN"/>
        </w:rPr>
        <w:t>地面</w:t>
      </w:r>
      <w:r>
        <w:rPr>
          <w:rFonts w:hint="eastAsia" w:ascii="Times New Roman" w:hAnsi="Times New Roman" w:eastAsia="宋体" w:cs="Times New Roman"/>
          <w:bCs/>
          <w:color w:val="000000"/>
          <w:szCs w:val="24"/>
          <w:lang w:val="en-US" w:eastAsia="zh-CN"/>
        </w:rPr>
        <w:t>中透水铺装面积的比例</w:t>
      </w:r>
      <w:r>
        <w:rPr>
          <w:rFonts w:hint="eastAsia" w:ascii="Times New Roman" w:hAnsi="Times New Roman" w:eastAsia="宋体" w:cs="Times New Roman"/>
          <w:bCs/>
          <w:color w:val="000000"/>
          <w:szCs w:val="24"/>
          <w:lang w:val="zh-CN" w:eastAsia="zh-CN"/>
        </w:rPr>
        <w:t>：%</w:t>
      </w:r>
    </w:p>
    <w:p>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透水铺装面积统计计算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rPr>
                <w:rFonts w:hint="eastAsia"/>
              </w:rPr>
              <w:t>序号</w:t>
            </w:r>
          </w:p>
        </w:tc>
        <w:tc>
          <w:tcPr>
            <w:tcW w:w="2410" w:type="dxa"/>
          </w:tcPr>
          <w:p>
            <w:pPr>
              <w:spacing w:line="288" w:lineRule="auto"/>
            </w:pPr>
            <w:r>
              <w:rPr>
                <w:rFonts w:hint="eastAsia"/>
              </w:rPr>
              <w:t>透水铺装类型</w:t>
            </w:r>
          </w:p>
        </w:tc>
        <w:tc>
          <w:tcPr>
            <w:tcW w:w="1559" w:type="dxa"/>
          </w:tcPr>
          <w:p>
            <w:pPr>
              <w:spacing w:line="288" w:lineRule="auto"/>
            </w:pPr>
            <w:r>
              <w:rPr>
                <w:rFonts w:hint="eastAsia"/>
              </w:rPr>
              <w:t>面积（</w:t>
            </w:r>
            <w:r>
              <w:t>m</w:t>
            </w:r>
            <w:r>
              <w:rPr>
                <w:vertAlign w:val="superscript"/>
              </w:rPr>
              <w:t>2</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1</w:t>
            </w:r>
          </w:p>
        </w:tc>
        <w:tc>
          <w:tcPr>
            <w:tcW w:w="2410" w:type="dxa"/>
          </w:tcPr>
          <w:p>
            <w:pPr>
              <w:spacing w:line="288" w:lineRule="auto"/>
            </w:pPr>
            <w:r>
              <w:rPr>
                <w:rFonts w:hint="eastAsia" w:ascii="宋体" w:cs="宋体"/>
                <w:kern w:val="0"/>
                <w:szCs w:val="21"/>
              </w:rPr>
              <w:t>植草砖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2</w:t>
            </w:r>
          </w:p>
        </w:tc>
        <w:tc>
          <w:tcPr>
            <w:tcW w:w="2410" w:type="dxa"/>
          </w:tcPr>
          <w:p>
            <w:pPr>
              <w:spacing w:line="288" w:lineRule="auto"/>
            </w:pPr>
            <w:r>
              <w:rPr>
                <w:rFonts w:hint="eastAsia" w:ascii="宋体" w:cs="宋体"/>
                <w:kern w:val="0"/>
                <w:szCs w:val="21"/>
              </w:rPr>
              <w:t>透水沥青</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3</w:t>
            </w:r>
          </w:p>
        </w:tc>
        <w:tc>
          <w:tcPr>
            <w:tcW w:w="2410" w:type="dxa"/>
          </w:tcPr>
          <w:p>
            <w:pPr>
              <w:spacing w:line="288" w:lineRule="auto"/>
            </w:pPr>
            <w:r>
              <w:rPr>
                <w:rFonts w:hint="eastAsia" w:ascii="宋体" w:cs="宋体"/>
                <w:kern w:val="0"/>
                <w:szCs w:val="21"/>
              </w:rPr>
              <w:t>透水混凝土</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tcPr>
          <w:p>
            <w:pPr>
              <w:spacing w:line="288" w:lineRule="auto"/>
            </w:pPr>
            <w:r>
              <w:t>4</w:t>
            </w:r>
          </w:p>
        </w:tc>
        <w:tc>
          <w:tcPr>
            <w:tcW w:w="2410" w:type="dxa"/>
          </w:tcPr>
          <w:p>
            <w:pPr>
              <w:spacing w:line="288" w:lineRule="auto"/>
            </w:pPr>
            <w:r>
              <w:rPr>
                <w:rFonts w:hint="eastAsia" w:ascii="宋体" w:cs="宋体"/>
                <w:kern w:val="0"/>
                <w:szCs w:val="21"/>
              </w:rPr>
              <w:t>透水地砖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r>
              <w:t>5</w:t>
            </w:r>
          </w:p>
        </w:tc>
        <w:tc>
          <w:tcPr>
            <w:tcW w:w="2410" w:type="dxa"/>
          </w:tcPr>
          <w:p>
            <w:pPr>
              <w:spacing w:line="288" w:lineRule="auto"/>
            </w:pPr>
            <w:r>
              <w:rPr>
                <w:rFonts w:hint="eastAsia"/>
              </w:rPr>
              <w:t>其他</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p>
        </w:tc>
        <w:tc>
          <w:tcPr>
            <w:tcW w:w="2410" w:type="dxa"/>
          </w:tcPr>
          <w:p>
            <w:pPr>
              <w:spacing w:line="288" w:lineRule="auto"/>
            </w:pP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spacing w:line="288" w:lineRule="auto"/>
            </w:pPr>
          </w:p>
        </w:tc>
        <w:tc>
          <w:tcPr>
            <w:tcW w:w="2410" w:type="dxa"/>
          </w:tcPr>
          <w:p>
            <w:pPr>
              <w:spacing w:line="288" w:lineRule="auto"/>
            </w:pP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88" w:lineRule="auto"/>
            </w:pPr>
            <w:r>
              <w:rPr>
                <w:rFonts w:hint="eastAsia"/>
              </w:rPr>
              <w:t>硬质铺装总面积</w:t>
            </w:r>
          </w:p>
        </w:tc>
        <w:tc>
          <w:tcPr>
            <w:tcW w:w="1559" w:type="dxa"/>
          </w:tcPr>
          <w:p>
            <w:pPr>
              <w:spacing w:line="288"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88" w:lineRule="auto"/>
            </w:pPr>
            <w:r>
              <w:rPr>
                <w:rFonts w:hint="eastAsia"/>
                <w:kern w:val="0"/>
              </w:rPr>
              <w:t>硬质铺装地面中透水铺装面积的比例（</w:t>
            </w:r>
            <w:r>
              <w:rPr>
                <w:kern w:val="0"/>
              </w:rPr>
              <w:t>%</w:t>
            </w:r>
            <w:r>
              <w:rPr>
                <w:rFonts w:hint="eastAsia"/>
                <w:kern w:val="0"/>
              </w:rPr>
              <w:t>）</w:t>
            </w:r>
          </w:p>
        </w:tc>
        <w:tc>
          <w:tcPr>
            <w:tcW w:w="1559" w:type="dxa"/>
          </w:tcPr>
          <w:p>
            <w:pPr>
              <w:spacing w:line="288" w:lineRule="auto"/>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当透水铺装下为地下室顶板时，简要描述雨水的渗透方式（200字以内）。</w:t>
      </w:r>
    </w:p>
    <w:tbl>
      <w:tblPr>
        <w:tblStyle w:val="9"/>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346" w:type="dxa"/>
          </w:tcPr>
          <w:p>
            <w:pPr>
              <w:pStyle w:val="22"/>
              <w:spacing w:line="288" w:lineRule="auto"/>
              <w:ind w:firstLine="422" w:firstLineChars="200"/>
              <w:jc w:val="both"/>
              <w:outlineLvl w:val="8"/>
              <w:rPr>
                <w:rFonts w:ascii="Times New Roman" w:cs="Times New Roman"/>
                <w:b/>
                <w:bCs/>
                <w:color w:val="auto"/>
                <w:kern w:val="2"/>
                <w:sz w:val="21"/>
                <w:szCs w:val="21"/>
              </w:rPr>
            </w:pPr>
          </w:p>
        </w:tc>
      </w:tr>
    </w:tbl>
    <w:p/>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bottom w:val="single" w:color="auto" w:sz="4" w:space="0"/>
              <w:right w:val="single" w:color="auto" w:sz="4"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tcBorders>
              <w:top w:val="single" w:color="auto" w:sz="4" w:space="0"/>
              <w:left w:val="single" w:color="auto" w:sz="4" w:space="0"/>
              <w:bottom w:val="single" w:color="auto" w:sz="4" w:space="0"/>
              <w:right w:val="single" w:color="auto" w:sz="4"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tcBorders>
              <w:top w:val="single" w:color="auto" w:sz="4" w:space="0"/>
              <w:left w:val="single" w:color="auto" w:sz="4" w:space="0"/>
              <w:bottom w:val="single" w:color="auto" w:sz="4" w:space="0"/>
              <w:right w:val="single" w:color="auto" w:sz="4" w:space="0"/>
            </w:tcBorders>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tcBorders>
              <w:top w:val="single" w:color="auto" w:sz="4" w:space="0"/>
              <w:left w:val="single" w:color="auto" w:sz="4" w:space="0"/>
              <w:bottom w:val="single" w:color="auto" w:sz="4" w:space="0"/>
              <w:right w:val="single" w:color="auto" w:sz="4"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tcBorders>
              <w:top w:val="single" w:color="auto" w:sz="4" w:space="0"/>
              <w:left w:val="single" w:color="auto" w:sz="4" w:space="0"/>
              <w:bottom w:val="single" w:color="auto" w:sz="4" w:space="0"/>
            </w:tcBorders>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应体现项目红线范围内下凹绿地、雨水花园的位置和面积（指标要求与自评一致）</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景观设计详图</w:t>
            </w:r>
          </w:p>
        </w:tc>
        <w:tc>
          <w:tcPr>
            <w:tcW w:w="4352"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应体现提供下凹绿地、雨水花园剖面设计详图，并应体现与周边道路的高差</w:t>
            </w:r>
          </w:p>
        </w:tc>
        <w:tc>
          <w:tcPr>
            <w:tcW w:w="851"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室外给水排水总平面图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场地雨水排水图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应提供屋面雨水、道路雨水排水图纸，并提供其进入地面生态设施的设计图</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计算书</w:t>
            </w:r>
          </w:p>
        </w:tc>
        <w:tc>
          <w:tcPr>
            <w:tcW w:w="4352"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含场地中硬质铺装地面中透水铺装所占的面积比例，雨水比例等</w:t>
            </w:r>
          </w:p>
        </w:tc>
        <w:tc>
          <w:tcPr>
            <w:tcW w:w="851"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414" w:type="dxa"/>
          </w:tcPr>
          <w:p>
            <w:pPr>
              <w:spacing w:line="288" w:lineRule="auto"/>
            </w:pPr>
          </w:p>
        </w:tc>
      </w:tr>
    </w:tbl>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8.2.6  总体布局尊重并利用现状自然资源条件，保护生态环境，避免大填大挖。</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firstLine="210" w:firstLineChars="100"/>
        <w:rPr>
          <w:rFonts w:ascii="Times New Roman" w:hAnsi="Times New Roman" w:eastAsia="宋体" w:cs="Times New Roman"/>
          <w:bCs/>
          <w:szCs w:val="24"/>
        </w:rPr>
      </w:pPr>
      <w:r>
        <w:rPr>
          <w:rFonts w:ascii="Times New Roman" w:hAnsi="Times New Roman" w:eastAsia="宋体" w:cs="Times New Roman"/>
          <w:bCs/>
          <w:szCs w:val="24"/>
        </w:rPr>
        <w:t>1</w:t>
      </w:r>
      <w:r>
        <w:rPr>
          <w:rFonts w:hint="eastAsia" w:ascii="Times New Roman" w:hAnsi="Times New Roman" w:eastAsia="宋体" w:cs="Times New Roman"/>
          <w:bCs/>
          <w:szCs w:val="24"/>
        </w:rPr>
        <w:t>场地土石方工程量与防护工程量限值满足表8.2.3，</w:t>
      </w:r>
      <w:r>
        <w:rPr>
          <w:rFonts w:hint="eastAsia" w:ascii="宋体" w:hAnsi="宋体"/>
          <w:b w:val="0"/>
          <w:bCs w:val="0"/>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szCs w:val="24"/>
        </w:rPr>
        <w:t>3分</w:t>
      </w:r>
      <w:r>
        <w:rPr>
          <w:rFonts w:ascii="Times New Roman" w:hAnsi="Times New Roman" w:eastAsia="宋体" w:cs="Times New Roman"/>
          <w:bCs/>
          <w:szCs w:val="24"/>
        </w:rPr>
        <w:t>；</w:t>
      </w:r>
    </w:p>
    <w:p>
      <w:pPr>
        <w:spacing w:line="360" w:lineRule="auto"/>
        <w:ind w:firstLine="210" w:firstLineChars="100"/>
        <w:rPr>
          <w:rFonts w:ascii="Times New Roman" w:hAnsi="Times New Roman" w:eastAsia="宋体" w:cs="Times New Roman"/>
          <w:bCs/>
          <w:szCs w:val="24"/>
        </w:rPr>
      </w:pPr>
      <w:r>
        <w:rPr>
          <w:rFonts w:ascii="Times New Roman" w:hAnsi="Times New Roman" w:eastAsia="宋体" w:cs="Times New Roman"/>
          <w:bCs/>
          <w:szCs w:val="24"/>
        </w:rPr>
        <w:t>2</w:t>
      </w:r>
      <w:r>
        <w:rPr>
          <w:rFonts w:hint="eastAsia" w:ascii="Times New Roman" w:hAnsi="Times New Roman" w:eastAsia="宋体" w:cs="Times New Roman"/>
          <w:bCs/>
          <w:szCs w:val="24"/>
        </w:rPr>
        <w:t>其中土石方量平衡比例限值≤1%，</w:t>
      </w:r>
      <w:r>
        <w:rPr>
          <w:rFonts w:hint="eastAsia" w:ascii="宋体" w:hAnsi="宋体"/>
          <w:b w:val="0"/>
          <w:bCs w:val="0"/>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szCs w:val="24"/>
        </w:rPr>
        <w:t>5分。</w:t>
      </w:r>
    </w:p>
    <w:p>
      <w:pPr>
        <w:spacing w:line="360" w:lineRule="auto"/>
        <w:jc w:val="center"/>
        <w:rPr>
          <w:rFonts w:ascii="Times New Roman" w:hAnsi="Times New Roman" w:eastAsia="宋体" w:cs="Times New Roman"/>
        </w:rPr>
      </w:pPr>
      <w:r>
        <w:rPr>
          <w:rFonts w:hint="eastAsia" w:ascii="Times New Roman" w:hAnsi="Times New Roman" w:eastAsia="宋体" w:cs="Times New Roman"/>
          <w:color w:val="000000"/>
        </w:rPr>
        <w:t>表</w:t>
      </w:r>
      <w:r>
        <w:rPr>
          <w:rFonts w:ascii="Times New Roman" w:hAnsi="Times New Roman" w:eastAsia="宋体" w:cs="Times New Roman"/>
          <w:color w:val="000000"/>
        </w:rPr>
        <w:t xml:space="preserve">8.2.3 </w:t>
      </w:r>
      <w:bookmarkStart w:id="95" w:name="_Hlk21179571"/>
      <w:r>
        <w:rPr>
          <w:rFonts w:ascii="Times New Roman" w:hAnsi="Times New Roman" w:eastAsia="宋体" w:cs="Times New Roman"/>
        </w:rPr>
        <w:t>土石方工程量与防护工程限值表</w:t>
      </w:r>
      <w:bookmarkEnd w:id="95"/>
    </w:p>
    <w:tbl>
      <w:tblPr>
        <w:tblStyle w:val="9"/>
        <w:tblW w:w="8505" w:type="dxa"/>
        <w:tblInd w:w="-5" w:type="dxa"/>
        <w:tblLayout w:type="fixed"/>
        <w:tblCellMar>
          <w:top w:w="0" w:type="dxa"/>
          <w:left w:w="108" w:type="dxa"/>
          <w:bottom w:w="0" w:type="dxa"/>
          <w:right w:w="108" w:type="dxa"/>
        </w:tblCellMar>
      </w:tblPr>
      <w:tblGrid>
        <w:gridCol w:w="709"/>
        <w:gridCol w:w="1985"/>
        <w:gridCol w:w="2976"/>
        <w:gridCol w:w="2835"/>
      </w:tblGrid>
      <w:tr>
        <w:tblPrEx>
          <w:tblCellMar>
            <w:top w:w="0" w:type="dxa"/>
            <w:left w:w="108" w:type="dxa"/>
            <w:bottom w:w="0" w:type="dxa"/>
            <w:right w:w="108" w:type="dxa"/>
          </w:tblCellMar>
        </w:tblPrEx>
        <w:trPr>
          <w:trHeight w:val="763"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用地自然坡度（i）</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bookmarkStart w:id="96" w:name="_Hlk20191809"/>
            <w:r>
              <w:rPr>
                <w:rFonts w:ascii="Times New Roman" w:hAnsi="Times New Roman" w:eastAsia="宋体" w:cs="Times New Roman"/>
              </w:rPr>
              <w:t>单位用地面积土石方工程总量限值（A）</w:t>
            </w:r>
            <w:bookmarkEnd w:id="96"/>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/m</w:t>
            </w:r>
            <w:r>
              <w:rPr>
                <w:rFonts w:ascii="Times New Roman" w:hAnsi="Times New Roman" w:eastAsia="宋体" w:cs="Times New Roman"/>
                <w:vertAlign w:val="superscript"/>
              </w:rPr>
              <w:t>2</w:t>
            </w:r>
            <w:r>
              <w:rPr>
                <w:rFonts w:ascii="Times New Roman" w:hAnsi="Times New Roman" w:eastAsia="宋体" w:cs="Times New Roman"/>
              </w:rPr>
              <w:t>）</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bookmarkStart w:id="97" w:name="_Hlk20191837"/>
            <w:r>
              <w:rPr>
                <w:rFonts w:ascii="Times New Roman" w:hAnsi="Times New Roman" w:eastAsia="宋体" w:cs="Times New Roman"/>
              </w:rPr>
              <w:t>土石方量平衡比例</w:t>
            </w:r>
          </w:p>
          <w:p>
            <w:pPr>
              <w:spacing w:line="360" w:lineRule="auto"/>
              <w:jc w:val="center"/>
              <w:rPr>
                <w:rFonts w:ascii="Times New Roman" w:hAnsi="Times New Roman" w:eastAsia="宋体" w:cs="Times New Roman"/>
              </w:rPr>
            </w:pPr>
            <w:r>
              <w:rPr>
                <w:rFonts w:ascii="Times New Roman" w:hAnsi="Times New Roman" w:eastAsia="宋体" w:cs="Times New Roman"/>
              </w:rPr>
              <w:t>限值(B)</w:t>
            </w:r>
            <w:bookmarkEnd w:id="97"/>
            <w:r>
              <w:rPr>
                <w:rFonts w:ascii="Times New Roman" w:hAnsi="Times New Roman" w:eastAsia="宋体" w:cs="Times New Roman"/>
              </w:rPr>
              <w:t>（%）</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i≤10%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10%＜i≤15%</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15%＜i≤20%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≤10%</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20%＜i≤25%</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≤3.5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≤12.5%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25%＜i≤30%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≤15%</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i＞30%</w:t>
            </w:r>
          </w:p>
        </w:tc>
        <w:tc>
          <w:tcPr>
            <w:tcW w:w="29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≤20%</w:t>
            </w:r>
          </w:p>
        </w:tc>
      </w:tr>
      <w:tr>
        <w:tblPrEx>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7.1临城市道路时，最近一级挡土墙最大高度（C1）≤1.5m</w:t>
            </w:r>
          </w:p>
        </w:tc>
      </w:tr>
      <w:tr>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7.2临公建时，每级挡土墙最大高度（C2）与公建层高一致且≤6m</w:t>
            </w:r>
          </w:p>
        </w:tc>
      </w:tr>
      <w:tr>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7.3临住宅时，每级挡土墙最大高度（C3）与住宅层高一致且≤3m</w:t>
            </w:r>
          </w:p>
        </w:tc>
      </w:tr>
      <w:tr>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779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eastAsia="宋体" w:cs="Times New Roman"/>
              </w:rPr>
            </w:pPr>
            <w:r>
              <w:rPr>
                <w:rFonts w:ascii="Times New Roman" w:hAnsi="Times New Roman" w:eastAsia="宋体" w:cs="Times New Roman"/>
              </w:rPr>
              <w:t>每级挡土墙之间的水平距离（D）≥2 m</w:t>
            </w:r>
          </w:p>
        </w:tc>
      </w:tr>
    </w:tbl>
    <w:p>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、用地自然坡度（</w:t>
      </w:r>
      <w:r>
        <w:rPr>
          <w:rFonts w:ascii="Times New Roman" w:hAnsi="Times New Roman" w:eastAsia="宋体" w:cs="Times New Roman"/>
          <w:sz w:val="18"/>
          <w:szCs w:val="18"/>
        </w:rPr>
        <w:t>i</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用地</w:t>
      </w:r>
      <w:bookmarkStart w:id="98" w:name="_Hlk21196629"/>
      <w:r>
        <w:rPr>
          <w:rFonts w:hint="eastAsia" w:ascii="Times New Roman" w:hAnsi="Times New Roman" w:eastAsia="宋体" w:cs="Times New Roman"/>
          <w:sz w:val="18"/>
          <w:szCs w:val="18"/>
        </w:rPr>
        <w:t>自然地形平均坡度</w:t>
      </w:r>
      <w:bookmarkEnd w:id="98"/>
      <w:r>
        <w:rPr>
          <w:rFonts w:hint="eastAsia" w:ascii="Times New Roman" w:hAnsi="Times New Roman" w:eastAsia="宋体" w:cs="Times New Roman"/>
          <w:sz w:val="18"/>
          <w:szCs w:val="18"/>
        </w:rPr>
        <w:t>。计算公式：</w:t>
      </w:r>
      <w:r>
        <w:rPr>
          <w:rFonts w:ascii="Times New Roman" w:hAnsi="Times New Roman" w:eastAsia="宋体" w:cs="Times New Roman"/>
          <w:sz w:val="18"/>
          <w:szCs w:val="18"/>
        </w:rPr>
        <w:t>i=</w:t>
      </w:r>
      <m:oMath>
        <m:nary>
          <m:naryPr>
            <m:chr m:val="∑"/>
            <m:ctrlPr>
              <w:rPr>
                <w:rFonts w:ascii="Cambria Math" w:hAnsi="Cambria Math" w:eastAsia="宋体" w:cs="Times New Roman"/>
                <w:i/>
                <w:iCs/>
                <w:sz w:val="18"/>
                <w:szCs w:val="18"/>
                <w:lang w:val="pt-BR"/>
              </w:rPr>
            </m:ctrlPr>
          </m:naryPr>
          <m:sub>
            <m:r>
              <m:rPr>
                <m:sty m:val="bi"/>
              </m:rPr>
              <w:rPr>
                <w:rFonts w:ascii="Cambria Math" w:hAnsi="Cambria Math" w:eastAsia="宋体" w:cs="Times New Roman"/>
                <w:sz w:val="18"/>
                <w:szCs w:val="18"/>
              </w:rPr>
              <m:t>I</m:t>
            </m:r>
            <m:r>
              <m:rPr>
                <m:sty m:val="bi"/>
              </m:rPr>
              <w:rPr>
                <w:rFonts w:ascii="Cambria Math" w:hAnsi="Cambria Math" w:eastAsia="宋体" w:cs="Times New Roman"/>
                <w:sz w:val="18"/>
                <w:szCs w:val="18"/>
                <w:lang w:val="pt-BR"/>
              </w:rPr>
              <m:t>=</m:t>
            </m:r>
            <m:r>
              <m:rPr>
                <m:sty m:val="bi"/>
              </m:rPr>
              <w:rPr>
                <w:rFonts w:ascii="Cambria Math" w:hAnsi="Cambria Math" w:eastAsia="宋体" w:cs="Times New Roman"/>
                <w:sz w:val="18"/>
                <w:szCs w:val="18"/>
              </w:rPr>
              <m:t>1</m:t>
            </m:r>
            <m:ctrlPr>
              <w:rPr>
                <w:rFonts w:ascii="Cambria Math" w:hAnsi="Cambria Math" w:eastAsia="宋体" w:cs="Times New Roman"/>
                <w:i/>
                <w:iCs/>
                <w:sz w:val="18"/>
                <w:szCs w:val="18"/>
                <w:lang w:val="pt-BR"/>
              </w:rPr>
            </m:ctrlPr>
          </m:sub>
          <m:sup>
            <m:r>
              <m:rPr>
                <m:sty m:val="bi"/>
              </m:rPr>
              <w:rPr>
                <w:rFonts w:ascii="Cambria Math" w:hAnsi="Cambria Math" w:eastAsia="宋体" w:cs="Times New Roman"/>
                <w:sz w:val="18"/>
                <w:szCs w:val="18"/>
                <w:lang w:val="pt-BR"/>
              </w:rPr>
              <m:t>n</m:t>
            </m:r>
            <m:ctrlPr>
              <w:rPr>
                <w:rFonts w:ascii="Cambria Math" w:hAnsi="Cambria Math" w:eastAsia="宋体" w:cs="Times New Roman"/>
                <w:i/>
                <w:iCs/>
                <w:sz w:val="18"/>
                <w:szCs w:val="18"/>
                <w:lang w:val="pt-BR"/>
              </w:rPr>
            </m:ctrlPr>
          </m:sup>
          <m:e>
            <m:r>
              <m:rPr>
                <m:sty m:val="bi"/>
              </m:rPr>
              <w:rPr>
                <w:rFonts w:ascii="Cambria Math" w:hAnsi="Cambria Math" w:eastAsia="宋体" w:cs="Times New Roman"/>
                <w:sz w:val="18"/>
                <w:szCs w:val="18"/>
              </w:rPr>
              <m:t>SiFi</m:t>
            </m:r>
            <m:ctrlPr>
              <w:rPr>
                <w:rFonts w:ascii="Cambria Math" w:hAnsi="Cambria Math" w:eastAsia="宋体" w:cs="Times New Roman"/>
                <w:i/>
                <w:iCs/>
                <w:sz w:val="18"/>
                <w:szCs w:val="18"/>
                <w:lang w:val="pt-BR"/>
              </w:rPr>
            </m:ctrlPr>
          </m:e>
        </m:nary>
      </m:oMath>
      <w:r>
        <w:rPr>
          <w:rFonts w:hint="eastAsia" w:ascii="Times New Roman" w:hAnsi="Times New Roman" w:eastAsia="宋体" w:cs="Times New Roman"/>
          <w:sz w:val="18"/>
          <w:szCs w:val="18"/>
        </w:rPr>
        <w:t>其中：</w:t>
      </w:r>
      <w:r>
        <w:rPr>
          <w:rFonts w:ascii="Times New Roman" w:hAnsi="Times New Roman" w:eastAsia="宋体" w:cs="Times New Roman"/>
          <w:sz w:val="18"/>
          <w:szCs w:val="18"/>
        </w:rPr>
        <w:t>i</w:t>
      </w:r>
      <w:r>
        <w:rPr>
          <w:rFonts w:hint="eastAsia" w:ascii="Times New Roman" w:hAnsi="Times New Roman" w:eastAsia="宋体" w:cs="Times New Roman"/>
          <w:sz w:val="18"/>
          <w:szCs w:val="18"/>
        </w:rPr>
        <w:t>为用地自然地形平均坡度，</w:t>
      </w:r>
      <w:r>
        <w:rPr>
          <w:rFonts w:ascii="Times New Roman" w:hAnsi="Times New Roman" w:eastAsia="宋体" w:cs="Times New Roman"/>
          <w:sz w:val="18"/>
          <w:szCs w:val="18"/>
        </w:rPr>
        <w:t>Si</w:t>
      </w:r>
      <w:r>
        <w:rPr>
          <w:rFonts w:hint="eastAsia" w:ascii="Times New Roman" w:hAnsi="Times New Roman" w:eastAsia="宋体" w:cs="Times New Roman"/>
          <w:sz w:val="18"/>
          <w:szCs w:val="18"/>
        </w:rPr>
        <w:t>为计算网格的自然地形平均坡度值，</w:t>
      </w:r>
      <w:r>
        <w:rPr>
          <w:rFonts w:ascii="Times New Roman" w:hAnsi="Times New Roman" w:eastAsia="宋体" w:cs="Times New Roman"/>
          <w:sz w:val="18"/>
          <w:szCs w:val="18"/>
        </w:rPr>
        <w:t>Fi</w:t>
      </w:r>
      <w:r>
        <w:rPr>
          <w:rFonts w:hint="eastAsia" w:ascii="Times New Roman" w:hAnsi="Times New Roman" w:eastAsia="宋体" w:cs="Times New Roman"/>
          <w:sz w:val="18"/>
          <w:szCs w:val="18"/>
        </w:rPr>
        <w:t>为权重，即计算网格面积占总用地面积的比例。</w:t>
      </w:r>
      <w:r>
        <w:rPr>
          <w:rFonts w:ascii="Times New Roman" w:hAnsi="Times New Roman" w:eastAsia="宋体" w:cs="Times New Roman"/>
          <w:sz w:val="18"/>
          <w:szCs w:val="18"/>
        </w:rPr>
        <w:t>i</w:t>
      </w:r>
      <w:r>
        <w:rPr>
          <w:rFonts w:hint="eastAsia" w:ascii="Times New Roman" w:hAnsi="Times New Roman" w:eastAsia="宋体" w:cs="Times New Roman"/>
          <w:sz w:val="18"/>
          <w:szCs w:val="18"/>
        </w:rPr>
        <w:t>可通过地理信息软件计算。</w:t>
      </w:r>
    </w:p>
    <w:p>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、单位用地面积土石方工程总量（</w:t>
      </w:r>
      <w:r>
        <w:rPr>
          <w:rFonts w:ascii="Times New Roman" w:hAnsi="Times New Roman" w:eastAsia="宋体" w:cs="Times New Roman"/>
          <w:sz w:val="18"/>
          <w:szCs w:val="18"/>
        </w:rPr>
        <w:t>A</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填方和挖方之和</w:t>
      </w:r>
      <w:r>
        <w:rPr>
          <w:rFonts w:ascii="Times New Roman" w:hAnsi="Times New Roman" w:eastAsia="宋体" w:cs="Times New Roman"/>
          <w:sz w:val="18"/>
          <w:szCs w:val="18"/>
        </w:rPr>
        <w:t>÷</w:t>
      </w:r>
      <w:r>
        <w:rPr>
          <w:rFonts w:hint="eastAsia" w:ascii="Times New Roman" w:hAnsi="Times New Roman" w:eastAsia="宋体" w:cs="Times New Roman"/>
          <w:sz w:val="18"/>
          <w:szCs w:val="18"/>
        </w:rPr>
        <w:t>用地面积。</w:t>
      </w:r>
    </w:p>
    <w:p>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、土石方量平衡比例（</w:t>
      </w:r>
      <w:r>
        <w:rPr>
          <w:rFonts w:ascii="Times New Roman" w:hAnsi="Times New Roman" w:eastAsia="宋体" w:cs="Times New Roman"/>
          <w:sz w:val="18"/>
          <w:szCs w:val="18"/>
        </w:rPr>
        <w:t>B</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（余方或缺方</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土石方工程总量）</w:t>
      </w:r>
      <w:r>
        <w:rPr>
          <w:rFonts w:ascii="Times New Roman" w:hAnsi="Times New Roman" w:eastAsia="宋体" w:cs="Times New Roman"/>
          <w:sz w:val="18"/>
          <w:szCs w:val="18"/>
        </w:rPr>
        <w:t>×100</w:t>
      </w:r>
      <w:r>
        <w:rPr>
          <w:rFonts w:hint="eastAsia" w:ascii="Times New Roman" w:hAnsi="Times New Roman" w:eastAsia="宋体" w:cs="Times New Roman"/>
          <w:sz w:val="18"/>
          <w:szCs w:val="18"/>
        </w:rPr>
        <w:t>％。</w:t>
      </w:r>
    </w:p>
    <w:p>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、土石方量的计算应将参与平衡的挖方、填方换算成相同状态的土。挡土墙统一按垂直考虑，不区分土石比，不计施工措施工程量、基础开挖工程量。</w:t>
      </w:r>
    </w:p>
    <w:p>
      <w:pPr>
        <w:spacing w:line="360" w:lineRule="auto"/>
        <w:ind w:firstLine="360" w:firstLineChars="200"/>
        <w:jc w:val="left"/>
        <w:rPr>
          <w:rFonts w:ascii="Times New Roman" w:hAnsi="Times New Roman" w:eastAsia="宋体" w:cs="Times New Roman"/>
          <w:sz w:val="18"/>
          <w:szCs w:val="18"/>
          <w:u w:val="single"/>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、计算精度：采用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w:t>
      </w:r>
      <w:r>
        <w:rPr>
          <w:rFonts w:ascii="Times New Roman" w:hAnsi="Times New Roman" w:eastAsia="宋体" w:cs="Times New Roman"/>
          <w:sz w:val="18"/>
          <w:szCs w:val="18"/>
        </w:rPr>
        <w:t>500</w:t>
      </w:r>
      <w:r>
        <w:rPr>
          <w:rFonts w:hint="eastAsia" w:ascii="Times New Roman" w:hAnsi="Times New Roman" w:eastAsia="宋体" w:cs="Times New Roman"/>
          <w:sz w:val="18"/>
          <w:szCs w:val="18"/>
        </w:rPr>
        <w:t>现状地形图，计算网格不大于</w:t>
      </w:r>
      <w:r>
        <w:rPr>
          <w:rFonts w:ascii="Times New Roman" w:hAnsi="Times New Roman" w:eastAsia="宋体" w:cs="Times New Roman"/>
          <w:sz w:val="18"/>
          <w:szCs w:val="18"/>
        </w:rPr>
        <w:t>5m</w:t>
      </w:r>
      <w:r>
        <w:rPr>
          <w:rFonts w:hint="eastAsia" w:ascii="Times New Roman" w:hAnsi="Times New Roman" w:eastAsia="宋体" w:cs="Times New Roman"/>
          <w:sz w:val="18"/>
          <w:szCs w:val="18"/>
        </w:rPr>
        <w:t>。</w:t>
      </w: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hint="eastAsia" w:ascii="宋体" w:hAnsi="宋体"/>
          <w:b/>
          <w:kern w:val="0"/>
          <w:sz w:val="24"/>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27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规划设计文件</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场地竖向分析图</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应包括建筑位置、占地面积、建筑面积、绝对标高、场地平均高程、室外地坪设计标高、建筑基底面积、工程地下室回填量（实方）、实际留存土方能力。</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土石方平衡计算书</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生态补偿计划</w:t>
            </w:r>
          </w:p>
        </w:tc>
        <w:tc>
          <w:tcPr>
            <w:tcW w:w="4352" w:type="dxa"/>
            <w:tcBorders>
              <w:top w:val="single" w:color="auto" w:sz="6"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414" w:type="dxa"/>
          </w:tcPr>
          <w:p>
            <w:pPr>
              <w:spacing w:line="288" w:lineRule="auto"/>
            </w:pPr>
          </w:p>
        </w:tc>
      </w:tr>
    </w:tbl>
    <w:p/>
    <w:p/>
    <w:p/>
    <w:p/>
    <w:p/>
    <w:p/>
    <w:p/>
    <w:p/>
    <w:p/>
    <w:p/>
    <w:p/>
    <w:p/>
    <w:p/>
    <w:p/>
    <w:p/>
    <w:p/>
    <w:p/>
    <w:p>
      <w:pPr>
        <w:pStyle w:val="3"/>
        <w:spacing w:line="288" w:lineRule="auto"/>
        <w:jc w:val="center"/>
        <w:rPr>
          <w:rFonts w:hint="eastAsia" w:ascii="宋体" w:hAnsi="宋体" w:eastAsia="宋体" w:cs="宋体"/>
        </w:rPr>
      </w:pPr>
      <w:bookmarkStart w:id="99" w:name="_Toc22221591"/>
      <w:bookmarkStart w:id="100" w:name="_Toc35364758"/>
      <w:r>
        <w:rPr>
          <w:rFonts w:hint="eastAsia" w:ascii="宋体" w:hAnsi="宋体" w:eastAsia="宋体" w:cs="宋体"/>
        </w:rPr>
        <w:t>Ⅱ 室外物理环境</w:t>
      </w:r>
      <w:bookmarkEnd w:id="99"/>
      <w:bookmarkEnd w:id="100"/>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8.2.7 场地内的环境噪声优于现行国家标准《声环境质量标准》GB3096的要求。</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环境噪声值大于2类声环境功能区标准限值，且小于或等于3类声环境功能区标准限值，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环境噪声值小于或等于2类声环境功能区标准限值，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firstLine="211" w:firstLineChars="100"/>
        <w:rPr>
          <w:rFonts w:ascii="Times New Roman" w:hAnsi="Times New Roman" w:eastAsia="宋体" w:cs="Times New Roman"/>
          <w:b/>
          <w:bCs w:val="0"/>
          <w:szCs w:val="24"/>
          <w:lang w:val="zh-CN"/>
        </w:rPr>
      </w:pPr>
      <w:r>
        <w:rPr>
          <w:rFonts w:hint="eastAsia" w:ascii="Times New Roman" w:hAnsi="Times New Roman" w:eastAsia="宋体" w:cs="Times New Roman"/>
          <w:b/>
          <w:bCs w:val="0"/>
          <w:szCs w:val="24"/>
          <w:lang w:val="zh-CN"/>
        </w:rPr>
        <w:t>地</w:t>
      </w:r>
      <w:r>
        <w:rPr>
          <w:rFonts w:hint="eastAsia" w:cs="Times New Roman"/>
          <w:b/>
          <w:bCs w:val="0"/>
          <w:szCs w:val="24"/>
          <w:lang w:val="en-US" w:eastAsia="zh-CN"/>
        </w:rPr>
        <w:t>场</w:t>
      </w:r>
      <w:r>
        <w:rPr>
          <w:rFonts w:hint="eastAsia" w:ascii="Times New Roman" w:hAnsi="Times New Roman" w:eastAsia="宋体" w:cs="Times New Roman"/>
          <w:b/>
          <w:bCs w:val="0"/>
          <w:szCs w:val="24"/>
          <w:lang w:val="zh-CN"/>
        </w:rPr>
        <w:t>噪声：</w:t>
      </w:r>
    </w:p>
    <w:p>
      <w:pPr>
        <w:spacing w:line="360" w:lineRule="auto"/>
        <w:ind w:firstLine="210" w:firstLineChars="100"/>
        <w:rPr>
          <w:rFonts w:ascii="Times New Roman" w:hAnsi="Times New Roman" w:eastAsia="宋体" w:cs="Times New Roman"/>
          <w:bCs/>
          <w:szCs w:val="24"/>
          <w:lang w:val="zh-CN"/>
        </w:rPr>
      </w:pPr>
      <w:r>
        <w:rPr>
          <w:rFonts w:hint="eastAsia" w:ascii="Times New Roman" w:hAnsi="Times New Roman" w:eastAsia="宋体" w:cs="Times New Roman"/>
          <w:bCs/>
          <w:szCs w:val="24"/>
          <w:lang w:val="zh-CN"/>
        </w:rPr>
        <w:t>场地位于《声环境质量标准》中类</w:t>
      </w:r>
      <w:r>
        <w:rPr>
          <w:rFonts w:hint="eastAsia" w:ascii="Times New Roman" w:hAnsi="Times New Roman" w:eastAsia="宋体" w:cs="Times New Roman"/>
          <w:bCs/>
          <w:szCs w:val="24"/>
        </w:rPr>
        <w:t>声环境功能区：</w:t>
      </w:r>
    </w:p>
    <w:p>
      <w:pPr>
        <w:spacing w:line="360" w:lineRule="auto"/>
        <w:ind w:firstLine="210" w:firstLineChars="100"/>
        <w:jc w:val="right"/>
        <w:rPr>
          <w:rFonts w:ascii="Times New Roman" w:hAnsi="Times New Roman" w:eastAsia="宋体" w:cs="Times New Roman"/>
          <w:bCs/>
          <w:szCs w:val="24"/>
          <w:lang w:val="zh-CN"/>
        </w:rPr>
      </w:pPr>
      <w:r>
        <w:rPr>
          <w:rFonts w:hint="eastAsia" w:ascii="Times New Roman" w:hAnsi="Times New Roman" w:eastAsia="宋体" w:cs="Times New Roman"/>
          <w:bCs/>
          <w:szCs w:val="24"/>
          <w:lang w:val="zh-CN"/>
        </w:rPr>
        <w:t>环境噪声检测情况</w:t>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单位：</w:t>
      </w:r>
      <w:r>
        <w:rPr>
          <w:rFonts w:ascii="Times New Roman" w:hAnsi="Times New Roman" w:eastAsia="宋体" w:cs="Times New Roman"/>
          <w:bCs/>
          <w:szCs w:val="24"/>
          <w:lang w:val="zh-CN"/>
        </w:rPr>
        <w:t>dB</w:t>
      </w:r>
      <w:r>
        <w:rPr>
          <w:rFonts w:hint="eastAsia" w:ascii="Times New Roman" w:hAnsi="Times New Roman" w:eastAsia="宋体" w:cs="Times New Roman"/>
          <w:bCs/>
          <w:szCs w:val="24"/>
          <w:lang w:val="zh-CN"/>
        </w:rPr>
        <w:t>（</w:t>
      </w:r>
      <w:r>
        <w:rPr>
          <w:rFonts w:ascii="Times New Roman" w:hAnsi="Times New Roman" w:eastAsia="宋体" w:cs="Times New Roman"/>
          <w:bCs/>
          <w:szCs w:val="24"/>
          <w:lang w:val="zh-CN"/>
        </w:rPr>
        <w:t>A</w:t>
      </w:r>
      <w:r>
        <w:rPr>
          <w:rFonts w:hint="eastAsia" w:ascii="Times New Roman" w:hAnsi="Times New Roman" w:eastAsia="宋体" w:cs="Times New Roman"/>
          <w:bCs/>
          <w:szCs w:val="24"/>
          <w:lang w:val="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51"/>
        <w:gridCol w:w="1834"/>
        <w:gridCol w:w="1214"/>
        <w:gridCol w:w="174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5" w:type="dxa"/>
            <w:vMerge w:val="restart"/>
            <w:vAlign w:val="center"/>
          </w:tcPr>
          <w:p>
            <w:pPr>
              <w:spacing w:line="288" w:lineRule="auto"/>
              <w:jc w:val="center"/>
              <w:rPr>
                <w:lang w:val="zh-CN"/>
              </w:rPr>
            </w:pPr>
            <w:r>
              <w:rPr>
                <w:rFonts w:hint="eastAsia"/>
                <w:lang w:val="zh-CN"/>
              </w:rPr>
              <w:t>序号</w:t>
            </w:r>
          </w:p>
        </w:tc>
        <w:tc>
          <w:tcPr>
            <w:tcW w:w="1251" w:type="dxa"/>
            <w:vMerge w:val="restart"/>
            <w:vAlign w:val="center"/>
          </w:tcPr>
          <w:p>
            <w:pPr>
              <w:spacing w:line="288" w:lineRule="auto"/>
              <w:jc w:val="center"/>
              <w:rPr>
                <w:lang w:val="zh-CN"/>
              </w:rPr>
            </w:pPr>
            <w:r>
              <w:rPr>
                <w:rFonts w:hint="eastAsia"/>
                <w:lang w:val="zh-CN"/>
              </w:rPr>
              <w:t>监测点</w:t>
            </w:r>
          </w:p>
        </w:tc>
        <w:tc>
          <w:tcPr>
            <w:tcW w:w="3048" w:type="dxa"/>
            <w:gridSpan w:val="2"/>
          </w:tcPr>
          <w:p>
            <w:pPr>
              <w:spacing w:line="288" w:lineRule="auto"/>
              <w:jc w:val="center"/>
              <w:rPr>
                <w:lang w:val="zh-CN"/>
              </w:rPr>
            </w:pPr>
            <w:r>
              <w:rPr>
                <w:rFonts w:hint="eastAsia"/>
                <w:lang w:val="zh-CN"/>
              </w:rPr>
              <w:t>环境噪声标准值</w:t>
            </w:r>
          </w:p>
        </w:tc>
        <w:tc>
          <w:tcPr>
            <w:tcW w:w="3148" w:type="dxa"/>
            <w:gridSpan w:val="2"/>
            <w:vAlign w:val="center"/>
          </w:tcPr>
          <w:p>
            <w:pPr>
              <w:spacing w:line="288" w:lineRule="auto"/>
              <w:jc w:val="center"/>
              <w:rPr>
                <w:lang w:val="zh-CN"/>
              </w:rPr>
            </w:pPr>
            <w:r>
              <w:rPr>
                <w:rFonts w:hint="eastAsia"/>
                <w:lang w:val="zh-CN"/>
              </w:rPr>
              <w:t>环境噪声测试值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pPr>
              <w:spacing w:line="288" w:lineRule="auto"/>
              <w:jc w:val="center"/>
              <w:rPr>
                <w:lang w:val="zh-CN"/>
              </w:rPr>
            </w:pPr>
          </w:p>
        </w:tc>
        <w:tc>
          <w:tcPr>
            <w:tcW w:w="1251" w:type="dxa"/>
            <w:vMerge w:val="continue"/>
          </w:tcPr>
          <w:p>
            <w:pPr>
              <w:spacing w:line="288" w:lineRule="auto"/>
              <w:jc w:val="center"/>
              <w:rPr>
                <w:lang w:val="zh-CN"/>
              </w:rPr>
            </w:pPr>
          </w:p>
        </w:tc>
        <w:tc>
          <w:tcPr>
            <w:tcW w:w="1834" w:type="dxa"/>
          </w:tcPr>
          <w:p>
            <w:pPr>
              <w:spacing w:line="288" w:lineRule="auto"/>
              <w:jc w:val="center"/>
              <w:rPr>
                <w:lang w:val="zh-CN"/>
              </w:rPr>
            </w:pPr>
            <w:r>
              <w:rPr>
                <w:rFonts w:hint="eastAsia"/>
                <w:lang w:val="zh-CN"/>
              </w:rPr>
              <w:t>昼间</w:t>
            </w:r>
          </w:p>
        </w:tc>
        <w:tc>
          <w:tcPr>
            <w:tcW w:w="1214" w:type="dxa"/>
            <w:vAlign w:val="center"/>
          </w:tcPr>
          <w:p>
            <w:pPr>
              <w:spacing w:line="288" w:lineRule="auto"/>
              <w:jc w:val="center"/>
              <w:rPr>
                <w:lang w:val="zh-CN"/>
              </w:rPr>
            </w:pPr>
            <w:r>
              <w:rPr>
                <w:rFonts w:hint="eastAsia"/>
                <w:lang w:val="zh-CN"/>
              </w:rPr>
              <w:t>夜间</w:t>
            </w:r>
          </w:p>
        </w:tc>
        <w:tc>
          <w:tcPr>
            <w:tcW w:w="1747" w:type="dxa"/>
          </w:tcPr>
          <w:p>
            <w:pPr>
              <w:spacing w:line="288" w:lineRule="auto"/>
              <w:jc w:val="center"/>
              <w:rPr>
                <w:lang w:val="zh-CN"/>
              </w:rPr>
            </w:pPr>
            <w:r>
              <w:rPr>
                <w:rFonts w:hint="eastAsia"/>
                <w:lang w:val="zh-CN"/>
              </w:rPr>
              <w:t>昼间</w:t>
            </w:r>
          </w:p>
        </w:tc>
        <w:tc>
          <w:tcPr>
            <w:tcW w:w="1401" w:type="dxa"/>
            <w:vAlign w:val="center"/>
          </w:tcPr>
          <w:p>
            <w:pPr>
              <w:spacing w:line="288" w:lineRule="auto"/>
              <w:jc w:val="center"/>
              <w:rPr>
                <w:lang w:val="zh-CN"/>
              </w:rPr>
            </w:pPr>
            <w:r>
              <w:rPr>
                <w:rFonts w:hint="eastAsia"/>
                <w:lang w:val="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1</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2</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3</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pPr>
              <w:spacing w:line="288" w:lineRule="auto"/>
              <w:jc w:val="center"/>
              <w:rPr>
                <w:lang w:val="zh-CN"/>
              </w:rPr>
            </w:pPr>
            <w:r>
              <w:rPr>
                <w:lang w:val="zh-CN"/>
              </w:rPr>
              <w:t>4</w:t>
            </w:r>
          </w:p>
        </w:tc>
        <w:tc>
          <w:tcPr>
            <w:tcW w:w="1251" w:type="dxa"/>
          </w:tcPr>
          <w:p>
            <w:pPr>
              <w:spacing w:line="288" w:lineRule="auto"/>
              <w:jc w:val="center"/>
              <w:rPr>
                <w:lang w:val="zh-CN"/>
              </w:rPr>
            </w:pPr>
          </w:p>
        </w:tc>
        <w:tc>
          <w:tcPr>
            <w:tcW w:w="1834" w:type="dxa"/>
          </w:tcPr>
          <w:p>
            <w:pPr>
              <w:spacing w:line="288" w:lineRule="auto"/>
              <w:jc w:val="center"/>
              <w:rPr>
                <w:lang w:val="zh-CN"/>
              </w:rPr>
            </w:pPr>
          </w:p>
        </w:tc>
        <w:tc>
          <w:tcPr>
            <w:tcW w:w="1214" w:type="dxa"/>
            <w:vAlign w:val="center"/>
          </w:tcPr>
          <w:p>
            <w:pPr>
              <w:spacing w:line="288" w:lineRule="auto"/>
              <w:jc w:val="center"/>
              <w:rPr>
                <w:lang w:val="zh-CN"/>
              </w:rPr>
            </w:pPr>
          </w:p>
        </w:tc>
        <w:tc>
          <w:tcPr>
            <w:tcW w:w="1747" w:type="dxa"/>
            <w:vAlign w:val="center"/>
          </w:tcPr>
          <w:p>
            <w:pPr>
              <w:spacing w:line="288" w:lineRule="auto"/>
              <w:jc w:val="center"/>
              <w:rPr>
                <w:lang w:val="zh-CN"/>
              </w:rPr>
            </w:pPr>
          </w:p>
        </w:tc>
        <w:tc>
          <w:tcPr>
            <w:tcW w:w="1401" w:type="dxa"/>
            <w:vAlign w:val="center"/>
          </w:tcPr>
          <w:p>
            <w:pPr>
              <w:spacing w:line="288" w:lineRule="auto"/>
              <w:jc w:val="center"/>
              <w:rPr>
                <w:lang w:val="zh-CN"/>
              </w:rPr>
            </w:pPr>
          </w:p>
        </w:tc>
      </w:tr>
    </w:tbl>
    <w:p>
      <w:pPr>
        <w:pStyle w:val="14"/>
        <w:spacing w:line="288" w:lineRule="auto"/>
        <w:ind w:left="420"/>
        <w:outlineLvl w:val="9"/>
        <w:rPr>
          <w:sz w:val="21"/>
          <w:szCs w:val="21"/>
        </w:rPr>
      </w:pPr>
    </w:p>
    <w:p>
      <w:pPr>
        <w:spacing w:line="360" w:lineRule="auto"/>
        <w:rPr>
          <w:rFonts w:ascii="Times New Roman" w:hAnsi="Times New Roman" w:eastAsia="宋体" w:cs="Times New Roman"/>
          <w:bCs/>
          <w:szCs w:val="24"/>
        </w:rPr>
      </w:pPr>
      <w:r>
        <w:rPr>
          <w:rFonts w:hint="eastAsia" w:ascii="Times New Roman" w:hAnsi="Times New Roman" w:eastAsia="宋体" w:cs="Times New Roman"/>
          <w:bCs/>
          <w:szCs w:val="24"/>
        </w:rPr>
        <w:t>简要说明建筑场地周围噪声分布状况，如果拟建噪声敏感建筑不能避免临近交通干线，或不能远离固定的设备噪声源时，说明降噪措施。（</w:t>
      </w:r>
      <w:r>
        <w:rPr>
          <w:rFonts w:ascii="Times New Roman" w:hAnsi="Times New Roman" w:eastAsia="宋体" w:cs="Times New Roman"/>
          <w:bCs/>
          <w:szCs w:val="24"/>
        </w:rPr>
        <w:t>200</w:t>
      </w:r>
      <w:r>
        <w:rPr>
          <w:rFonts w:hint="eastAsia" w:ascii="Times New Roman" w:hAnsi="Times New Roman" w:eastAsia="宋体" w:cs="Times New Roman"/>
          <w:bCs/>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景观园林总平面图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规划验收报告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691"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环评报告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应包括现场噪声检测的测点布置、检测数据和噪声预测分析的相关内容。如果环评中没有提及上述内容，则需提供：1）噪声影响评估报告2）噪声预测分析报告</w:t>
            </w:r>
          </w:p>
        </w:tc>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室外声环境优化报告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道路声屏障、低噪声路面等降噪施工图纸文件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场地环境噪声检测报告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应包括竣工使用后现场环境噪声的检测内容</w:t>
            </w:r>
          </w:p>
        </w:tc>
        <w:tc>
          <w:tcPr>
            <w:tcW w:w="8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pPr>
              <w:spacing w:line="288" w:lineRule="auto"/>
            </w:pPr>
          </w:p>
        </w:tc>
      </w:tr>
    </w:tbl>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8.2.8 建筑及照明设计避免产生光污染。</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玻璃幕墙的可见光反射比及反射光对周边环境的影响符合</w:t>
      </w:r>
      <w:bookmarkStart w:id="101" w:name="_Hlk32659560"/>
      <w:r>
        <w:rPr>
          <w:rFonts w:hint="eastAsia" w:ascii="Times New Roman" w:hAnsi="Times New Roman" w:eastAsia="宋体" w:cs="Times New Roman"/>
          <w:bCs/>
          <w:color w:val="000000"/>
          <w:szCs w:val="24"/>
          <w:lang w:val="en-US" w:eastAsia="zh-CN"/>
        </w:rPr>
        <w:t>《玻璃幕墙光热性能》GB/T 18091</w:t>
      </w:r>
      <w:bookmarkEnd w:id="101"/>
      <w:r>
        <w:rPr>
          <w:rFonts w:hint="eastAsia" w:ascii="Times New Roman" w:hAnsi="Times New Roman" w:eastAsia="宋体" w:cs="Times New Roman"/>
          <w:bCs/>
          <w:color w:val="000000"/>
          <w:szCs w:val="24"/>
          <w:lang w:val="en-US" w:eastAsia="zh-CN"/>
        </w:rPr>
        <w:t>的规定，□5分；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室外夜景照明光污染的限制符合现行国家标准</w:t>
      </w:r>
      <w:bookmarkStart w:id="102" w:name="_Hlk32659569"/>
      <w:r>
        <w:rPr>
          <w:rFonts w:hint="eastAsia" w:ascii="Times New Roman" w:hAnsi="Times New Roman" w:eastAsia="宋体" w:cs="Times New Roman"/>
          <w:bCs/>
          <w:color w:val="000000"/>
          <w:szCs w:val="24"/>
          <w:lang w:val="en-US" w:eastAsia="zh-CN"/>
        </w:rPr>
        <w:t>《室外照明干扰光限制规范》GB/T 35626</w:t>
      </w:r>
      <w:bookmarkEnd w:id="102"/>
      <w:r>
        <w:rPr>
          <w:rFonts w:hint="eastAsia" w:ascii="Times New Roman" w:hAnsi="Times New Roman" w:eastAsia="宋体" w:cs="Times New Roman"/>
          <w:bCs/>
          <w:color w:val="000000"/>
          <w:szCs w:val="24"/>
          <w:lang w:val="en-US" w:eastAsia="zh-CN"/>
        </w:rPr>
        <w:t>和现行行业标准</w:t>
      </w:r>
      <w:bookmarkStart w:id="103" w:name="_Hlk32659581"/>
      <w:r>
        <w:rPr>
          <w:rFonts w:hint="eastAsia" w:ascii="Times New Roman" w:hAnsi="Times New Roman" w:eastAsia="宋体" w:cs="Times New Roman"/>
          <w:bCs/>
          <w:color w:val="000000"/>
          <w:szCs w:val="24"/>
          <w:lang w:val="en-US" w:eastAsia="zh-CN"/>
        </w:rPr>
        <w:t>《城市夜景照明设计规范》JGJ/T 163</w:t>
      </w:r>
      <w:bookmarkEnd w:id="103"/>
      <w:r>
        <w:rPr>
          <w:rFonts w:hint="eastAsia" w:ascii="Times New Roman" w:hAnsi="Times New Roman" w:eastAsia="宋体" w:cs="Times New Roman"/>
          <w:bCs/>
          <w:color w:val="000000"/>
          <w:szCs w:val="24"/>
          <w:lang w:val="en-US" w:eastAsia="zh-CN"/>
        </w:rPr>
        <w:t>的规定，□5分。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玻璃幕墙可见光反射比：</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是否采用玻璃幕墙：</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玻璃幕墙可见光反射比：</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室外夜景照明光污染：</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是否有夜景照明</w:t>
      </w:r>
      <w:r>
        <w:rPr>
          <w:rFonts w:hint="eastAsia" w:ascii="Times New Roman" w:hAnsi="Times New Roman" w:eastAsia="宋体" w:cs="Times New Roman"/>
          <w:bCs/>
          <w:color w:val="000000"/>
          <w:szCs w:val="24"/>
          <w:lang w:val="en-US"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室外景观照明是否有直射光射入空中：□</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照明光线是否有超出被照区域的溢散光：□是、□否，如有，则溢散光占比为：___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简要说明建筑及照明设计过程中，采用何种措施避免对周边建筑造成光污染（200字以内）。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22"/>
              <w:spacing w:line="288" w:lineRule="auto"/>
              <w:ind w:firstLine="422"/>
              <w:jc w:val="both"/>
              <w:outlineLvl w:val="8"/>
              <w:rPr>
                <w:rFonts w:ascii="Times New Roman" w:eastAsia="黑体" w:cs="Times New Roman"/>
                <w:b/>
                <w:bCs/>
                <w:color w:val="auto"/>
                <w:kern w:val="2"/>
                <w:sz w:val="21"/>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玻璃的光学性能检验报告及其进场复验报告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应包括玻璃可见光反射比检测值</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玻璃幕墙施工图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应包括玻璃幕墙的可见光反射比的说明（指标要求与自评一致）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光污染报告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含室外夜景照明污染分析报告、玻璃幕墙光污染分析专项报告</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灯具的光度检验报告及其进场复验报告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太阳能光伏发电设备检测报告</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照明设计方案</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应包括灯具选用的型号及性能要求</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泛光照明、景观照明施工图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414" w:type="dxa"/>
          </w:tcPr>
          <w:p>
            <w:pPr>
              <w:spacing w:line="288" w:lineRule="auto"/>
            </w:pPr>
          </w:p>
        </w:tc>
      </w:tr>
    </w:tbl>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8.2.9 场地内风环境有利于室外行走、活动舒适和建筑的自然通风。</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在冬季典型风速和风向条件下，按下列规则分别评分并累计：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建筑物周围人行区距地高1.5m处风速小于5m/s，户外休息区、儿童娱乐区风速小于2m/s，且室外风速放大系数小于2，□3分；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除迎风第一排建筑外，建筑迎风面与背风面表面风压差不大于5Pa，□2分。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过渡季、夏季典型风速和风向条件下，按下列规则分别评分并累计：</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场地内人活动区不出现涡旋或无风区，□3分；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50％以上可开启外窗室内外表面的风压差大于0.5Pa，□2分。</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冬季典型风速和风向条件下室外风环境：</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建筑物周围人行区距地1.5m高处的风速为：___  m/s,风速放大系数为 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场地内只有一排建筑：</w:t>
      </w:r>
      <w:r>
        <w:rPr>
          <w:rFonts w:hint="eastAsia" w:ascii="Times New Roman" w:hAnsi="Times New Roman" w:eastAsia="宋体" w:cs="Times New Roman"/>
          <w:bCs/>
          <w:color w:val="000000"/>
          <w:szCs w:val="24"/>
          <w:lang w:val="en-US"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除迎风第一排建筑外，建筑迎风面与背风面表面最大风压差为：___  Pa</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过渡季、夏季典型风速和风向条件下室外风环境：</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场地内人活动区是否会出现涡旋或无风区：□</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可开启外窗中，室内外表面的风压差大于0.5Pa的比例：___  %</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简要说明本项目室外风环境情况、改善风环境的措施。（200字以内）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2" w:type="dxa"/>
          </w:tcPr>
          <w:p>
            <w:pPr>
              <w:spacing w:line="288" w:lineRule="auto"/>
              <w:ind w:firstLine="482" w:firstLineChars="200"/>
              <w:outlineLvl w:val="8"/>
              <w:rPr>
                <w:rFonts w:eastAsia="黑体"/>
                <w:b/>
                <w:bCs/>
                <w:kern w:val="44"/>
                <w:sz w:val="24"/>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景观绿化及含园建筑总平面图</w:t>
            </w:r>
          </w:p>
        </w:tc>
        <w:tc>
          <w:tcPr>
            <w:tcW w:w="396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nil"/>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934"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室外风环境模拟计算分析报告</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应包括边界条件设置、模拟工况、模拟结果等内容，</w:t>
            </w:r>
            <w:r>
              <w:rPr>
                <w:rFonts w:ascii="宋体" w:hAnsi="宋体" w:eastAsia="宋体" w:cs="宋体"/>
                <w:color w:val="000000"/>
                <w:kern w:val="0"/>
                <w:sz w:val="22"/>
              </w:rPr>
              <w:t xml:space="preserve">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项目及场地周边建筑物的实景影像资料 </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pPr>
              <w:spacing w:line="288" w:lineRule="auto"/>
            </w:pPr>
          </w:p>
        </w:tc>
      </w:tr>
    </w:tbl>
    <w:p/>
    <w:p/>
    <w:p/>
    <w:p/>
    <w:p/>
    <w:p/>
    <w:p/>
    <w:p/>
    <w:p/>
    <w:p/>
    <w:p/>
    <w:p/>
    <w:p/>
    <w:p/>
    <w:p/>
    <w:p/>
    <w:p/>
    <w:p/>
    <w:p/>
    <w:p/>
    <w:p/>
    <w:p/>
    <w:p/>
    <w:p/>
    <w:p/>
    <w:p/>
    <w:p/>
    <w:p/>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8.2.10 采取措施降低热岛强度。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场地中处于建筑阴影区外的步道、游憩场、庭院、广场等室外活动场地设有乔木、花架等遮阴措施的面积比例，住宅建筑达到40％，公共建筑达到10％，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1分；住宅建筑达到50％，公共建筑达到20％，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场地中处于建筑阴影区外的机动车道，路面太阳辐射反射系数不小于0.4或设有遮阴面积较大的行道树的路段长度超过70％，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屋顶的绿化面积、太阳能板水平投影面积以及太阳辐射反射系数不小于0.4的屋面面积合计达到75％，</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每100m2绿地上不少于4株乔木，</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1分；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5 </w:t>
      </w:r>
      <w:bookmarkStart w:id="104" w:name="_Hlk20685441"/>
      <w:r>
        <w:rPr>
          <w:rFonts w:hint="eastAsia" w:ascii="Times New Roman" w:hAnsi="Times New Roman" w:eastAsia="宋体" w:cs="Times New Roman"/>
          <w:bCs/>
          <w:color w:val="000000"/>
          <w:szCs w:val="24"/>
          <w:lang w:val="en-US" w:eastAsia="zh-CN"/>
        </w:rPr>
        <w:t>东、南、西向墙面合理设置绿化，绿化率达到10%，</w:t>
      </w:r>
      <w:bookmarkEnd w:id="104"/>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6 建筑底层的通风架空率达到10%，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7室外休憩场所采用人工雾化蒸发降温，</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
          <w:bCs w:val="0"/>
          <w:color w:val="000000"/>
          <w:szCs w:val="24"/>
          <w:lang w:val="zh-CN" w:eastAsia="zh-CN"/>
        </w:rPr>
        <w:t>建筑类型：</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住宅建筑 、□公共建筑</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室外活动场地遮阴面积比例：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场地中处于建筑阴影区外的机动车道，路面太阳辐射反射系数：</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设有遮阴面积较大的行道树的路段长度：</w:t>
      </w:r>
      <w:r>
        <w:rPr>
          <w:rFonts w:hint="eastAsia" w:ascii="Times New Roman" w:hAnsi="Times New Roman" w:eastAsia="宋体" w:cs="Times New Roman"/>
          <w:bCs/>
          <w:color w:val="000000"/>
          <w:szCs w:val="24"/>
          <w:lang w:val="zh-CN" w:eastAsia="zh-CN"/>
        </w:rPr>
        <w:t>___  m</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屋顶的绿化面积、太阳能板水平投影面积以及太阳辐射反射系数不小于 0.4 的屋面面积比例：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135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应体现场地内建筑、步道、庭院、广场、游憩场、地面停车场等的位置及面积，场地构筑物的位置、数量、遮荫面积等技术经济指标（指标要求与自评一致）；场地内道路交通组织</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应体现所有乔木的名称及其所在位置</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路面构造做法大样</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应体现各类铺装的类型、位置、太阳辐射反射系数及面积</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屋面设计</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屋面施工图、屋面做法大样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日照分析报告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户外活动场地遮阴面积比例计算书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应包括乔木以及构筑物遮荫面积的详细计算；如果计算中考虑了建筑日照投影遮阴，则还需包括建筑日照投影遮阴面积的计算</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乔木苗表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应体现各类乔木的名称、数量、成年乔木的树冠正投影面积</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432" w:hRule="atLeast"/>
        </w:trPr>
        <w:tc>
          <w:tcPr>
            <w:tcW w:w="740" w:type="dxa"/>
            <w:vMerge w:val="continue"/>
            <w:tcBorders>
              <w:top w:val="single" w:color="auto" w:sz="4" w:space="0"/>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机动车道遮阴及高反射面积比例计算书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应包括道路路面各类铺装的类型、太阳辐射反射系数（需提供反射系数的数据来源）及面积的统计（指标要求与自评一致）</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1080" w:hRule="atLeast"/>
        </w:trPr>
        <w:tc>
          <w:tcPr>
            <w:tcW w:w="740"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屋面遮阴及高反射面积比例计算书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应包括建筑屋面各类铺装的类型、太阳辐射反射系数（需提供反射系数的数据来源）及面积的统计（指标要求与自评一致）</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路面太阳辐射反射性能现场检测报告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应包括建筑屋面、道路表面建材的太阳辐射反射系数测试报告</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道路用热反射涂料性能检测报告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414" w:type="dxa"/>
          </w:tcPr>
          <w:p>
            <w:pPr>
              <w:spacing w:line="288" w:lineRule="auto"/>
            </w:pPr>
          </w:p>
        </w:tc>
      </w:tr>
    </w:tbl>
    <w:p/>
    <w:p/>
    <w:p/>
    <w:p/>
    <w:p/>
    <w:p>
      <w:pPr>
        <w:pStyle w:val="2"/>
        <w:spacing w:line="288" w:lineRule="auto"/>
      </w:pPr>
      <w:r>
        <w:rPr>
          <w:rFonts w:hint="eastAsia"/>
        </w:rPr>
        <w:t>9 提高与创新</w:t>
      </w:r>
    </w:p>
    <w:tbl>
      <w:tblPr>
        <w:tblStyle w:val="9"/>
        <w:tblW w:w="8381" w:type="dxa"/>
        <w:tblInd w:w="91" w:type="dxa"/>
        <w:tblLayout w:type="autofit"/>
        <w:tblCellMar>
          <w:top w:w="0" w:type="dxa"/>
          <w:left w:w="108" w:type="dxa"/>
          <w:bottom w:w="0" w:type="dxa"/>
          <w:right w:w="108" w:type="dxa"/>
        </w:tblCellMar>
      </w:tblPr>
      <w:tblGrid>
        <w:gridCol w:w="806"/>
        <w:gridCol w:w="890"/>
        <w:gridCol w:w="5267"/>
        <w:gridCol w:w="709"/>
        <w:gridCol w:w="709"/>
      </w:tblGrid>
      <w:tr>
        <w:tblPrEx>
          <w:tblCellMar>
            <w:top w:w="0" w:type="dxa"/>
            <w:left w:w="108" w:type="dxa"/>
            <w:bottom w:w="0" w:type="dxa"/>
            <w:right w:w="108" w:type="dxa"/>
          </w:tblCellMar>
        </w:tblPrEx>
        <w:trPr>
          <w:trHeight w:val="270" w:hRule="atLeast"/>
        </w:trPr>
        <w:tc>
          <w:tcPr>
            <w:tcW w:w="8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b/>
                <w:bCs/>
                <w:kern w:val="0"/>
              </w:rPr>
              <w:t>子项</w:t>
            </w:r>
          </w:p>
        </w:tc>
        <w:tc>
          <w:tcPr>
            <w:tcW w:w="89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rFonts w:hint="eastAsia"/>
                <w:b/>
                <w:bCs/>
                <w:kern w:val="0"/>
              </w:rPr>
              <w:t>条文</w:t>
            </w:r>
            <w:r>
              <w:rPr>
                <w:b/>
                <w:bCs/>
                <w:kern w:val="0"/>
              </w:rPr>
              <w:t>编号</w:t>
            </w:r>
          </w:p>
        </w:tc>
        <w:tc>
          <w:tcPr>
            <w:tcW w:w="52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b/>
                <w:bCs/>
                <w:kern w:val="0"/>
              </w:rPr>
            </w:pPr>
            <w:r>
              <w:rPr>
                <w:b/>
                <w:bCs/>
                <w:kern w:val="0"/>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宋体" w:hAnsi="宋体" w:cs="宋体"/>
                <w:kern w:val="0"/>
                <w:sz w:val="22"/>
                <w:szCs w:val="22"/>
              </w:rPr>
            </w:pPr>
            <w:r>
              <w:rPr>
                <w:rFonts w:hint="eastAsia"/>
                <w:b/>
                <w:bCs/>
                <w:kern w:val="0"/>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kern w:val="0"/>
                <w:sz w:val="22"/>
                <w:szCs w:val="22"/>
              </w:rPr>
            </w:pPr>
            <w:r>
              <w:rPr>
                <w:b/>
                <w:bCs/>
                <w:kern w:val="0"/>
              </w:rPr>
              <w:t>达标/得分</w:t>
            </w:r>
          </w:p>
        </w:tc>
      </w:tr>
      <w:tr>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一般规定</w:t>
            </w: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9.1.1</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cs="Times New Roman"/>
                <w:szCs w:val="28"/>
              </w:rPr>
              <w:t>绿色建筑评价时，应按本章规定对提高与创新项进行评价。</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270" w:hRule="atLeast"/>
        </w:trPr>
        <w:tc>
          <w:tcPr>
            <w:tcW w:w="806" w:type="dxa"/>
            <w:vMerge w:val="continue"/>
            <w:tcBorders>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9.1.2</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cs="Times New Roman"/>
                <w:szCs w:val="28"/>
              </w:rPr>
              <w:t>提高与创新项得分为加分项得分之和，当得分大于100分时，应取为100分。</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w:t>
            </w:r>
          </w:p>
        </w:tc>
      </w:tr>
      <w:tr>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加分项</w:t>
            </w: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9.2.1</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采取措施进一步降低建筑能耗</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9.2.2</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建筑风格体现</w:t>
            </w:r>
            <w:bookmarkStart w:id="105" w:name="_Hlk21918358"/>
            <w:r>
              <w:rPr>
                <w:bCs w:val="0"/>
              </w:rPr>
              <w:t>地域风貌</w:t>
            </w:r>
            <w:bookmarkEnd w:id="105"/>
            <w:r>
              <w:rPr>
                <w:bCs w:val="0"/>
              </w:rPr>
              <w:t>，因地制宜传承</w:t>
            </w:r>
            <w:bookmarkStart w:id="106" w:name="_Hlk20581719"/>
            <w:r>
              <w:rPr>
                <w:bCs w:val="0"/>
              </w:rPr>
              <w:t>地域建筑文化</w:t>
            </w:r>
            <w:bookmarkEnd w:id="106"/>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9.2.3</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合理</w:t>
            </w:r>
            <w:bookmarkStart w:id="107" w:name="_Hlk21977839"/>
            <w:r>
              <w:rPr>
                <w:bCs w:val="0"/>
              </w:rPr>
              <w:t>选用废弃场地进行建设</w:t>
            </w:r>
            <w:bookmarkEnd w:id="107"/>
            <w:r>
              <w:rPr>
                <w:bCs w:val="0"/>
              </w:rPr>
              <w:t>，或充分利用尚可使用的旧建筑</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9.2.4</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场地绿容率不低于3.0</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9.2.5</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bCs w:val="0"/>
              </w:rPr>
              <w:t>符合</w:t>
            </w:r>
            <w:bookmarkStart w:id="108" w:name="_Hlk32659611"/>
            <w:r>
              <w:rPr>
                <w:bCs w:val="0"/>
              </w:rPr>
              <w:t>《重庆市装配式建筑装配率计算细则(试行)》</w:t>
            </w:r>
            <w:bookmarkEnd w:id="108"/>
            <w:r>
              <w:rPr>
                <w:bCs w:val="0"/>
              </w:rPr>
              <w:t>要求的装配式建筑</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9.2.6</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cs="Times New Roman"/>
                <w:szCs w:val="28"/>
              </w:rPr>
              <w:t>应用建筑信息模型（BIM）技术</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9.2.7</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进行建筑碳排放计算分析，采取措施降低单位建筑面积碳排放强度</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9.2.8</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按照绿色施工的要求进行施工和管理</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color w:val="000000"/>
                <w:kern w:val="0"/>
                <w:sz w:val="22"/>
                <w:szCs w:val="22"/>
              </w:rPr>
            </w:pPr>
            <w:r>
              <w:rPr>
                <w:color w:val="000000"/>
                <w:kern w:val="0"/>
                <w:sz w:val="22"/>
                <w:szCs w:val="22"/>
              </w:rPr>
              <w:t>9.2.9</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采用建设工程质量潜在缺陷保险产品</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9.2.10</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合理采用高效能源供应系统</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9.2.11</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cs="Times New Roman"/>
                <w:szCs w:val="28"/>
              </w:rPr>
              <w:t>生活给排水采用智慧管理系统，消防水泵房采用物联型消防供水泵房。</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9.2.12</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cs="Times New Roman"/>
                <w:szCs w:val="28"/>
              </w:rPr>
              <w:t>应用新一代信息技术，设置建筑智慧运维系统</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eastAsia"/>
                <w:color w:val="000000"/>
                <w:kern w:val="0"/>
                <w:sz w:val="22"/>
                <w:szCs w:val="22"/>
                <w:lang w:val="en-US" w:eastAsia="zh-CN"/>
              </w:rPr>
            </w:pPr>
            <w:r>
              <w:rPr>
                <w:rFonts w:hint="eastAsia"/>
                <w:color w:val="000000"/>
                <w:kern w:val="0"/>
                <w:sz w:val="22"/>
                <w:szCs w:val="22"/>
                <w:lang w:val="en-US" w:eastAsia="zh-CN"/>
              </w:rPr>
              <w:t>9.2.13</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cs="Times New Roman"/>
                <w:szCs w:val="28"/>
              </w:rPr>
            </w:pPr>
            <w:r>
              <w:rPr>
                <w:rFonts w:cs="Times New Roman"/>
                <w:szCs w:val="28"/>
              </w:rPr>
              <w:t>使用高星级绿色建材</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color w:val="000000"/>
                <w:kern w:val="0"/>
                <w:sz w:val="22"/>
                <w:szCs w:val="22"/>
                <w:lang w:val="en-US" w:eastAsia="zh-CN"/>
              </w:rPr>
            </w:pPr>
            <w:r>
              <w:rPr>
                <w:rFonts w:hint="eastAsia"/>
                <w:color w:val="000000"/>
                <w:kern w:val="0"/>
                <w:sz w:val="22"/>
                <w:szCs w:val="22"/>
                <w:lang w:val="en-US" w:eastAsia="zh-CN"/>
              </w:rPr>
              <w:t>9.2.14</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eastAsia="宋体" w:cs="Times New Roman"/>
                <w:szCs w:val="28"/>
                <w:lang w:val="en-US" w:eastAsia="zh-CN"/>
              </w:rPr>
            </w:pPr>
            <w:r>
              <w:rPr>
                <w:rFonts w:cs="Times New Roman"/>
                <w:szCs w:val="28"/>
              </w:rPr>
              <w:t>采用满足以下条件的高性能建筑垃圾再生自保温砌体材料</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pPr>
              <w:widowControl/>
              <w:jc w:val="left"/>
              <w:rPr>
                <w:rFonts w:hint="default"/>
                <w:color w:val="000000"/>
                <w:kern w:val="0"/>
                <w:sz w:val="22"/>
                <w:szCs w:val="22"/>
                <w:lang w:val="en-US" w:eastAsia="zh-CN"/>
              </w:rPr>
            </w:pPr>
            <w:r>
              <w:rPr>
                <w:rFonts w:hint="eastAsia"/>
                <w:color w:val="000000"/>
                <w:kern w:val="0"/>
                <w:sz w:val="22"/>
                <w:szCs w:val="22"/>
                <w:lang w:val="en-US" w:eastAsia="zh-CN"/>
              </w:rPr>
              <w:t>9.2.15</w:t>
            </w:r>
          </w:p>
        </w:tc>
        <w:tc>
          <w:tcPr>
            <w:tcW w:w="5267"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szCs w:val="22"/>
                <w:lang w:val="en-US" w:eastAsia="zh-CN"/>
              </w:rPr>
            </w:pPr>
            <w:r>
              <w:rPr>
                <w:rFonts w:hint="eastAsia" w:cs="Times New Roman"/>
                <w:szCs w:val="28"/>
              </w:rPr>
              <w:t>采取节约资源、保护生态环境、保障安全健康、智慧友好运行、传承历史文化等其他创新，并有明显效益</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2"/>
                <w:szCs w:val="22"/>
              </w:rPr>
            </w:pPr>
          </w:p>
        </w:tc>
      </w:tr>
      <w:tr>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宋体" w:hAnsi="宋体" w:cs="宋体"/>
                <w:color w:val="000000"/>
                <w:kern w:val="0"/>
                <w:sz w:val="22"/>
                <w:szCs w:val="22"/>
              </w:rPr>
            </w:pPr>
            <w:r>
              <w:rPr>
                <w:color w:val="000000"/>
                <w:kern w:val="0"/>
                <w:szCs w:val="21"/>
              </w:rPr>
              <w:t>合计</w:t>
            </w:r>
            <w:r>
              <w:rPr>
                <w:rFonts w:hint="eastAsia"/>
                <w:color w:val="000000"/>
                <w:kern w:val="0"/>
                <w:szCs w:val="21"/>
              </w:rPr>
              <w:t>（不得超过100分）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p>
        </w:tc>
      </w:tr>
    </w:tbl>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pStyle w:val="2"/>
        <w:bidi w:val="0"/>
        <w:rPr>
          <w:rFonts w:hint="eastAsia"/>
        </w:rPr>
      </w:pPr>
      <w:bookmarkStart w:id="109" w:name="_Toc22221593"/>
      <w:bookmarkStart w:id="110" w:name="_Toc22234373"/>
      <w:bookmarkStart w:id="111" w:name="_Toc35364760"/>
      <w:r>
        <w:rPr>
          <w:rFonts w:hint="eastAsia"/>
        </w:rPr>
        <w:t>9.1 一般规定</w:t>
      </w:r>
      <w:bookmarkEnd w:id="109"/>
      <w:bookmarkEnd w:id="110"/>
      <w:bookmarkEnd w:id="111"/>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9.1.1 绿色建筑评价时，应按本章规定对提高与创新项进行评价。</w:t>
      </w: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9.1.2 提高与创新项得分为加分项得分之和，当得分大于100分时，应取为100分。</w:t>
      </w: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tabs>
          <w:tab w:val="left" w:pos="1788"/>
        </w:tabs>
        <w:bidi w:val="0"/>
        <w:jc w:val="left"/>
        <w:rPr>
          <w:rFonts w:hint="eastAsia"/>
          <w:lang w:val="en-US" w:eastAsia="zh-CN"/>
        </w:rPr>
      </w:pPr>
    </w:p>
    <w:p>
      <w:pPr>
        <w:pStyle w:val="2"/>
        <w:bidi w:val="0"/>
        <w:rPr>
          <w:rFonts w:hint="eastAsia"/>
        </w:rPr>
      </w:pPr>
      <w:bookmarkStart w:id="112" w:name="_Toc22221594"/>
      <w:bookmarkStart w:id="113" w:name="_Toc22234374"/>
      <w:bookmarkStart w:id="114" w:name="_Toc35364761"/>
      <w:r>
        <w:rPr>
          <w:rFonts w:hint="eastAsia"/>
        </w:rPr>
        <w:t>9.2 加分项</w:t>
      </w:r>
      <w:bookmarkEnd w:id="112"/>
      <w:bookmarkEnd w:id="113"/>
      <w:bookmarkEnd w:id="114"/>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 采取措施进一步降低建筑能耗。</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建筑供暖空调系统能耗相比重庆市现行有关建筑节能标准降低40%，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10分；再降低10%，</w:t>
      </w:r>
      <w:r>
        <w:rPr>
          <w:rFonts w:hint="eastAsia" w:ascii="宋体" w:hAnsi="宋体"/>
          <w:b/>
          <w:bCs/>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建筑能耗水平达到超低能耗建筑要求，</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10分；达到近零能耗建筑要求，</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b/>
          <w:sz w:val="24"/>
        </w:rPr>
      </w:pPr>
      <w:r>
        <w:rPr>
          <w:rFonts w:hint="eastAsia" w:ascii="Times New Roman" w:hAnsi="Times New Roman" w:eastAsia="宋体" w:cs="Times New Roman"/>
          <w:bCs/>
          <w:color w:val="000000"/>
          <w:szCs w:val="24"/>
          <w:lang w:val="en-US" w:eastAsia="zh-CN"/>
        </w:rPr>
        <w:t>简要说明所采取的其他进一步降低建筑能耗的措施（300字以内）。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节能设计书</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含设计说明</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供暖空调系统能耗节能率分析报告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color w:val="000000"/>
                <w:kern w:val="0"/>
                <w:sz w:val="22"/>
              </w:rPr>
              <w:t>设备材料表</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color w:val="000000"/>
                <w:kern w:val="0"/>
                <w:sz w:val="22"/>
              </w:rPr>
            </w:pPr>
            <w:r>
              <w:rPr>
                <w:rFonts w:hint="eastAsia" w:ascii="宋体" w:hAnsi="宋体" w:eastAsia="宋体" w:cs="宋体"/>
                <w:b/>
                <w:color w:val="000000"/>
                <w:kern w:val="0"/>
                <w:sz w:val="22"/>
              </w:rPr>
              <w:t>运行能耗数据及节能率分析报告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9.2.2建筑风格体现地域风貌，因地制宜传承地域建筑文化。</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建筑风格体现地域风貌，因地制宜传承地域建筑文化；</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20分</w:t>
      </w:r>
      <w:r>
        <w:rPr>
          <w:rFonts w:hint="eastAsia" w:cs="Times New Roman"/>
          <w:bCs/>
          <w:color w:val="000000"/>
          <w:szCs w:val="24"/>
          <w:lang w:val="en-US"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简要说明结合地区特色的建筑风貌设计情况（300字以内）。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专项分析论证报告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批文</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风貌规划文件</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影像资料</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414" w:type="dxa"/>
          </w:tcPr>
          <w:p>
            <w:pPr>
              <w:spacing w:line="288" w:lineRule="auto"/>
            </w:pP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9.2.3合理选用废弃场地进行建设，或充分利用尚可使用的旧建筑。</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合理选用废弃场地进行建设，或充分利用尚可使用的旧建筑；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
          <w:bCs w:val="0"/>
          <w:color w:val="000000"/>
          <w:szCs w:val="24"/>
          <w:lang w:val="zh-CN" w:eastAsia="zh-CN"/>
        </w:rPr>
        <w:t>废弃场地建设：</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是否利用废弃场地进行建设：□是、□否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场地类型为：</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旧建筑利用：</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场地内是否有旧建筑：□是、□否；</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是否将尚可利用的旧建筑纳入规划项目：□是、□否；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简要说明场地利用前的情况，是否有旧建筑，项目如何对旧建筑进行的利用；是否利用了废弃场地，废弃场地情况及相应的处理措施、利用情况（300字以内）。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505"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cs="宋体"/>
                <w:b/>
                <w:kern w:val="0"/>
                <w:szCs w:val="21"/>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结构施工图及设计说明</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p>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环评报告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政府国土和环保部门的批复</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废弃场地或旧建筑再利用检测报告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旧建筑利用专项报告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414" w:type="dxa"/>
          </w:tcPr>
          <w:p>
            <w:pPr>
              <w:spacing w:line="288" w:lineRule="auto"/>
            </w:pPr>
          </w:p>
        </w:tc>
      </w:tr>
    </w:tbl>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bidi w:val="0"/>
        <w:jc w:val="left"/>
        <w:rPr>
          <w:rFonts w:hint="default"/>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115" w:name="_Hlk35680803"/>
      <w:r>
        <w:rPr>
          <w:rFonts w:hint="eastAsia" w:ascii="黑体" w:hAnsi="黑体" w:eastAsia="黑体" w:cs="Times New Roman"/>
          <w:kern w:val="0"/>
          <w:sz w:val="24"/>
          <w:lang w:val="en-US" w:eastAsia="zh-CN"/>
        </w:rPr>
        <w:t>9.2.4</w:t>
      </w:r>
      <w:bookmarkEnd w:id="115"/>
      <w:r>
        <w:rPr>
          <w:rFonts w:hint="eastAsia" w:ascii="黑体" w:hAnsi="黑体" w:eastAsia="黑体" w:cs="Times New Roman"/>
          <w:kern w:val="0"/>
          <w:sz w:val="24"/>
          <w:lang w:val="en-US" w:eastAsia="zh-CN"/>
        </w:rPr>
        <w:t>场地绿容率不低于3.0。</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场地绿容率计算值不低于3.0，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场地绿容率实测值不低于3.0，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场地绿容率计算值：</w:t>
      </w:r>
      <w:r>
        <w:rPr>
          <w:rFonts w:hint="eastAsia" w:ascii="Times New Roman" w:hAnsi="Times New Roman" w:eastAsia="宋体" w:cs="Times New Roman"/>
          <w:bCs/>
          <w:color w:val="000000"/>
          <w:szCs w:val="24"/>
          <w:lang w:val="zh-CN" w:eastAsia="zh-CN"/>
        </w:rPr>
        <w:t xml:space="preserve">___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场地绿容率实测值：</w:t>
      </w:r>
      <w:r>
        <w:rPr>
          <w:rFonts w:hint="eastAsia" w:ascii="Times New Roman" w:hAnsi="Times New Roman" w:eastAsia="宋体" w:cs="Times New Roman"/>
          <w:bCs/>
          <w:color w:val="000000"/>
          <w:szCs w:val="24"/>
          <w:lang w:val="zh-CN" w:eastAsia="zh-CN"/>
        </w:rPr>
        <w:t xml:space="preserve">___  </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绿化种植平面图</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苗木表</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绿容率计算书或指植被叶面积测量报告</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当地也面积调研数据</w:t>
            </w:r>
          </w:p>
        </w:tc>
        <w:tc>
          <w:tcPr>
            <w:tcW w:w="3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9.2.5 符合《重庆市装配式建筑装配率计算细则(试行)》要求的装配式建筑。</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1装配率≥50%，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2装配率≥55%，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3装配率≥65%，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20分。</w:t>
      </w:r>
    </w:p>
    <w:p>
      <w:pPr>
        <w:rPr>
          <w:rFonts w:hint="eastAsia"/>
          <w:lang w:val="en-US" w:eastAsia="zh-CN"/>
        </w:rPr>
      </w:pP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预制构件统计统计和占比计算书</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钢结构的楼梯详图</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木结构的屋架、檩条、拉条、支撑等布置图</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装配式混凝土结构的预制构件设计说明</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pPr>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装配率计算书</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工程竣工质量报告</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工程概况表</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设计变更文件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9.2.6 应用建筑信息模型（BIM）技术。</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规划设计阶段进行分析和优化，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3分；建立多专业协调设计管理平台，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施工建造阶段在细化设计、成本管理与控制、施工过程管理、质量安全监控、交付竣工模型等应用中至少三项，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3分；建立基于BIM的一体化工地管理平台或为智慧工地管理平台提供BIM数据支撑，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 运行维护阶段在运行维护管理、设备设施运行监控、应急管理等应用中至少两项，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3分；为智慧物业管理平台提供BIM数据支撑，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项目应用BIM技术的阶段：</w:t>
      </w:r>
    </w:p>
    <w:p>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规划设计阶段、</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施工建造阶段、</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运行维护阶段</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简要说明BIM技术在各阶段的应用以及实现信息共享、协同工作的情况（200字以内）。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52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34"/>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3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BIM技术应用报告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含模型，应体现项目BIM应用中实现信息共享、协同工作的能力和绩效</w:t>
            </w:r>
          </w:p>
        </w:tc>
        <w:tc>
          <w:tcPr>
            <w:tcW w:w="113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设计管理平台</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34"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9.2.7 进行建筑碳排放计算分析，采取措施降低单位建筑面积碳排放强度。</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进行建筑碳排放计算分析，采取措施降低单位建筑面积碳排放强度；</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建筑固有的碳排放量（建材生产及运输）：</w:t>
      </w:r>
      <w:r>
        <w:rPr>
          <w:rFonts w:hint="eastAsia" w:ascii="Times New Roman" w:hAnsi="Times New Roman" w:eastAsia="宋体" w:cs="Times New Roman"/>
          <w:bCs/>
          <w:color w:val="000000"/>
          <w:szCs w:val="24"/>
          <w:lang w:val="zh-CN" w:eastAsia="zh-CN"/>
        </w:rPr>
        <w:t>___  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建筑标准运行工况下的资源消耗碳排放量：</w:t>
      </w:r>
      <w:r>
        <w:rPr>
          <w:rFonts w:hint="eastAsia" w:ascii="Times New Roman" w:hAnsi="Times New Roman" w:eastAsia="宋体" w:cs="Times New Roman"/>
          <w:bCs/>
          <w:color w:val="000000"/>
          <w:szCs w:val="24"/>
          <w:lang w:val="zh-CN" w:eastAsia="zh-CN"/>
        </w:rPr>
        <w:t>___  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简要说明建筑碳排放量计算过程及采取的降低碳排放量的措施（300字以内）。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636"/>
        <w:gridCol w:w="992"/>
        <w:gridCol w:w="8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63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建筑碳排放计算分析报告</w:t>
            </w:r>
          </w:p>
        </w:tc>
        <w:tc>
          <w:tcPr>
            <w:tcW w:w="463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应说明所采用的计算标准、方法和依据（但暂不制定某一特定标准或方法），以及所采取的具体减排措施和效果（仅要求对碳排放强度进行采取措施前后的对比）</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414" w:type="dxa"/>
          </w:tcPr>
          <w:p>
            <w:pPr>
              <w:spacing w:line="288" w:lineRule="auto"/>
            </w:pPr>
          </w:p>
        </w:tc>
      </w:tr>
    </w:tbl>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bidi w:val="0"/>
        <w:jc w:val="left"/>
        <w:rPr>
          <w:rFonts w:hint="default" w:ascii="黑体" w:hAnsi="黑体" w:eastAsia="黑体" w:cs="Times New Roman"/>
          <w:kern w:val="0"/>
          <w:sz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9.2.8 按照绿色施工的要求进行施工和管理。</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获得绿色施工优良等级或绿色施工示范工程认定，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8分；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通过重庆市智慧工地评价或认定，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4分；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 现浇混凝土构件采用高效、绿色、节能的模板体系，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采用铝模等免墙面找平粉刷的模板体系，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采用燃烧性能达到A级的免拆模板现浇混凝土建筑保温系统及配套模板安装支撑体系，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简要说明项目施工管理体系和组织机构中针对绿色建筑、绿色施工而制定或设置的相应内容及其落实情况。（150字以内）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绿色施工优良等级或绿色施工示范工程的认定文件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智慧工地的认定或 结论文件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粉刷混凝土墙体占比说明书</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建筑保温施工设计图及配套材料说明</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施工日志</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技术交底文件</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施工方案</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施工现场影像资料</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pPr>
              <w:spacing w:line="288" w:lineRule="auto"/>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9.2.9 采用建设工程质量潜在缺陷保险产品。</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保险承保范围包括地基基础工程、主体结构工程、屋面防水工程、外墙保温和其他土建工程的质量问题，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保险承保范围包括装修工程、电气管线、上下水管线的安装工程，供热、供冷系统工程的质量问题，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是否采用建设工程质量潜在缺陷保险产品</w:t>
      </w:r>
      <w:r>
        <w:rPr>
          <w:rFonts w:hint="eastAsia" w:ascii="Times New Roman" w:hAnsi="Times New Roman" w:eastAsia="宋体" w:cs="Times New Roman"/>
          <w:bCs/>
          <w:color w:val="000000"/>
          <w:szCs w:val="24"/>
          <w:lang w:val="zh-CN" w:eastAsia="zh-CN"/>
        </w:rPr>
        <w:t>：□是、□否</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保险承保范围包括：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地基基础工程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主体结构工程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屋面防水工程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其他土建工程的质量问题</w:t>
      </w:r>
      <w:r>
        <w:rPr>
          <w:rFonts w:hint="eastAsia" w:ascii="Times New Roman" w:hAnsi="Times New Roman" w:eastAsia="宋体" w:cs="Times New Roman"/>
          <w:bCs/>
          <w:color w:val="000000"/>
          <w:szCs w:val="24"/>
          <w:lang w:val="zh-CN" w:eastAsia="zh-CN"/>
        </w:rPr>
        <w:t>、□以上皆无</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保险承保范围包括：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装修工程、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电气管线、</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上下水管线的安装工程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供热、供冷系统工程的质量问题</w:t>
      </w:r>
      <w:r>
        <w:rPr>
          <w:rFonts w:hint="eastAsia" w:ascii="Times New Roman" w:hAnsi="Times New Roman" w:eastAsia="宋体" w:cs="Times New Roman"/>
          <w:bCs/>
          <w:color w:val="000000"/>
          <w:szCs w:val="24"/>
          <w:lang w:val="zh-CN" w:eastAsia="zh-CN"/>
        </w:rPr>
        <w:t>、□以上皆无</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建设工程质量保险产品投保计划</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保险产品保单</w:t>
            </w:r>
          </w:p>
        </w:tc>
        <w:tc>
          <w:tcPr>
            <w:tcW w:w="376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8414" w:type="dxa"/>
          </w:tcPr>
          <w:p>
            <w:pPr>
              <w:spacing w:line="288" w:lineRule="auto"/>
            </w:pPr>
          </w:p>
        </w:tc>
      </w:tr>
    </w:tbl>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rPr>
          <w:rFonts w:hint="eastAsia" w:cs="Times New Roman"/>
          <w:b/>
          <w:bCs/>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9.2.10 合理采用高效能源供应系统。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采用可再生能源区域集中供暖供冷系统，</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采用燃气冷热电联供技术，系统年平均能源综合利用率应大于70%，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简要说明合理采用高效能源供应系统的利用情况（200字以内）。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2614"/>
        <w:gridCol w:w="3400"/>
        <w:gridCol w:w="946"/>
        <w:gridCol w:w="8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441" w:type="pct"/>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31" w:type="pct"/>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1991" w:type="pct"/>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557" w:type="pct"/>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479" w:type="pct"/>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暖通空调设计图和专项计算分析论证报告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continue"/>
            <w:tcBorders>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含负荷预测、系统配置、运行模式、经济和环保效益等</w:t>
            </w: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主要产品型式检验报告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531" w:type="pct"/>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运行报告</w:t>
            </w:r>
          </w:p>
        </w:tc>
        <w:tc>
          <w:tcPr>
            <w:tcW w:w="1991" w:type="pct"/>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557" w:type="pct"/>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479" w:type="pct"/>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9.2.11 生活给排水采用智慧管理系统，消防水泵房采用物联型消防供水泵房。</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生活给排水采用智慧管理系统，得5分；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消防水泵房采用物联型消防供水泵房，得5分。</w:t>
      </w: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简要说明生活给排水采用智慧管理系统和消防水泵房采用物联型消防供水泵房的利用情况（300字以内）。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40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63"/>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63"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智慧管理系统</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消防设计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物联型设计</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计算书</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9.2.12 应用新一代信息技术，设置建筑智慧运维系统。</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公共建筑设置智慧运维系统，评价总分值为8分，并按下列规则评分： </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（1）具备建筑智能化综合管理平台大数据分析功能，实现建筑设备运行状况分析、智能化子系统联动控制及分析等功能，评价总分值为5分。</w:t>
      </w:r>
      <w:r>
        <w:rPr>
          <w:rFonts w:hint="eastAsia" w:ascii="Times New Roman" w:hAnsi="Times New Roman" w:eastAsia="宋体" w:cs="Times New Roman"/>
          <w:bCs/>
          <w:color w:val="000000"/>
          <w:szCs w:val="24"/>
          <w:lang w:val="zh-CN" w:eastAsia="zh-CN"/>
        </w:rPr>
        <w:sym w:font="Wingdings 2" w:char="00A3"/>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（2）支持移动端物业管理，实现移动式巡检、报警管理、故障报修、能耗查询、物料管理、事件管理、班次管理、信息发布、缴费管理等功能，评价总分值3分。</w:t>
      </w:r>
      <w:r>
        <w:rPr>
          <w:rFonts w:hint="eastAsia" w:ascii="Times New Roman" w:hAnsi="Times New Roman" w:eastAsia="宋体" w:cs="Times New Roman"/>
          <w:bCs/>
          <w:color w:val="000000"/>
          <w:szCs w:val="24"/>
          <w:lang w:val="zh-CN" w:eastAsia="zh-CN"/>
        </w:rPr>
        <w:sym w:font="Wingdings 2" w:char="00A3"/>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居住建筑通过重庆市智慧小区评价，评分总分值为8分，其中：通过重庆市二星级智慧小区评价，</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4分；通过重庆市三星级智慧小区评价，</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简要说明应用新一代信息技术，如何运用建筑智慧运维系统（200字以内）。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840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63"/>
        <w:gridCol w:w="8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63"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0"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标识系统设计与设置说明文件</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含施工图及设计方案</w:t>
            </w: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管理制度</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历史检测数据及运行数据</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市建设行政主管部门出具的授予文件或证书</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住宅建筑</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14" w:type="dxa"/>
          </w:tcPr>
          <w:p>
            <w:pPr>
              <w:spacing w:line="288" w:lineRule="auto"/>
            </w:pPr>
          </w:p>
        </w:tc>
      </w:tr>
    </w:tbl>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9.2.13 使用高星级绿色建材。</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单类绿色建材示范基地二、三星级绿色建材应用比例不低于80%；且满足此要求的绿色建材种类达到3类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4分；达到6类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单类三星级绿色建材应用比例不低于80%；且满足此要求的绿色建材种类达到3类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4分；达到6类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简要说明满足高星级要求绿色建材的使用情况（200字以内）。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2155"/>
        <w:gridCol w:w="3515"/>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15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515"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绿色建材设计文件</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供货单或采购合同或发票</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工程决算材料清单</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绿色建材标识证书或授予文件</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重庆市绿色建材示范基地授予文件或证书</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515"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9.2.14 采用满足以下条件的高性能建筑垃圾再生自保温砌体材料。</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评价总分值为6分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砌体材料建筑垃圾掺量比例不小于50%；</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砌体材料的导热系数不大于0.16W/（m.K）；</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砌体采用薄层砂浆砌筑施工工艺。</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简要说明高性能建筑垃圾再生自保温砌体材料的使用情况（200字以内）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自保温设计</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主要墙体材料性能检测报告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施工隐蔽验收记录</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砌块材料中建筑垃圾掺量检测报告及相关证明材料</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414" w:type="dxa"/>
          </w:tcPr>
          <w:p>
            <w:pPr>
              <w:spacing w:line="288" w:lineRule="auto"/>
            </w:pPr>
          </w:p>
        </w:tc>
      </w:tr>
    </w:tbl>
    <w:p>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9.2.15 采取节约资源、保护生态环境、保障安全健康、智慧友好运行、传承历史文化等其他创新，并有明显效益。</w:t>
      </w:r>
    </w:p>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采取节约资源、保护生态环境、保障安全健康、智慧友好运行、传承历史文化等其他创新，并有明显效益；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简要说明如何采取节约资源、保护生态环境、保障安全健康、智慧友好运行、传承历史文化的创新，有何明显效益（200字以内）。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pPr>
              <w:adjustRightInd w:val="0"/>
              <w:snapToGrid w:val="0"/>
              <w:spacing w:line="288" w:lineRule="auto"/>
              <w:rPr>
                <w:kern w:val="0"/>
              </w:rPr>
            </w:pPr>
          </w:p>
        </w:tc>
      </w:tr>
    </w:tbl>
    <w:p>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创新设计内容相关设计图纸及文件，创新设计内容的分析论证报告</w:t>
            </w:r>
          </w:p>
        </w:tc>
        <w:tc>
          <w:tcPr>
            <w:tcW w:w="4494" w:type="dxa"/>
            <w:tcBorders>
              <w:top w:val="single" w:color="auto" w:sz="4" w:space="0"/>
              <w:left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创新内容及创新程度（例如新技术、新工艺、新装置、新材料或关键技术的集成创新等）、应用规模，难易复杂程度，及技术先进性（应有对国内外现状的综述与对比）；经济、社会、环境效益，发展前景与推广价值（如对推动行业技术进步、引导绿色建筑发展的作用）。</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p>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pPr>
              <w:spacing w:line="288" w:lineRule="auto"/>
            </w:pPr>
          </w:p>
        </w:tc>
      </w:tr>
    </w:tbl>
    <w:p>
      <w:pPr>
        <w:spacing w:line="360" w:lineRule="auto"/>
        <w:ind w:left="210" w:leftChars="100" w:firstLine="0" w:firstLineChars="0"/>
        <w:rPr>
          <w:rFonts w:hint="default" w:ascii="Times New Roman" w:hAnsi="Times New Roman" w:eastAsia="宋体" w:cs="Times New Roman"/>
          <w:bCs/>
          <w:color w:val="00000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7533A"/>
    <w:multiLevelType w:val="multilevel"/>
    <w:tmpl w:val="17C753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1915FC"/>
    <w:multiLevelType w:val="multilevel"/>
    <w:tmpl w:val="1C1915FC"/>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4730D3"/>
    <w:multiLevelType w:val="multilevel"/>
    <w:tmpl w:val="26473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3E234E"/>
    <w:multiLevelType w:val="multilevel"/>
    <w:tmpl w:val="323E234E"/>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A5E6E41"/>
    <w:multiLevelType w:val="multilevel"/>
    <w:tmpl w:val="3A5E6E41"/>
    <w:lvl w:ilvl="0" w:tentative="0">
      <w:start w:val="1"/>
      <w:numFmt w:val="decimal"/>
      <w:lvlText w:val="(%1)"/>
      <w:lvlJc w:val="left"/>
      <w:pPr>
        <w:ind w:left="3823"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E262B19"/>
    <w:multiLevelType w:val="singleLevel"/>
    <w:tmpl w:val="3E262B19"/>
    <w:lvl w:ilvl="0" w:tentative="0">
      <w:start w:val="3"/>
      <w:numFmt w:val="chineseCounting"/>
      <w:suff w:val="nothing"/>
      <w:lvlText w:val="%1、"/>
      <w:lvlJc w:val="left"/>
      <w:rPr>
        <w:rFonts w:hint="eastAsia"/>
      </w:rPr>
    </w:lvl>
  </w:abstractNum>
  <w:abstractNum w:abstractNumId="6">
    <w:nsid w:val="63F86B3D"/>
    <w:multiLevelType w:val="multilevel"/>
    <w:tmpl w:val="63F86B3D"/>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396A49"/>
    <w:multiLevelType w:val="multilevel"/>
    <w:tmpl w:val="75396A4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1"/>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M1ODZkNzliNjhlMjU4MjgwNTg2ZWRhOWEyZmIifQ=="/>
  </w:docVars>
  <w:rsids>
    <w:rsidRoot w:val="298A26AC"/>
    <w:rsid w:val="01072A9A"/>
    <w:rsid w:val="0210525F"/>
    <w:rsid w:val="09847CCB"/>
    <w:rsid w:val="0B7067E8"/>
    <w:rsid w:val="0C2D0F90"/>
    <w:rsid w:val="13AE72FE"/>
    <w:rsid w:val="148C530E"/>
    <w:rsid w:val="168006FC"/>
    <w:rsid w:val="17DF1ABC"/>
    <w:rsid w:val="17E025E3"/>
    <w:rsid w:val="1A337F38"/>
    <w:rsid w:val="1BD95979"/>
    <w:rsid w:val="1CD53D44"/>
    <w:rsid w:val="1D89111B"/>
    <w:rsid w:val="1F0E5AAE"/>
    <w:rsid w:val="216756D2"/>
    <w:rsid w:val="21B80E85"/>
    <w:rsid w:val="22E560CC"/>
    <w:rsid w:val="22F22342"/>
    <w:rsid w:val="24560D68"/>
    <w:rsid w:val="28CF3FD5"/>
    <w:rsid w:val="28FC0628"/>
    <w:rsid w:val="298A26AC"/>
    <w:rsid w:val="2B7E5D03"/>
    <w:rsid w:val="2E082B54"/>
    <w:rsid w:val="315B0E19"/>
    <w:rsid w:val="333239AA"/>
    <w:rsid w:val="339D4CCB"/>
    <w:rsid w:val="34A42367"/>
    <w:rsid w:val="34EC692A"/>
    <w:rsid w:val="389525AF"/>
    <w:rsid w:val="3B3D4A8B"/>
    <w:rsid w:val="3BDA765A"/>
    <w:rsid w:val="3CC24AAD"/>
    <w:rsid w:val="3DF571C4"/>
    <w:rsid w:val="42531E1E"/>
    <w:rsid w:val="45992C44"/>
    <w:rsid w:val="47702531"/>
    <w:rsid w:val="47E555D0"/>
    <w:rsid w:val="49BD2425"/>
    <w:rsid w:val="4E2F259A"/>
    <w:rsid w:val="4EA9190F"/>
    <w:rsid w:val="4F9B2945"/>
    <w:rsid w:val="519F276C"/>
    <w:rsid w:val="538D01EA"/>
    <w:rsid w:val="53DB3EAE"/>
    <w:rsid w:val="59EE2276"/>
    <w:rsid w:val="5AAD7921"/>
    <w:rsid w:val="5B3A01EC"/>
    <w:rsid w:val="5B72532C"/>
    <w:rsid w:val="5D0F7520"/>
    <w:rsid w:val="5D4061D4"/>
    <w:rsid w:val="649071AE"/>
    <w:rsid w:val="66057F30"/>
    <w:rsid w:val="66685EB4"/>
    <w:rsid w:val="6E03047A"/>
    <w:rsid w:val="6F953245"/>
    <w:rsid w:val="75A07AA8"/>
    <w:rsid w:val="7E7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24"/>
      <w:szCs w:val="44"/>
    </w:rPr>
  </w:style>
  <w:style w:type="paragraph" w:styleId="3">
    <w:name w:val="heading 2"/>
    <w:basedOn w:val="1"/>
    <w:next w:val="1"/>
    <w:unhideWhenUsed/>
    <w:qFormat/>
    <w:uiPriority w:val="9"/>
    <w:pPr>
      <w:keepNext/>
      <w:keepLines/>
      <w:spacing w:before="260" w:after="260" w:line="415" w:lineRule="auto"/>
      <w:ind w:firstLine="0" w:firstLineChars="0"/>
      <w:jc w:val="center"/>
      <w:outlineLvl w:val="1"/>
    </w:pPr>
    <w:rPr>
      <w:rFonts w:cstheme="majorBidi"/>
      <w:b/>
      <w:bCs/>
      <w:sz w:val="32"/>
      <w:szCs w:val="32"/>
    </w:rPr>
  </w:style>
  <w:style w:type="paragraph" w:styleId="4">
    <w:name w:val="heading 3"/>
    <w:basedOn w:val="1"/>
    <w:next w:val="1"/>
    <w:unhideWhenUsed/>
    <w:qFormat/>
    <w:uiPriority w:val="9"/>
    <w:pPr>
      <w:keepNext/>
      <w:keepLines/>
      <w:spacing w:before="260" w:after="260" w:line="415" w:lineRule="auto"/>
      <w:ind w:firstLine="0" w:firstLineChars="0"/>
      <w:jc w:val="center"/>
      <w:outlineLvl w:val="2"/>
    </w:pPr>
    <w:rPr>
      <w:b/>
      <w:bCs/>
      <w:sz w:val="32"/>
      <w:szCs w:val="32"/>
    </w:rPr>
  </w:style>
  <w:style w:type="paragraph" w:styleId="5">
    <w:name w:val="heading 4"/>
    <w:basedOn w:val="1"/>
    <w:next w:val="1"/>
    <w:unhideWhenUsed/>
    <w:qFormat/>
    <w:uiPriority w:val="9"/>
    <w:pPr>
      <w:keepNext/>
      <w:keepLines/>
      <w:ind w:firstLine="0" w:firstLineChars="0"/>
      <w:outlineLvl w:val="3"/>
    </w:pPr>
    <w:rPr>
      <w:rFonts w:cstheme="majorBidi"/>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line="400" w:lineRule="exact"/>
      <w:ind w:firstLine="480" w:firstLineChars="200"/>
    </w:pPr>
    <w:rPr>
      <w:rFonts w:ascii="微软雅黑" w:hAnsi="微软雅黑" w:eastAsia="微软雅黑"/>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2"/>
    <w:basedOn w:val="1"/>
    <w:qFormat/>
    <w:uiPriority w:val="0"/>
    <w:pPr>
      <w:ind w:firstLine="0" w:firstLineChars="0"/>
    </w:pPr>
    <w:rPr>
      <w:rFonts w:ascii="宋体" w:hAnsi="宋体"/>
      <w:b/>
      <w:color w:val="000000" w:themeColor="text1"/>
      <w:szCs w:val="24"/>
      <w14:textFill>
        <w14:solidFill>
          <w14:schemeClr w14:val="tx1"/>
        </w14:solidFill>
      </w14:textFill>
    </w:rPr>
  </w:style>
  <w:style w:type="paragraph" w:styleId="13">
    <w:name w:val="List Paragraph"/>
    <w:basedOn w:val="1"/>
    <w:qFormat/>
    <w:uiPriority w:val="34"/>
    <w:pPr>
      <w:ind w:firstLine="420" w:firstLineChars="200"/>
    </w:pPr>
    <w:rPr>
      <w:szCs w:val="21"/>
    </w:rPr>
  </w:style>
  <w:style w:type="paragraph" w:customStyle="1" w:styleId="14">
    <w:name w:val="条文"/>
    <w:basedOn w:val="1"/>
    <w:qFormat/>
    <w:uiPriority w:val="99"/>
    <w:pPr>
      <w:spacing w:line="300" w:lineRule="auto"/>
      <w:outlineLvl w:val="2"/>
    </w:pPr>
    <w:rPr>
      <w:kern w:val="0"/>
      <w:sz w:val="24"/>
    </w:rPr>
  </w:style>
  <w:style w:type="paragraph" w:customStyle="1" w:styleId="15">
    <w:name w:val="列出段落1"/>
    <w:basedOn w:val="1"/>
    <w:qFormat/>
    <w:uiPriority w:val="34"/>
    <w:pPr>
      <w:ind w:firstLine="420" w:firstLineChars="200"/>
    </w:pPr>
  </w:style>
  <w:style w:type="paragraph" w:customStyle="1" w:styleId="16">
    <w:name w:val="技术要点"/>
    <w:basedOn w:val="13"/>
    <w:qFormat/>
    <w:uiPriority w:val="0"/>
    <w:pPr>
      <w:spacing w:line="288" w:lineRule="auto"/>
      <w:ind w:left="790" w:firstLine="0" w:firstLineChars="0"/>
    </w:pPr>
    <w:rPr>
      <w:b/>
    </w:rPr>
  </w:style>
  <w:style w:type="table" w:customStyle="1" w:styleId="17">
    <w:name w:val="网格型4"/>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表格"/>
    <w:basedOn w:val="1"/>
    <w:qFormat/>
    <w:uiPriority w:val="0"/>
    <w:pPr>
      <w:ind w:firstLine="0" w:firstLineChars="0"/>
      <w:jc w:val="center"/>
    </w:pPr>
    <w:rPr>
      <w:b/>
    </w:rPr>
  </w:style>
  <w:style w:type="table" w:customStyle="1" w:styleId="21">
    <w:name w:val="网格型1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1、达标自评"/>
    <w:basedOn w:val="1"/>
    <w:qFormat/>
    <w:uiPriority w:val="0"/>
    <w:pPr>
      <w:spacing w:line="288" w:lineRule="auto"/>
      <w:ind w:left="420" w:hanging="420"/>
    </w:pPr>
    <w:rPr>
      <w:rFonts w:ascii="宋体" w:hAnsi="宋体"/>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223</Pages>
  <Words>73732</Words>
  <Characters>78045</Characters>
  <Lines>0</Lines>
  <Paragraphs>0</Paragraphs>
  <TotalTime>19</TotalTime>
  <ScaleCrop>false</ScaleCrop>
  <LinksUpToDate>false</LinksUpToDate>
  <CharactersWithSpaces>79742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2020-06-02T02:29:00Z</dcterms:created>
  <dc:creator>zxq</dc:creator>
  <cp:lastModifiedBy>ASUS</cp:lastModifiedBy>
  <dcterms:modified xsi:type="dcterms:W3CDTF">2023-08-04T08:53:20Z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C4498C9D37C145DAAAE1DB16D366F0B8</vt:lpwstr>
  </property>
</Properties>
</file>