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3" w:lineRule="auto"/>
        <w:rPr>
          <w:rFonts w:ascii="Arial"/>
          <w:sz w:val="21"/>
        </w:rPr>
      </w:pPr>
    </w:p>
    <w:p>
      <w:pPr>
        <w:spacing w:line="334" w:lineRule="auto"/>
        <w:rPr>
          <w:rFonts w:ascii="Arial"/>
          <w:sz w:val="21"/>
        </w:rPr>
      </w:pPr>
    </w:p>
    <w:p>
      <w:pPr>
        <w:spacing w:before="185" w:line="176" w:lineRule="auto"/>
        <w:ind w:left="216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重庆市规划和自然资源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局</w:t>
      </w:r>
    </w:p>
    <w:p>
      <w:pPr>
        <w:spacing w:before="2" w:line="175" w:lineRule="auto"/>
        <w:ind w:left="842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8"/>
          <w:sz w:val="43"/>
          <w:szCs w:val="43"/>
        </w:rPr>
        <w:t>关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于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印发《中心城区立体绿化住宅试点</w:t>
      </w:r>
    </w:p>
    <w:p>
      <w:pPr>
        <w:spacing w:line="215" w:lineRule="auto"/>
        <w:ind w:left="282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工作细则》的通知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133" w:line="244" w:lineRule="auto"/>
        <w:ind w:left="188" w:right="178" w:firstLine="2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5"/>
          <w:sz w:val="31"/>
          <w:szCs w:val="31"/>
        </w:rPr>
        <w:t>中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>心城区各区 (含两江新区、西部科学城重庆高新区) 规划自然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1"/>
          <w:sz w:val="31"/>
          <w:szCs w:val="31"/>
        </w:rPr>
        <w:t>资</w:t>
      </w:r>
      <w:r>
        <w:rPr>
          <w:rFonts w:ascii="微软雅黑" w:hAnsi="微软雅黑" w:eastAsia="微软雅黑" w:cs="微软雅黑"/>
          <w:spacing w:val="-19"/>
          <w:sz w:val="31"/>
          <w:szCs w:val="31"/>
        </w:rPr>
        <w:t>源局 ，  局属有关单位 ，  局机关有关处室 ，  有关单位：</w:t>
      </w:r>
    </w:p>
    <w:p>
      <w:pPr>
        <w:spacing w:before="4" w:line="248" w:lineRule="auto"/>
        <w:ind w:left="171" w:firstLine="65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为深入学习党的二十大精神，完整 、准确、全面贯彻</w:t>
      </w:r>
      <w:r>
        <w:rPr>
          <w:rFonts w:ascii="微软雅黑" w:hAnsi="微软雅黑" w:eastAsia="微软雅黑" w:cs="微软雅黑"/>
          <w:sz w:val="31"/>
          <w:szCs w:val="31"/>
        </w:rPr>
        <w:t xml:space="preserve">新发展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理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念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，坚持以人民为中心的发展思想，满足人民群众对美好生活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向往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，推进建设人民满意的高品质生活宜居地，提供多样化高质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量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住宅产品 ，落实《重庆市城市立体绿化鼓励办法》和《重庆市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碳达峰行动计划 ( </w:t>
      </w:r>
      <w:r>
        <w:rPr>
          <w:rFonts w:ascii="Times New Roman" w:hAnsi="Times New Roman" w:eastAsia="Times New Roman" w:cs="Times New Roman"/>
          <w:spacing w:val="-3"/>
          <w:sz w:val="31"/>
          <w:szCs w:val="31"/>
        </w:rPr>
        <w:t xml:space="preserve">2022—2025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年 )  》  ，  经重庆市规划和 自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然</w:t>
      </w:r>
      <w:r>
        <w:rPr>
          <w:rFonts w:ascii="微软雅黑" w:hAnsi="微软雅黑" w:eastAsia="微软雅黑" w:cs="微软雅黑"/>
          <w:sz w:val="31"/>
          <w:szCs w:val="31"/>
        </w:rPr>
        <w:t xml:space="preserve">资 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源局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2022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年第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39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次局党组会议研究同意，在中心城区推行立体</w:t>
      </w:r>
      <w:r>
        <w:rPr>
          <w:rFonts w:ascii="微软雅黑" w:hAnsi="微软雅黑" w:eastAsia="微软雅黑" w:cs="微软雅黑"/>
          <w:sz w:val="31"/>
          <w:szCs w:val="31"/>
        </w:rPr>
        <w:t xml:space="preserve">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绿化住宅试点工作。现将《中心城区立体绿化住</w:t>
      </w:r>
      <w:r>
        <w:rPr>
          <w:rFonts w:ascii="微软雅黑" w:hAnsi="微软雅黑" w:eastAsia="微软雅黑" w:cs="微软雅黑"/>
          <w:sz w:val="31"/>
          <w:szCs w:val="31"/>
        </w:rPr>
        <w:t xml:space="preserve">宅试点工作细则》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印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发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给你们 ，请结合实际认真贯彻落实。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33" w:line="244" w:lineRule="auto"/>
        <w:ind w:left="5265" w:right="903" w:hanging="47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重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庆市规划和自然资源局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11  </w:t>
      </w:r>
      <w:r>
        <w:rPr>
          <w:rFonts w:ascii="微软雅黑" w:hAnsi="微软雅黑" w:eastAsia="微软雅黑" w:cs="微软雅黑"/>
          <w:sz w:val="31"/>
          <w:szCs w:val="31"/>
        </w:rPr>
        <w:t>日</w:t>
      </w:r>
    </w:p>
    <w:p>
      <w:pPr>
        <w:sectPr>
          <w:pgSz w:w="11906" w:h="16839"/>
          <w:pgMar w:top="1431" w:right="1294" w:bottom="0" w:left="1428" w:header="0" w:footer="0" w:gutter="0"/>
          <w:cols w:space="720" w:num="1"/>
        </w:sectPr>
      </w:pPr>
      <w:bookmarkStart w:id="0" w:name="_GoBack"/>
      <w:bookmarkEnd w:id="0"/>
    </w:p>
    <w:p>
      <w:pPr>
        <w:spacing w:line="459" w:lineRule="auto"/>
        <w:rPr>
          <w:rFonts w:ascii="Arial"/>
          <w:sz w:val="21"/>
        </w:rPr>
      </w:pPr>
    </w:p>
    <w:p>
      <w:pPr>
        <w:spacing w:before="184" w:line="196" w:lineRule="auto"/>
        <w:ind w:left="179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1"/>
          <w:sz w:val="43"/>
          <w:szCs w:val="43"/>
        </w:rPr>
        <w:t>中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心城区立体绿化住宅试点</w:t>
      </w:r>
    </w:p>
    <w:p>
      <w:pPr>
        <w:spacing w:before="2" w:line="182" w:lineRule="auto"/>
        <w:ind w:left="3534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工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作细则</w:t>
      </w:r>
    </w:p>
    <w:p>
      <w:pPr>
        <w:spacing w:line="287" w:lineRule="auto"/>
        <w:rPr>
          <w:rFonts w:ascii="Arial"/>
          <w:sz w:val="21"/>
        </w:rPr>
      </w:pPr>
    </w:p>
    <w:p>
      <w:pPr>
        <w:spacing w:line="288" w:lineRule="auto"/>
        <w:rPr>
          <w:rFonts w:ascii="Arial"/>
          <w:sz w:val="21"/>
        </w:rPr>
      </w:pPr>
    </w:p>
    <w:p>
      <w:pPr>
        <w:spacing w:before="133" w:line="268" w:lineRule="auto"/>
        <w:ind w:right="12" w:firstLine="65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"/>
          <w:sz w:val="31"/>
          <w:szCs w:val="31"/>
        </w:rPr>
        <w:t>为深入学习党的二十大精神，完整 、准确、全面贯彻</w:t>
      </w:r>
      <w:r>
        <w:rPr>
          <w:rFonts w:ascii="微软雅黑" w:hAnsi="微软雅黑" w:eastAsia="微软雅黑" w:cs="微软雅黑"/>
          <w:sz w:val="31"/>
          <w:szCs w:val="31"/>
        </w:rPr>
        <w:t xml:space="preserve">新发展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理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念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，坚持以人民为中心的发展思想，满足人民群众对美好生活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的向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往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，鼓励节地效果更好、绿色性能更佳、居住品质更优的多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样化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住宅形态，根据《重庆市城乡规划条例》《重庆市城市规划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管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理技术规定》《重庆市城市立体绿化鼓励办法》 以及《重庆市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碳达峰行动计划 (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2022—2025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年 )  》等法规 、</w:t>
      </w:r>
      <w:r>
        <w:rPr>
          <w:rFonts w:ascii="微软雅黑" w:hAnsi="微软雅黑" w:eastAsia="微软雅黑" w:cs="微软雅黑"/>
          <w:sz w:val="31"/>
          <w:szCs w:val="31"/>
        </w:rPr>
        <w:t xml:space="preserve">文件要求 ，  并结 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合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工作实际 ，  制定本工作细则。</w:t>
      </w:r>
    </w:p>
    <w:p>
      <w:pPr>
        <w:spacing w:line="239" w:lineRule="auto"/>
        <w:ind w:left="647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21"/>
          <w:sz w:val="31"/>
          <w:szCs w:val="31"/>
        </w:rPr>
        <w:t>一</w:t>
      </w:r>
      <w:r>
        <w:rPr>
          <w:rFonts w:ascii="方正黑体_GBK" w:hAnsi="方正黑体_GBK" w:eastAsia="方正黑体_GBK" w:cs="方正黑体_GBK"/>
          <w:spacing w:val="-16"/>
          <w:sz w:val="31"/>
          <w:szCs w:val="31"/>
        </w:rPr>
        <w:t>、  指导思想</w:t>
      </w:r>
    </w:p>
    <w:p>
      <w:pPr>
        <w:spacing w:before="143" w:line="268" w:lineRule="auto"/>
        <w:ind w:left="2" w:firstLine="67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以习近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平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新时代中国特色社会主义思想为指导，全面贯彻落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实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习近平总书记对重庆作出的坚持“两点”定位 、“两地”“两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高”目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标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 ，坚定贯彻创新、协调 、绿色 、开放 、共享的新发展理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念 ，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深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入践行“适用 、经济、绿色 、美观”建筑方针 ，坚持人民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至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上、坚持守正创新、坚持问题导向，推动城乡建设绿色发展，建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设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人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民满意的高品质生活宜居地 ，加快建设山清水秀美丽之地。</w:t>
      </w:r>
    </w:p>
    <w:p>
      <w:pPr>
        <w:spacing w:before="2" w:line="238" w:lineRule="auto"/>
        <w:ind w:left="646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1"/>
          <w:sz w:val="31"/>
          <w:szCs w:val="31"/>
        </w:rPr>
        <w:t xml:space="preserve">二 </w:t>
      </w:r>
      <w:r>
        <w:rPr>
          <w:rFonts w:ascii="方正黑体_GBK" w:hAnsi="方正黑体_GBK" w:eastAsia="方正黑体_GBK" w:cs="方正黑体_GBK"/>
          <w:sz w:val="31"/>
          <w:szCs w:val="31"/>
        </w:rPr>
        <w:t>、定   义</w:t>
      </w:r>
    </w:p>
    <w:p>
      <w:pPr>
        <w:spacing w:before="149" w:line="273" w:lineRule="auto"/>
        <w:ind w:left="7" w:right="11" w:firstLine="6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立体绿化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住宅指结合重庆立体山水城市格局，通过屋顶绿化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设置绿化平台等方式，形成层叠错落的立体绿化空间形态，材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料和建造方式符合绿色建筑理念，且享有开敞式户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属庭院 、能够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有效提升居住品质的多高层住宅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</w:p>
    <w:p>
      <w:pPr>
        <w:sectPr>
          <w:footerReference r:id="rId5" w:type="default"/>
          <w:pgSz w:w="11906" w:h="16839"/>
          <w:pgMar w:top="1431" w:right="1461" w:bottom="1546" w:left="1599" w:header="0" w:footer="1264" w:gutter="0"/>
          <w:cols w:space="720" w:num="1"/>
        </w:sectPr>
      </w:pPr>
    </w:p>
    <w:p>
      <w:pPr>
        <w:spacing w:line="311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spacing w:before="114" w:line="238" w:lineRule="auto"/>
        <w:ind w:left="67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17"/>
          <w:sz w:val="31"/>
          <w:szCs w:val="31"/>
        </w:rPr>
        <w:t>三、  适用范围</w:t>
      </w:r>
    </w:p>
    <w:p>
      <w:pPr>
        <w:tabs>
          <w:tab w:val="left" w:pos="795"/>
        </w:tabs>
        <w:spacing w:before="149" w:line="268" w:lineRule="auto"/>
        <w:ind w:left="30" w:right="100" w:firstLine="61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 xml:space="preserve">( 一 ) </w:t>
      </w:r>
      <w:r>
        <w:rPr>
          <w:rFonts w:ascii="Times New Roman" w:hAnsi="Times New Roman" w:eastAsia="Times New Roman" w:cs="Times New Roman"/>
          <w:spacing w:val="-8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-5"/>
          <w:sz w:val="31"/>
          <w:szCs w:val="31"/>
        </w:rPr>
        <w:t>2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3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 xml:space="preserve">1 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日起 ，  通过“招 、拍 、挂”取得建设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用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地使用权，且规划条件函和土地出让合同中明确纳入试点有关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要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求的居住及商住 (住商) 混合用地项 目 ，适用本工作细则。</w:t>
      </w:r>
    </w:p>
    <w:p>
      <w:pPr>
        <w:tabs>
          <w:tab w:val="left" w:pos="795"/>
        </w:tabs>
        <w:spacing w:before="1" w:line="268" w:lineRule="auto"/>
        <w:ind w:left="20" w:right="97" w:firstLine="62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( 二 ) 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 xml:space="preserve">2021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  </w:t>
      </w:r>
      <w:r>
        <w:rPr>
          <w:rFonts w:ascii="微软雅黑" w:hAnsi="微软雅黑" w:eastAsia="微软雅黑" w:cs="微软雅黑"/>
          <w:sz w:val="31"/>
          <w:szCs w:val="31"/>
        </w:rPr>
        <w:t xml:space="preserve">日至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2022 </w:t>
      </w:r>
      <w:r>
        <w:rPr>
          <w:rFonts w:ascii="微软雅黑" w:hAnsi="微软雅黑" w:eastAsia="微软雅黑" w:cs="微软雅黑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12 </w:t>
      </w:r>
      <w:r>
        <w:rPr>
          <w:rFonts w:ascii="微软雅黑" w:hAnsi="微软雅黑" w:eastAsia="微软雅黑" w:cs="微软雅黑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z w:val="31"/>
          <w:szCs w:val="31"/>
        </w:rPr>
        <w:t xml:space="preserve">31  </w:t>
      </w:r>
      <w:r>
        <w:rPr>
          <w:rFonts w:ascii="微软雅黑" w:hAnsi="微软雅黑" w:eastAsia="微软雅黑" w:cs="微软雅黑"/>
          <w:sz w:val="31"/>
          <w:szCs w:val="31"/>
        </w:rPr>
        <w:t xml:space="preserve">日取得建设用地 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>使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用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权的存量居住及商住 (住商) 混合用地项 目，可按程序提出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申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请。</w:t>
      </w:r>
    </w:p>
    <w:p>
      <w:pPr>
        <w:tabs>
          <w:tab w:val="left" w:pos="795"/>
        </w:tabs>
        <w:spacing w:line="267" w:lineRule="auto"/>
        <w:ind w:left="22" w:right="100" w:firstLine="61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 xml:space="preserve"> 三 ) 上述第 ( 二 ) 项中的项 目 ，  以土地出让合同对应的宗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地为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单位，存在住宅已销售或部分销售情形的，整个项目均不适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用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本工作细则。</w:t>
      </w:r>
    </w:p>
    <w:p>
      <w:pPr>
        <w:spacing w:before="1" w:line="236" w:lineRule="auto"/>
        <w:ind w:left="687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24"/>
          <w:sz w:val="31"/>
          <w:szCs w:val="31"/>
        </w:rPr>
        <w:t>四</w:t>
      </w:r>
      <w:r>
        <w:rPr>
          <w:rFonts w:ascii="方正黑体_GBK" w:hAnsi="方正黑体_GBK" w:eastAsia="方正黑体_GBK" w:cs="方正黑体_GBK"/>
          <w:spacing w:val="-18"/>
          <w:sz w:val="31"/>
          <w:szCs w:val="31"/>
        </w:rPr>
        <w:t>、  管理要求</w:t>
      </w:r>
    </w:p>
    <w:p>
      <w:pPr>
        <w:tabs>
          <w:tab w:val="left" w:pos="795"/>
        </w:tabs>
        <w:spacing w:before="153" w:line="268" w:lineRule="auto"/>
        <w:ind w:left="25" w:firstLine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( 四 )立体绿化住宅应为</w:t>
      </w:r>
      <w:r>
        <w:rPr>
          <w:rFonts w:ascii="Times New Roman" w:hAnsi="Times New Roman" w:eastAsia="Times New Roman" w:cs="Times New Roman"/>
          <w:spacing w:val="17"/>
          <w:sz w:val="31"/>
          <w:szCs w:val="31"/>
        </w:rPr>
        <w:t xml:space="preserve">4 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层及以上的平层(非跃层)户型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除绿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化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平台以外的户型套内面积在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110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平方米及以上的，每户可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设置 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1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处绿化平台用于打造开敞式户属立体绿化庭院。绿化平台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符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合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以下要求的 ，  可不计算容积率：</w:t>
      </w:r>
    </w:p>
    <w:p>
      <w:pPr>
        <w:spacing w:line="207" w:lineRule="auto"/>
        <w:ind w:left="68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8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投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影面积不超过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50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平方米。</w:t>
      </w:r>
    </w:p>
    <w:p>
      <w:pPr>
        <w:spacing w:before="133" w:line="207" w:lineRule="auto"/>
        <w:ind w:left="656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．  通过结构降板设置下沉土</w:t>
      </w:r>
      <w:r>
        <w:rPr>
          <w:rFonts w:ascii="微软雅黑" w:hAnsi="微软雅黑" w:eastAsia="微软雅黑" w:cs="微软雅黑"/>
          <w:sz w:val="31"/>
          <w:szCs w:val="31"/>
        </w:rPr>
        <w:t xml:space="preserve">池 ，  种植覆土厚度不小于 </w:t>
      </w:r>
      <w:r>
        <w:rPr>
          <w:rFonts w:ascii="Times New Roman" w:hAnsi="Times New Roman" w:eastAsia="Times New Roman" w:cs="Times New Roman"/>
          <w:sz w:val="31"/>
          <w:szCs w:val="31"/>
        </w:rPr>
        <w:t>0.5</w:t>
      </w:r>
    </w:p>
    <w:p>
      <w:pPr>
        <w:spacing w:before="137" w:line="207" w:lineRule="auto"/>
        <w:ind w:left="3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6"/>
          <w:sz w:val="31"/>
          <w:szCs w:val="31"/>
        </w:rPr>
        <w:t>米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 xml:space="preserve"> ，  并设有灌溉、排水系统。</w:t>
      </w:r>
    </w:p>
    <w:p>
      <w:pPr>
        <w:tabs>
          <w:tab w:val="left" w:pos="155"/>
        </w:tabs>
        <w:spacing w:before="136" w:line="268" w:lineRule="auto"/>
        <w:ind w:right="97" w:firstLine="66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 xml:space="preserve">  绿化平台高度 (下层绿化平台地坪标高到上层绿化平台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 xml:space="preserve">(或雨棚) 地坪标高) 应为 </w:t>
      </w:r>
      <w:r>
        <w:rPr>
          <w:rFonts w:ascii="Times New Roman" w:hAnsi="Times New Roman" w:eastAsia="Times New Roman" w:cs="Times New Roman"/>
          <w:spacing w:val="14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个及以上住宅自然层，绿化平台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进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深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应不大于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6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米。</w:t>
      </w:r>
    </w:p>
    <w:p>
      <w:pPr>
        <w:spacing w:line="202" w:lineRule="auto"/>
        <w:ind w:left="65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Times New Roman" w:hAnsi="Times New Roman" w:eastAsia="Times New Roman" w:cs="Times New Roman"/>
          <w:spacing w:val="12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 xml:space="preserve">． </w:t>
      </w:r>
      <w:r>
        <w:rPr>
          <w:rFonts w:ascii="微软雅黑" w:hAnsi="微软雅黑" w:eastAsia="微软雅黑" w:cs="微软雅黑"/>
          <w:spacing w:val="1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四周应有不少于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 xml:space="preserve">2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个完整的开敞面 (或开敞面不少于周</w:t>
      </w:r>
    </w:p>
    <w:p>
      <w:pPr>
        <w:sectPr>
          <w:footerReference r:id="rId6" w:type="default"/>
          <w:pgSz w:w="11906" w:h="16839"/>
          <w:pgMar w:top="1431" w:right="1375" w:bottom="1546" w:left="1577" w:header="0" w:footer="1266" w:gutter="0"/>
          <w:cols w:space="720" w:num="1"/>
        </w:sectPr>
      </w:pPr>
    </w:p>
    <w:p>
      <w:pPr>
        <w:spacing w:line="282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33" w:line="275" w:lineRule="auto"/>
        <w:ind w:left="6" w:right="1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长的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>50%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) ，且至少有 一个完整的长边为开敞面。开敞面不得设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>置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围护墙体，仅可设置通透栏杆 (板) 。相邻套型 、单元、楼栋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通过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绿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化平台进行拼接的 ，拼接面不能视为开敞面。</w:t>
      </w:r>
    </w:p>
    <w:p>
      <w:pPr>
        <w:tabs>
          <w:tab w:val="left" w:pos="773"/>
        </w:tabs>
        <w:spacing w:line="268" w:lineRule="auto"/>
        <w:ind w:left="41" w:right="119" w:firstLine="57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6"/>
          <w:sz w:val="31"/>
          <w:szCs w:val="31"/>
        </w:rPr>
        <w:t xml:space="preserve">( </w:t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五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 ) 每户绿化平台、阳台 (含生活阳台) 、露台 、设备平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台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等非户内空间总投影面积不得大于套内面积的 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40%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。</w:t>
      </w:r>
    </w:p>
    <w:p>
      <w:pPr>
        <w:tabs>
          <w:tab w:val="left" w:pos="773"/>
        </w:tabs>
        <w:spacing w:before="5" w:line="267" w:lineRule="auto"/>
        <w:ind w:left="12" w:right="23" w:firstLine="60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( 六 ) 鼓励每层 (含首层) 设置适当面积的多户共享开敞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绿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化平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台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，层高可为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个自然层，其他符合上述第( 四 )项要求的，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可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不计算容积率。</w:t>
      </w:r>
    </w:p>
    <w:p>
      <w:pPr>
        <w:tabs>
          <w:tab w:val="left" w:pos="773"/>
        </w:tabs>
        <w:spacing w:line="268" w:lineRule="auto"/>
        <w:ind w:left="12" w:firstLine="60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3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 七 )绿化平台应纳入建筑间距计算。平台外边缘与山墙面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齐平、或部分突出山墙面的，该侧平台外边缘可按照山墙退让间距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。</w:t>
      </w:r>
    </w:p>
    <w:p>
      <w:pPr>
        <w:tabs>
          <w:tab w:val="left" w:pos="773"/>
        </w:tabs>
        <w:spacing w:line="268" w:lineRule="auto"/>
        <w:ind w:left="6" w:right="121" w:firstLine="6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(八) 绿化平台应计入建筑密度。允许试点项目按《城市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居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 xml:space="preserve">住区规划设计标准》   ( </w:t>
      </w:r>
      <w:r>
        <w:rPr>
          <w:rFonts w:ascii="Times New Roman" w:hAnsi="Times New Roman" w:eastAsia="Times New Roman" w:cs="Times New Roman"/>
          <w:sz w:val="31"/>
          <w:szCs w:val="31"/>
        </w:rPr>
        <w:t>GB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50180-2018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) 适度提高建筑密度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。</w:t>
      </w:r>
    </w:p>
    <w:p>
      <w:pPr>
        <w:tabs>
          <w:tab w:val="left" w:pos="773"/>
        </w:tabs>
        <w:spacing w:line="202" w:lineRule="auto"/>
        <w:ind w:left="6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7"/>
          <w:sz w:val="31"/>
          <w:szCs w:val="31"/>
        </w:rPr>
        <w:t>九) 绿化平台应计入建筑面宽和进深尺寸。</w:t>
      </w:r>
    </w:p>
    <w:p>
      <w:pPr>
        <w:tabs>
          <w:tab w:val="left" w:pos="773"/>
        </w:tabs>
        <w:spacing w:before="147" w:line="202" w:lineRule="auto"/>
        <w:ind w:left="6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 xml:space="preserve"> 十 ) 绿化平台的面积不纳入项目配套设施计算基数。</w:t>
      </w:r>
    </w:p>
    <w:p>
      <w:pPr>
        <w:tabs>
          <w:tab w:val="left" w:pos="773"/>
        </w:tabs>
        <w:spacing w:before="145" w:line="268" w:lineRule="auto"/>
        <w:ind w:left="4" w:right="123" w:firstLine="61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( 十 一 ) 位于“两江四岸”头排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 、重要主干道两侧等景观敏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感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区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域，且《重庆市城市规划管理技术规定》、相关规划或辖区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政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府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明确提出设置封闭阳台、外立面公建化、坡屋面等风貌要求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的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，  不得规划布局立体绿化住宅。</w:t>
      </w:r>
    </w:p>
    <w:p>
      <w:pPr>
        <w:tabs>
          <w:tab w:val="left" w:pos="773"/>
        </w:tabs>
        <w:spacing w:before="1" w:line="268" w:lineRule="auto"/>
        <w:ind w:left="6" w:right="121" w:firstLine="6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(十二 )立体绿化住宅应为精装修交付标准，避免二次装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修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对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环境造成污染。鼓励采用被动式节能技术和智能化系统，鼓励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采用装配式建筑等绿色建造方式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。</w:t>
      </w:r>
    </w:p>
    <w:p>
      <w:pPr>
        <w:tabs>
          <w:tab w:val="left" w:pos="773"/>
        </w:tabs>
        <w:spacing w:line="202" w:lineRule="auto"/>
        <w:ind w:left="61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( 十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三) 对于上述第 ( 二 ) 项中的项 目，应在取得建设工程</w:t>
      </w:r>
    </w:p>
    <w:p>
      <w:pPr>
        <w:sectPr>
          <w:footerReference r:id="rId7" w:type="default"/>
          <w:pgSz w:w="11906" w:h="16839"/>
          <w:pgMar w:top="1431" w:right="1352" w:bottom="1546" w:left="1599" w:header="0" w:footer="1264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6" w:lineRule="auto"/>
        <w:rPr>
          <w:rFonts w:ascii="Arial"/>
          <w:sz w:val="21"/>
        </w:rPr>
      </w:pPr>
    </w:p>
    <w:p>
      <w:pPr>
        <w:spacing w:before="133" w:line="267" w:lineRule="auto"/>
        <w:ind w:left="31" w:right="100" w:firstLine="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8"/>
          <w:sz w:val="31"/>
          <w:szCs w:val="31"/>
        </w:rPr>
        <w:t>规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划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 xml:space="preserve">许可证后 </w:t>
      </w:r>
      <w:r>
        <w:rPr>
          <w:rFonts w:ascii="Times New Roman" w:hAnsi="Times New Roman" w:eastAsia="Times New Roman" w:cs="Times New Roman"/>
          <w:spacing w:val="4"/>
          <w:sz w:val="31"/>
          <w:szCs w:val="31"/>
        </w:rPr>
        <w:t xml:space="preserve">3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个月内开工建设。相关区规划自然资源局应将有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关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要求纳入建设工程规划许可证，并加强跟踪监督，对于逾期未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开工 的项 目 ，  应及时注销建设工程规划许可证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。</w:t>
      </w:r>
    </w:p>
    <w:p>
      <w:pPr>
        <w:spacing w:before="1" w:line="239" w:lineRule="auto"/>
        <w:ind w:left="666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19"/>
          <w:sz w:val="31"/>
          <w:szCs w:val="31"/>
        </w:rPr>
        <w:t>五</w:t>
      </w:r>
      <w:r>
        <w:rPr>
          <w:rFonts w:ascii="方正黑体_GBK" w:hAnsi="方正黑体_GBK" w:eastAsia="方正黑体_GBK" w:cs="方正黑体_GBK"/>
          <w:spacing w:val="-16"/>
          <w:sz w:val="31"/>
          <w:szCs w:val="31"/>
        </w:rPr>
        <w:t>、  办理程序</w:t>
      </w:r>
    </w:p>
    <w:p>
      <w:pPr>
        <w:tabs>
          <w:tab w:val="left" w:pos="155"/>
          <w:tab w:val="left" w:pos="795"/>
        </w:tabs>
        <w:spacing w:before="146" w:line="268" w:lineRule="auto"/>
        <w:ind w:right="100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( 十 四 )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2023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7"/>
          <w:sz w:val="31"/>
          <w:szCs w:val="31"/>
        </w:rPr>
        <w:t xml:space="preserve">1 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日后新出让土地项 目 。  区规划 自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然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资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源局结合规划指标综合论证认为合理的，报项目所在地区政府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管委会) 同意后 ，由所在区规划自然资源局将项目试点有关要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求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>纳入规划条件函。在土地价值评估时，应在评估报告中明确试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点工作对土地价值的提升情况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。</w:t>
      </w:r>
    </w:p>
    <w:p>
      <w:pPr>
        <w:tabs>
          <w:tab w:val="left" w:pos="795"/>
        </w:tabs>
        <w:spacing w:before="3" w:line="267" w:lineRule="auto"/>
        <w:ind w:left="25" w:right="97" w:firstLine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( 十五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)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2021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 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日至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2022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年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12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 xml:space="preserve">31 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日 已取得建设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用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地使用权的存量项 目，建设项 目 由区规划自然资源局报所在地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4"/>
          <w:sz w:val="31"/>
          <w:szCs w:val="31"/>
        </w:rPr>
        <w:t>区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政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府 (管委会) 同意试点后，建设单位按程序向规划自然资源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部</w:t>
      </w:r>
      <w:r>
        <w:rPr>
          <w:rFonts w:ascii="微软雅黑" w:hAnsi="微软雅黑" w:eastAsia="微软雅黑" w:cs="微软雅黑"/>
          <w:spacing w:val="8"/>
          <w:sz w:val="31"/>
          <w:szCs w:val="31"/>
        </w:rPr>
        <w:t>门申请办理相关规划许可手续。</w:t>
      </w:r>
    </w:p>
    <w:p>
      <w:pPr>
        <w:spacing w:line="461" w:lineRule="exact"/>
        <w:ind w:left="668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10"/>
          <w:position w:val="3"/>
          <w:sz w:val="31"/>
          <w:szCs w:val="31"/>
        </w:rPr>
        <w:t>六</w:t>
      </w:r>
      <w:r>
        <w:rPr>
          <w:rFonts w:ascii="方正黑体_GBK" w:hAnsi="方正黑体_GBK" w:eastAsia="方正黑体_GBK" w:cs="方正黑体_GBK"/>
          <w:spacing w:val="7"/>
          <w:position w:val="3"/>
          <w:sz w:val="31"/>
          <w:szCs w:val="31"/>
        </w:rPr>
        <w:t>、加强后期监管</w:t>
      </w:r>
    </w:p>
    <w:p>
      <w:pPr>
        <w:tabs>
          <w:tab w:val="left" w:pos="795"/>
        </w:tabs>
        <w:spacing w:before="137" w:line="268" w:lineRule="auto"/>
        <w:ind w:left="25" w:firstLine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14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2"/>
          <w:sz w:val="31"/>
          <w:szCs w:val="31"/>
        </w:rPr>
        <w:t>十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六)试点项目办理规划手续时，建设单位应提交承诺书，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 xml:space="preserve">承诺建设项 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目 的绿化平台、绿化屋面与主体建筑统一规划、整体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设计 、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同步实施 、同步验收，承诺将绿化平台的用途及后期维护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相关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义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务纳入房屋销售合同 ，合同中明确不得私搭乱建违章建筑。</w:t>
      </w:r>
    </w:p>
    <w:p>
      <w:pPr>
        <w:tabs>
          <w:tab w:val="left" w:pos="795"/>
        </w:tabs>
        <w:spacing w:before="4" w:line="273" w:lineRule="auto"/>
        <w:ind w:left="25" w:right="97" w:firstLine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21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 xml:space="preserve"> 十七) 区规划自然资源局报所在地区政府 (管委会) 同意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试点项 目 时 ，应报请辖区政府 ( 管委会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) 同意：  由辖区政府 (管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 xml:space="preserve">委会)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负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责把关试点项 目，从风貌管理、社会稳定等方面综合研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判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，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对于可能存在风险的，应提前做好风险防控预案；及时化解</w:t>
      </w:r>
    </w:p>
    <w:p>
      <w:pPr>
        <w:sectPr>
          <w:footerReference r:id="rId8" w:type="default"/>
          <w:pgSz w:w="11906" w:h="16839"/>
          <w:pgMar w:top="1431" w:right="1375" w:bottom="1544" w:left="1577" w:header="0" w:footer="1266" w:gutter="0"/>
          <w:cols w:space="720" w:num="1"/>
        </w:sectPr>
      </w:pPr>
    </w:p>
    <w:p>
      <w:pPr>
        <w:spacing w:line="306" w:lineRule="auto"/>
        <w:rPr>
          <w:rFonts w:ascii="Arial"/>
          <w:sz w:val="21"/>
        </w:rPr>
      </w:pPr>
    </w:p>
    <w:p>
      <w:pPr>
        <w:spacing w:line="307" w:lineRule="auto"/>
        <w:rPr>
          <w:rFonts w:ascii="Arial"/>
          <w:sz w:val="21"/>
        </w:rPr>
      </w:pPr>
    </w:p>
    <w:p>
      <w:pPr>
        <w:spacing w:before="133" w:line="267" w:lineRule="auto"/>
        <w:ind w:left="26" w:firstLine="4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因试点工作造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成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的相关稳定风险，包括周边业主或建设单位的利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益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诉求 ，以及后期因违法搭建引发的邻里矛盾等；  同时，应加大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违法建设行为惩治力度，对乱搭乱建 、改变用途等违法行为，</w:t>
      </w:r>
      <w:r>
        <w:rPr>
          <w:rFonts w:ascii="微软雅黑" w:hAnsi="微软雅黑" w:eastAsia="微软雅黑" w:cs="微软雅黑"/>
          <w:sz w:val="31"/>
          <w:szCs w:val="31"/>
        </w:rPr>
        <w:t xml:space="preserve">坚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决依法查处。</w:t>
      </w:r>
    </w:p>
    <w:p>
      <w:pPr>
        <w:spacing w:before="1" w:line="238" w:lineRule="auto"/>
        <w:ind w:left="663"/>
        <w:rPr>
          <w:rFonts w:ascii="方正黑体_GBK" w:hAnsi="方正黑体_GBK" w:eastAsia="方正黑体_GBK" w:cs="方正黑体_GBK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18"/>
          <w:sz w:val="31"/>
          <w:szCs w:val="31"/>
        </w:rPr>
        <w:t>七</w:t>
      </w:r>
      <w:r>
        <w:rPr>
          <w:rFonts w:ascii="方正黑体_GBK" w:hAnsi="方正黑体_GBK" w:eastAsia="方正黑体_GBK" w:cs="方正黑体_GBK"/>
          <w:spacing w:val="-17"/>
          <w:sz w:val="31"/>
          <w:szCs w:val="31"/>
        </w:rPr>
        <w:t xml:space="preserve"> 、  其   他</w:t>
      </w:r>
    </w:p>
    <w:p>
      <w:pPr>
        <w:tabs>
          <w:tab w:val="left" w:pos="795"/>
        </w:tabs>
        <w:spacing w:before="149" w:line="268" w:lineRule="auto"/>
        <w:ind w:left="46" w:right="45" w:firstLine="59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(十八) 本工作细则自 印发之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日起施行 ，  有效期至 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 xml:space="preserve">2024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年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 xml:space="preserve">12 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 xml:space="preserve">月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 xml:space="preserve">31  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 xml:space="preserve">日 ，  渝规资〔 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 xml:space="preserve">2022 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〕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 xml:space="preserve">725 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号同时废止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。</w:t>
      </w:r>
    </w:p>
    <w:p>
      <w:pPr>
        <w:tabs>
          <w:tab w:val="left" w:pos="155"/>
          <w:tab w:val="left" w:pos="795"/>
        </w:tabs>
        <w:spacing w:before="3" w:line="279" w:lineRule="auto"/>
        <w:ind w:right="2" w:firstLine="64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(十九)  中心城区以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外的区 (县) ，可结合工作实际 ，  由 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z w:val="31"/>
          <w:szCs w:val="31"/>
        </w:rPr>
        <w:tab/>
      </w:r>
      <w:r>
        <w:rPr>
          <w:rFonts w:ascii="微软雅黑" w:hAnsi="微软雅黑" w:eastAsia="微软雅黑" w:cs="微软雅黑"/>
          <w:spacing w:val="25"/>
          <w:sz w:val="31"/>
          <w:szCs w:val="31"/>
        </w:rPr>
        <w:t>(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县)政府参照本工作细则制定具体政策措施，在有限范围内适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5"/>
          <w:sz w:val="31"/>
          <w:szCs w:val="31"/>
        </w:rPr>
        <w:t>度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推行试点工作。</w:t>
      </w:r>
    </w:p>
    <w:sectPr>
      <w:footerReference r:id="rId9" w:type="default"/>
      <w:pgSz w:w="11906" w:h="16839"/>
      <w:pgMar w:top="1431" w:right="1473" w:bottom="1546" w:left="1577" w:header="0" w:footer="126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2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right="9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3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6" w:lineRule="auto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4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94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5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4" w:lineRule="auto"/>
      <w:ind w:left="22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z w:val="28"/>
        <w:szCs w:val="28"/>
      </w:rPr>
      <w:t>— 6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WViNDZjOWQ4NzI2OTg2MWUzYWMwZTZlZTdmNTE3YTcifQ=="/>
  </w:docVars>
  <w:rsids>
    <w:rsidRoot w:val="00000000"/>
    <w:rsid w:val="03A04148"/>
    <w:rsid w:val="6CA357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2474</Words>
  <Characters>2550</Characters>
  <TotalTime>34</TotalTime>
  <ScaleCrop>false</ScaleCrop>
  <LinksUpToDate>false</LinksUpToDate>
  <CharactersWithSpaces>2957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2023-02-23T11:28:00Z</dcterms:created>
  <dc:creator>AS</dc:creator>
  <cp:lastModifiedBy>cleon y</cp:lastModifiedBy>
  <dcterms:modified xsi:type="dcterms:W3CDTF">2023-07-17T12:03:34Z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2023-07-17T19:29:26Z</vt:filetime>
  </property>
  <property fmtid="{D5CDD505-2E9C-101B-9397-08002B2CF9AE}" pid="4" name="KSOProductBuildVer">
    <vt:lpwstr>2052-11.1.0.14309</vt:lpwstr>
  </property>
  <property fmtid="{D5CDD505-2E9C-101B-9397-08002B2CF9AE}" pid="5" name="ICV">
    <vt:lpwstr>2586B2BD1AED4767B60FA40C7220F08B_13</vt:lpwstr>
  </property>
</Properties>
</file>