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bidi w:val="0"/>
        <w:ind w:firstLine="880" w:firstLineChars="200"/>
        <w:textAlignment w:val="auto"/>
        <w:rPr>
          <w:rFonts w:ascii="黑体" w:hAnsi="黑体" w:cs="黑体"/>
        </w:rPr>
      </w:pPr>
      <w:bookmarkStart w:id="0" w:name="_GoBack"/>
      <w:bookmarkEnd w:id="0"/>
      <w:r>
        <w:rPr>
          <w:rFonts w:hint="eastAsia"/>
        </w:rPr>
        <w:t>第三章</w:t>
      </w:r>
      <w:r>
        <w:t xml:space="preserve"> </w:t>
      </w:r>
      <w:r>
        <w:rPr>
          <w:rFonts w:hint="eastAsia"/>
        </w:rPr>
        <w:t>评标办法</w:t>
      </w:r>
    </w:p>
    <w:p>
      <w:pPr>
        <w:keepNext w:val="0"/>
        <w:keepLines w:val="0"/>
        <w:pageBreakBefore w:val="0"/>
        <w:kinsoku/>
        <w:wordWrap/>
        <w:overflowPunct/>
        <w:topLinePunct w:val="0"/>
        <w:bidi w:val="0"/>
        <w:spacing w:line="360" w:lineRule="auto"/>
        <w:ind w:firstLine="560" w:firstLineChars="200"/>
        <w:jc w:val="left"/>
        <w:textAlignment w:val="auto"/>
        <w:outlineLvl w:val="1"/>
        <w:rPr>
          <w:rFonts w:hint="eastAsia" w:ascii="宋体" w:hAnsi="宋体"/>
          <w:b/>
        </w:rPr>
      </w:pPr>
      <w:r>
        <w:rPr>
          <w:sz w:val="28"/>
          <w:szCs w:val="28"/>
        </w:rPr>
        <w:sym w:font="Wingdings 2" w:char="00A3"/>
      </w:r>
      <w:r>
        <w:rPr>
          <w:rFonts w:hint="eastAsia" w:ascii="宋体" w:hAnsi="宋体"/>
          <w:b/>
        </w:rPr>
        <w:t>评标办法（一）</w:t>
      </w:r>
    </w:p>
    <w:p>
      <w:pPr>
        <w:keepNext w:val="0"/>
        <w:keepLines w:val="0"/>
        <w:pageBreakBefore w:val="0"/>
        <w:kinsoku/>
        <w:wordWrap/>
        <w:overflowPunct/>
        <w:topLinePunct w:val="0"/>
        <w:bidi w:val="0"/>
        <w:spacing w:line="360" w:lineRule="auto"/>
        <w:ind w:firstLine="421" w:firstLineChars="200"/>
        <w:jc w:val="center"/>
        <w:textAlignment w:val="auto"/>
        <w:outlineLvl w:val="1"/>
        <w:rPr>
          <w:rFonts w:hint="eastAsia" w:ascii="宋体" w:hAnsi="宋体"/>
          <w:b/>
        </w:rPr>
      </w:pPr>
      <w:r>
        <w:rPr>
          <w:rFonts w:hint="eastAsia" w:ascii="宋体" w:hAnsi="宋体"/>
          <w:b/>
        </w:rPr>
        <w:t>经评审的最低投标价法</w:t>
      </w:r>
    </w:p>
    <w:p>
      <w:pPr>
        <w:pStyle w:val="8"/>
        <w:rPr>
          <w:rFonts w:hint="eastAsia"/>
        </w:rPr>
      </w:pPr>
    </w:p>
    <w:p>
      <w:pPr>
        <w:keepNext w:val="0"/>
        <w:keepLines w:val="0"/>
        <w:pageBreakBefore w:val="0"/>
        <w:kinsoku/>
        <w:wordWrap/>
        <w:overflowPunct/>
        <w:topLinePunct w:val="0"/>
        <w:bidi w:val="0"/>
        <w:spacing w:line="360" w:lineRule="auto"/>
        <w:ind w:firstLine="420" w:firstLineChars="200"/>
        <w:jc w:val="both"/>
        <w:textAlignment w:val="auto"/>
        <w:rPr>
          <w:rFonts w:ascii="宋体" w:hAnsi="宋体" w:cs="宋体"/>
          <w:sz w:val="21"/>
          <w:szCs w:val="21"/>
          <w:lang w:val="zh-CN"/>
        </w:rPr>
      </w:pPr>
      <w:r>
        <w:rPr>
          <w:rFonts w:hint="eastAsia" w:ascii="宋体" w:hAnsi="宋体" w:cs="宋体"/>
          <w:sz w:val="21"/>
          <w:szCs w:val="21"/>
          <w:lang w:val="zh-CN"/>
        </w:rPr>
        <w:t>经评审的最低投标价法，适用于具有通用技术、性能标准或者招标人对其技术、性能没有特殊要求的一般</w:t>
      </w:r>
      <w:r>
        <w:rPr>
          <w:rFonts w:hint="eastAsia" w:ascii="宋体" w:hAnsi="宋体"/>
          <w:sz w:val="21"/>
          <w:szCs w:val="21"/>
        </w:rPr>
        <w:t>房屋建筑和市政基础设施工程</w:t>
      </w:r>
      <w:r>
        <w:rPr>
          <w:rFonts w:hint="eastAsia" w:ascii="宋体" w:hAnsi="宋体" w:cs="宋体"/>
          <w:sz w:val="21"/>
          <w:szCs w:val="21"/>
          <w:lang w:val="zh-CN"/>
        </w:rPr>
        <w:t>施工招标。评标应遵循公平、公正、科学、择优的原则。</w:t>
      </w:r>
    </w:p>
    <w:p>
      <w:pPr>
        <w:pStyle w:val="12"/>
        <w:keepNext w:val="0"/>
        <w:keepLines w:val="0"/>
        <w:pageBreakBefore w:val="0"/>
        <w:kinsoku/>
        <w:wordWrap/>
        <w:overflowPunct/>
        <w:topLinePunct w:val="0"/>
        <w:bidi w:val="0"/>
        <w:spacing w:line="360" w:lineRule="auto"/>
        <w:ind w:firstLine="420" w:firstLineChars="200"/>
        <w:jc w:val="both"/>
        <w:textAlignment w:val="auto"/>
        <w:rPr>
          <w:rFonts w:cs="宋体"/>
          <w:sz w:val="21"/>
          <w:szCs w:val="21"/>
        </w:rPr>
      </w:pPr>
      <w:r>
        <w:rPr>
          <w:rFonts w:hint="eastAsia" w:cs="宋体"/>
          <w:sz w:val="21"/>
          <w:szCs w:val="21"/>
        </w:rPr>
        <w:t>经评审的最低投标价法应先对投标人进行资格审查，</w:t>
      </w:r>
      <w:r>
        <w:rPr>
          <w:rFonts w:hint="eastAsia" w:cs="宋体"/>
          <w:sz w:val="21"/>
          <w:szCs w:val="21"/>
          <w:lang w:val="en-US"/>
        </w:rPr>
        <w:t>已</w:t>
      </w:r>
      <w:r>
        <w:rPr>
          <w:rFonts w:hint="eastAsia" w:cs="宋体"/>
          <w:sz w:val="21"/>
          <w:szCs w:val="21"/>
        </w:rPr>
        <w:t>通过资格审查的投标人</w:t>
      </w:r>
      <w:r>
        <w:rPr>
          <w:rFonts w:hint="eastAsia" w:cs="宋体"/>
          <w:sz w:val="21"/>
          <w:szCs w:val="21"/>
          <w:lang w:val="en-US"/>
        </w:rPr>
        <w:t>经过</w:t>
      </w:r>
      <w:r>
        <w:rPr>
          <w:rFonts w:hint="eastAsia" w:cs="宋体"/>
          <w:sz w:val="21"/>
          <w:szCs w:val="21"/>
        </w:rPr>
        <w:t>评审</w:t>
      </w:r>
      <w:r>
        <w:rPr>
          <w:rFonts w:hint="eastAsia" w:cs="宋体"/>
          <w:sz w:val="21"/>
          <w:szCs w:val="21"/>
          <w:lang w:val="en-US"/>
        </w:rPr>
        <w:t>区间确定</w:t>
      </w:r>
      <w:r>
        <w:rPr>
          <w:rFonts w:hint="eastAsia" w:cs="宋体"/>
          <w:sz w:val="21"/>
          <w:szCs w:val="21"/>
        </w:rPr>
        <w:t>、符合性评审、商务评审</w:t>
      </w:r>
      <w:r>
        <w:rPr>
          <w:rFonts w:hint="eastAsia" w:cs="宋体"/>
          <w:sz w:val="21"/>
          <w:szCs w:val="21"/>
          <w:lang w:val="en-US"/>
        </w:rPr>
        <w:t>的评标程序</w:t>
      </w:r>
      <w:r>
        <w:rPr>
          <w:rFonts w:hint="eastAsia" w:cs="宋体"/>
          <w:sz w:val="21"/>
          <w:szCs w:val="21"/>
        </w:rPr>
        <w:t>后报价最低的投标人推荐为中标候选人。</w:t>
      </w:r>
    </w:p>
    <w:p>
      <w:pPr>
        <w:pStyle w:val="12"/>
        <w:keepNext w:val="0"/>
        <w:keepLines w:val="0"/>
        <w:pageBreakBefore w:val="0"/>
        <w:kinsoku/>
        <w:wordWrap/>
        <w:overflowPunct/>
        <w:topLinePunct w:val="0"/>
        <w:bidi w:val="0"/>
        <w:adjustRightInd w:val="0"/>
        <w:snapToGrid w:val="0"/>
        <w:spacing w:line="360" w:lineRule="auto"/>
        <w:ind w:firstLine="420" w:firstLineChars="200"/>
        <w:jc w:val="both"/>
        <w:textAlignment w:val="auto"/>
        <w:rPr>
          <w:rFonts w:cs="宋体"/>
          <w:sz w:val="21"/>
          <w:szCs w:val="21"/>
          <w:u w:val="single"/>
        </w:rPr>
      </w:pPr>
      <w:r>
        <w:rPr>
          <w:rFonts w:hint="eastAsia" w:cs="宋体"/>
          <w:sz w:val="21"/>
          <w:szCs w:val="21"/>
        </w:rPr>
        <w:t>评标工作由招标人依法组建的评标委员会负责，评标委员会成员为</w:t>
      </w:r>
      <w:r>
        <w:rPr>
          <w:rFonts w:cs="宋体"/>
          <w:sz w:val="21"/>
          <w:szCs w:val="21"/>
          <w:u w:val="single"/>
        </w:rPr>
        <w:t xml:space="preserve">   （</w:t>
      </w:r>
      <w:r>
        <w:rPr>
          <w:rFonts w:hint="eastAsia" w:cs="宋体"/>
          <w:sz w:val="21"/>
          <w:szCs w:val="21"/>
          <w:u w:val="single"/>
          <w:lang w:val="en-US"/>
        </w:rPr>
        <w:t>应根据法律法规及相关文件要求填写</w:t>
      </w:r>
      <w:r>
        <w:rPr>
          <w:rFonts w:hint="eastAsia" w:cs="宋体"/>
          <w:sz w:val="21"/>
          <w:szCs w:val="21"/>
          <w:u w:val="single"/>
        </w:rPr>
        <w:t>）。</w:t>
      </w:r>
    </w:p>
    <w:p>
      <w:pPr>
        <w:pStyle w:val="12"/>
        <w:keepNext w:val="0"/>
        <w:keepLines w:val="0"/>
        <w:pageBreakBefore w:val="0"/>
        <w:kinsoku/>
        <w:wordWrap/>
        <w:overflowPunct/>
        <w:topLinePunct w:val="0"/>
        <w:bidi w:val="0"/>
        <w:spacing w:line="360" w:lineRule="auto"/>
        <w:ind w:firstLine="420" w:firstLineChars="200"/>
        <w:jc w:val="both"/>
        <w:textAlignment w:val="auto"/>
        <w:rPr>
          <w:rFonts w:cs="宋体"/>
          <w:sz w:val="21"/>
          <w:szCs w:val="21"/>
        </w:rPr>
      </w:pPr>
      <w:r>
        <w:rPr>
          <w:rFonts w:hint="eastAsia" w:cs="宋体"/>
          <w:sz w:val="21"/>
          <w:szCs w:val="21"/>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pStyle w:val="12"/>
        <w:spacing w:line="360" w:lineRule="auto"/>
        <w:ind w:firstLine="481" w:firstLineChars="200"/>
        <w:outlineLvl w:val="2"/>
        <w:rPr>
          <w:rFonts w:cs="宋体"/>
          <w:b/>
          <w:bCs/>
          <w:szCs w:val="24"/>
        </w:rPr>
      </w:pPr>
      <w:r>
        <w:rPr>
          <w:rFonts w:hint="eastAsia" w:cs="宋体"/>
          <w:b/>
          <w:bCs/>
          <w:szCs w:val="24"/>
        </w:rPr>
        <w:t>一、评标程序</w:t>
      </w:r>
    </w:p>
    <w:p>
      <w:pPr>
        <w:spacing w:line="360" w:lineRule="auto"/>
        <w:ind w:firstLine="420" w:firstLineChars="200"/>
        <w:jc w:val="both"/>
        <w:rPr>
          <w:rFonts w:hint="eastAsia" w:ascii="宋体" w:hAnsi="宋体" w:cs="宋体"/>
          <w:lang w:val="zh-CN"/>
        </w:rPr>
      </w:pPr>
      <w:r>
        <w:rPr>
          <w:rFonts w:hint="eastAsia" w:ascii="宋体" w:hAnsi="宋体" w:cs="宋体"/>
          <w:lang w:val="zh-CN"/>
        </w:rPr>
        <w:t>（一）资格审查</w:t>
      </w:r>
    </w:p>
    <w:p>
      <w:pPr>
        <w:spacing w:line="360" w:lineRule="auto"/>
        <w:ind w:firstLine="420" w:firstLineChars="200"/>
        <w:jc w:val="both"/>
        <w:rPr>
          <w:rFonts w:hint="eastAsia" w:ascii="宋体" w:hAnsi="宋体" w:cs="宋体"/>
        </w:rPr>
      </w:pPr>
      <w:r>
        <w:rPr>
          <w:rFonts w:hint="eastAsia" w:ascii="宋体" w:hAnsi="宋体" w:cs="宋体"/>
          <w:lang w:val="zh-CN"/>
        </w:rPr>
        <w:t>（二）</w:t>
      </w:r>
      <w:r>
        <w:rPr>
          <w:rFonts w:hint="eastAsia" w:ascii="宋体" w:hAnsi="宋体" w:cs="宋体"/>
        </w:rPr>
        <w:t>评审区间确定</w:t>
      </w:r>
    </w:p>
    <w:p>
      <w:pPr>
        <w:spacing w:line="360" w:lineRule="auto"/>
        <w:ind w:firstLine="420" w:firstLineChars="200"/>
        <w:jc w:val="both"/>
        <w:rPr>
          <w:rFonts w:hint="eastAsia" w:ascii="宋体" w:hAnsi="宋体" w:cs="宋体"/>
          <w:lang w:val="zh-CN"/>
        </w:rPr>
      </w:pPr>
      <w:r>
        <w:rPr>
          <w:rFonts w:hint="eastAsia" w:ascii="宋体" w:hAnsi="宋体" w:cs="宋体"/>
          <w:lang w:val="zh-CN"/>
        </w:rPr>
        <w:t>（三）</w:t>
      </w:r>
      <w:r>
        <w:rPr>
          <w:rFonts w:hint="eastAsia" w:ascii="宋体" w:hAnsi="宋体" w:cs="宋体"/>
          <w:color w:val="auto"/>
          <w:lang w:val="zh-CN"/>
        </w:rPr>
        <w:t>综合评审</w:t>
      </w:r>
    </w:p>
    <w:p>
      <w:pPr>
        <w:spacing w:line="360" w:lineRule="auto"/>
        <w:ind w:firstLine="420" w:firstLineChars="200"/>
        <w:jc w:val="both"/>
        <w:rPr>
          <w:rFonts w:hint="eastAsia" w:ascii="宋体" w:hAnsi="宋体" w:cs="宋体"/>
          <w:lang w:val="zh-CN"/>
        </w:rPr>
      </w:pPr>
      <w:r>
        <w:rPr>
          <w:rFonts w:hint="eastAsia" w:ascii="宋体" w:hAnsi="宋体" w:cs="宋体"/>
          <w:lang w:val="zh-CN"/>
        </w:rPr>
        <w:t>（</w:t>
      </w:r>
      <w:r>
        <w:rPr>
          <w:rFonts w:hint="eastAsia" w:ascii="宋体" w:hAnsi="宋体" w:cs="宋体"/>
        </w:rPr>
        <w:t>四</w:t>
      </w:r>
      <w:r>
        <w:rPr>
          <w:rFonts w:hint="eastAsia" w:ascii="宋体" w:hAnsi="宋体" w:cs="宋体"/>
          <w:lang w:val="zh-CN"/>
        </w:rPr>
        <w:t>）推荐中标候选人</w:t>
      </w:r>
    </w:p>
    <w:p>
      <w:pPr>
        <w:pStyle w:val="12"/>
        <w:spacing w:line="360" w:lineRule="auto"/>
        <w:ind w:firstLine="481" w:firstLineChars="200"/>
        <w:outlineLvl w:val="2"/>
        <w:rPr>
          <w:rFonts w:hint="eastAsia" w:eastAsia="宋体" w:cs="宋体"/>
          <w:b/>
          <w:bCs/>
          <w:szCs w:val="24"/>
        </w:rPr>
      </w:pPr>
      <w:r>
        <w:rPr>
          <w:rFonts w:hint="eastAsia" w:eastAsia="宋体" w:cs="宋体"/>
          <w:b/>
          <w:bCs/>
          <w:szCs w:val="24"/>
        </w:rPr>
        <w:t>二、资格审查</w:t>
      </w:r>
    </w:p>
    <w:p>
      <w:pPr>
        <w:pStyle w:val="12"/>
        <w:spacing w:line="360" w:lineRule="auto"/>
        <w:ind w:firstLine="420" w:firstLineChars="200"/>
        <w:rPr>
          <w:rFonts w:hint="eastAsia" w:cs="宋体"/>
          <w:color w:val="C00000"/>
          <w:sz w:val="21"/>
          <w:szCs w:val="21"/>
          <w:lang w:val="en-US"/>
        </w:rPr>
      </w:pPr>
      <w:r>
        <w:rPr>
          <w:rFonts w:hint="eastAsia" w:cs="宋体"/>
          <w:sz w:val="21"/>
          <w:szCs w:val="21"/>
          <w:lang w:val="en-US"/>
        </w:rPr>
        <w:t>评标委员会通过招投标平台系统对投标人的资格审查资料中涉及“</w:t>
      </w:r>
      <w:r>
        <w:rPr>
          <w:rFonts w:hint="eastAsia" w:ascii="Times New Roman"/>
          <w:sz w:val="21"/>
          <w:szCs w:val="21"/>
          <w:lang w:val="en-US"/>
        </w:rPr>
        <w:t>企业营业执照、资质证书、安全许可证</w:t>
      </w:r>
      <w:r>
        <w:rPr>
          <w:rFonts w:hint="eastAsia" w:cs="宋体"/>
          <w:sz w:val="21"/>
          <w:szCs w:val="21"/>
          <w:lang w:val="en-US"/>
        </w:rPr>
        <w:t>”进行核对，投标人投标文件中上述资料未通过系统平台企业诚信库导入或存在投标须知前附表10.5情形之一的，评标委员会组织投标人询问核实后，情况属实的，资格审查不予通过，否决其投标。</w:t>
      </w:r>
      <w:r>
        <w:rPr>
          <w:rFonts w:hint="eastAsia" w:cs="宋体"/>
          <w:color w:val="auto"/>
          <w:sz w:val="21"/>
          <w:szCs w:val="21"/>
          <w:lang w:val="en-US"/>
        </w:rPr>
        <w:t>评标委员会核查投标人投标保证金递交情况，投标人未按招标文件要求递交投标保证金的，评标委员会组织投标人询问核实后，情况属实的，资格审查不予通过，否决其投标。</w:t>
      </w:r>
    </w:p>
    <w:p>
      <w:pPr>
        <w:pStyle w:val="12"/>
        <w:spacing w:line="360" w:lineRule="auto"/>
        <w:ind w:firstLine="481" w:firstLineChars="200"/>
        <w:outlineLvl w:val="2"/>
        <w:rPr>
          <w:rFonts w:hint="eastAsia" w:eastAsia="宋体" w:cs="宋体"/>
          <w:b/>
          <w:bCs/>
          <w:szCs w:val="24"/>
          <w:lang w:val="en-US"/>
        </w:rPr>
      </w:pPr>
      <w:r>
        <w:rPr>
          <w:rFonts w:hint="eastAsia" w:eastAsia="宋体" w:cs="宋体"/>
          <w:b/>
          <w:bCs/>
          <w:szCs w:val="24"/>
          <w:lang w:val="en-US" w:eastAsia="zh-CN"/>
        </w:rPr>
        <w:t>三、</w:t>
      </w:r>
      <w:r>
        <w:rPr>
          <w:rFonts w:hint="eastAsia" w:eastAsia="宋体" w:cs="宋体"/>
          <w:b/>
          <w:bCs/>
          <w:szCs w:val="24"/>
          <w:lang w:val="en-US"/>
        </w:rPr>
        <w:t>评审区间确定</w:t>
      </w:r>
    </w:p>
    <w:p>
      <w:pPr>
        <w:pStyle w:val="12"/>
        <w:spacing w:line="360" w:lineRule="auto"/>
        <w:ind w:firstLine="420" w:firstLineChars="200"/>
        <w:rPr>
          <w:rFonts w:hint="eastAsia"/>
          <w:sz w:val="21"/>
          <w:szCs w:val="21"/>
          <w:lang w:val="en-US"/>
        </w:rPr>
      </w:pPr>
      <w:r>
        <w:rPr>
          <w:rFonts w:hint="eastAsia"/>
          <w:sz w:val="21"/>
          <w:szCs w:val="21"/>
          <w:lang w:val="en-US"/>
        </w:rPr>
        <w:t>（一）为防止投标人恶意低价竞标</w:t>
      </w:r>
      <w:r>
        <w:rPr>
          <w:rFonts w:hint="eastAsia"/>
          <w:sz w:val="21"/>
          <w:szCs w:val="21"/>
        </w:rPr>
        <w:t>，</w:t>
      </w:r>
      <w:r>
        <w:rPr>
          <w:rFonts w:hint="eastAsia"/>
          <w:sz w:val="21"/>
          <w:szCs w:val="21"/>
          <w:lang w:val="en-US"/>
        </w:rPr>
        <w:t>招标人应在招标文件中明确合理的评审区间，评审区间下限按如下原则确定：（1）招标人可组织专家会议评审确定相关项目的评审区间下限；（2）</w:t>
      </w:r>
      <w:r>
        <w:rPr>
          <w:rFonts w:hint="eastAsia"/>
          <w:sz w:val="21"/>
          <w:szCs w:val="21"/>
          <w:u w:val="single"/>
          <w:lang w:val="en-US"/>
        </w:rPr>
        <w:t>（其他）     。</w:t>
      </w:r>
      <w:r>
        <w:rPr>
          <w:rFonts w:hint="eastAsia"/>
          <w:sz w:val="21"/>
          <w:szCs w:val="21"/>
          <w:lang w:val="en-US"/>
        </w:rPr>
        <w:t>本项目招标人依据上述第（</w:t>
      </w:r>
      <w:r>
        <w:rPr>
          <w:rFonts w:hint="eastAsia"/>
          <w:sz w:val="21"/>
          <w:szCs w:val="21"/>
          <w:u w:val="single"/>
          <w:lang w:val="en-US"/>
        </w:rPr>
        <w:t xml:space="preserve">  </w:t>
      </w:r>
      <w:r>
        <w:rPr>
          <w:rFonts w:hint="eastAsia"/>
          <w:sz w:val="21"/>
          <w:szCs w:val="21"/>
          <w:lang w:val="en-US"/>
        </w:rPr>
        <w:t>）条原则确定的评审区间下限为：</w:t>
      </w:r>
      <w:r>
        <w:rPr>
          <w:rFonts w:hint="eastAsia"/>
          <w:sz w:val="21"/>
          <w:szCs w:val="21"/>
          <w:u w:val="single"/>
          <w:lang w:val="en-US"/>
        </w:rPr>
        <w:t xml:space="preserve">        </w:t>
      </w:r>
      <w:r>
        <w:rPr>
          <w:rFonts w:hint="eastAsia"/>
          <w:sz w:val="21"/>
          <w:szCs w:val="21"/>
          <w:lang w:val="en-US"/>
        </w:rPr>
        <w:t xml:space="preserve"> 万元。</w:t>
      </w:r>
    </w:p>
    <w:p>
      <w:pPr>
        <w:pStyle w:val="12"/>
        <w:spacing w:line="360" w:lineRule="auto"/>
        <w:ind w:firstLine="420" w:firstLineChars="200"/>
        <w:rPr>
          <w:sz w:val="21"/>
          <w:szCs w:val="21"/>
        </w:rPr>
      </w:pPr>
      <w:r>
        <w:rPr>
          <w:rFonts w:hint="eastAsia"/>
          <w:sz w:val="21"/>
          <w:szCs w:val="21"/>
          <w:lang w:val="en-US"/>
        </w:rPr>
        <w:t>（二）评审区间入围单位按如下原则确定：（1）</w:t>
      </w:r>
      <w:r>
        <w:rPr>
          <w:sz w:val="21"/>
          <w:szCs w:val="21"/>
        </w:rPr>
        <w:t>评标委员会</w:t>
      </w:r>
      <w:r>
        <w:rPr>
          <w:rFonts w:hint="eastAsia"/>
          <w:sz w:val="21"/>
          <w:szCs w:val="21"/>
          <w:lang w:val="en-US"/>
        </w:rPr>
        <w:t>对报价高于等于评审区间下限</w:t>
      </w:r>
      <w:r>
        <w:rPr>
          <w:sz w:val="21"/>
          <w:szCs w:val="21"/>
          <w:lang w:val="en-US"/>
        </w:rPr>
        <w:t>投标</w:t>
      </w:r>
      <w:r>
        <w:rPr>
          <w:sz w:val="21"/>
          <w:szCs w:val="21"/>
        </w:rPr>
        <w:t>报价由低到高</w:t>
      </w:r>
      <w:r>
        <w:rPr>
          <w:rFonts w:hint="eastAsia"/>
          <w:sz w:val="21"/>
          <w:szCs w:val="21"/>
          <w:lang w:val="en-US"/>
        </w:rPr>
        <w:t>的原则</w:t>
      </w:r>
      <w:r>
        <w:rPr>
          <w:sz w:val="21"/>
          <w:szCs w:val="21"/>
        </w:rPr>
        <w:t>依次进行排序。</w:t>
      </w:r>
      <w:r>
        <w:rPr>
          <w:rFonts w:hint="eastAsia"/>
          <w:sz w:val="21"/>
          <w:szCs w:val="21"/>
        </w:rPr>
        <w:t>（</w:t>
      </w:r>
      <w:r>
        <w:rPr>
          <w:rFonts w:hint="eastAsia"/>
          <w:sz w:val="21"/>
          <w:szCs w:val="21"/>
          <w:lang w:val="en-US"/>
        </w:rPr>
        <w:t>2</w:t>
      </w:r>
      <w:r>
        <w:rPr>
          <w:rFonts w:hint="eastAsia"/>
          <w:sz w:val="21"/>
          <w:szCs w:val="21"/>
        </w:rPr>
        <w:t>）</w:t>
      </w:r>
      <w:r>
        <w:rPr>
          <w:rFonts w:hint="eastAsia"/>
          <w:sz w:val="21"/>
          <w:szCs w:val="21"/>
          <w:lang w:val="en-US"/>
        </w:rPr>
        <w:t>当通过资格审查且报价不低于评审区间下限、不高于招标控制价的投标人（以下简称合格投标人）个数不足10家时，全部合格投标人进入评审入围单位。（3）当合格投标人个数超过10家时，按排序确定10家投标人为评审入围单位，当有多个投标人在排序10处并列时，并列的投标人同时进入评审入围单位。</w:t>
      </w:r>
    </w:p>
    <w:p>
      <w:pPr>
        <w:pStyle w:val="12"/>
        <w:spacing w:line="360" w:lineRule="auto"/>
        <w:ind w:firstLine="481" w:firstLineChars="200"/>
        <w:outlineLvl w:val="2"/>
        <w:rPr>
          <w:rFonts w:hint="eastAsia" w:eastAsia="宋体" w:cs="宋体"/>
          <w:b/>
          <w:bCs/>
          <w:szCs w:val="24"/>
          <w:lang w:val="en-US" w:eastAsia="zh-CN"/>
        </w:rPr>
      </w:pPr>
      <w:r>
        <w:rPr>
          <w:rFonts w:hint="eastAsia" w:eastAsia="宋体" w:cs="宋体"/>
          <w:b/>
          <w:bCs/>
          <w:szCs w:val="24"/>
          <w:lang w:val="en-US" w:eastAsia="zh-CN"/>
        </w:rPr>
        <w:t>四、综合评审</w:t>
      </w:r>
    </w:p>
    <w:p>
      <w:pPr>
        <w:pStyle w:val="12"/>
        <w:spacing w:line="360" w:lineRule="auto"/>
        <w:ind w:firstLine="420" w:firstLineChars="200"/>
        <w:outlineLvl w:val="9"/>
        <w:rPr>
          <w:rFonts w:hint="eastAsia" w:cs="宋体"/>
          <w:sz w:val="21"/>
          <w:szCs w:val="21"/>
          <w:lang w:val="en-US"/>
        </w:rPr>
      </w:pPr>
      <w:r>
        <w:rPr>
          <w:rFonts w:hint="eastAsia" w:cs="宋体"/>
          <w:sz w:val="21"/>
          <w:szCs w:val="21"/>
        </w:rPr>
        <w:t>综合评审是对通过</w:t>
      </w:r>
      <w:r>
        <w:rPr>
          <w:rFonts w:hint="eastAsia" w:cs="宋体"/>
          <w:sz w:val="21"/>
          <w:szCs w:val="21"/>
          <w:lang w:val="en-US"/>
        </w:rPr>
        <w:t>资格审查（平台系统核对）</w:t>
      </w:r>
      <w:r>
        <w:rPr>
          <w:rFonts w:hint="eastAsia" w:cs="宋体"/>
          <w:sz w:val="21"/>
          <w:szCs w:val="21"/>
        </w:rPr>
        <w:t>的</w:t>
      </w:r>
      <w:r>
        <w:rPr>
          <w:rFonts w:hint="eastAsia" w:cs="宋体"/>
          <w:sz w:val="21"/>
          <w:szCs w:val="21"/>
          <w:lang w:val="en-US"/>
        </w:rPr>
        <w:t>投标人投标文件其他内容的进行评审，投标人存在投标须知前附表10.5情形之一的，评标委员会组织投标人询问核实后，情况属实的，综合评审不予通过，否决其投标。</w:t>
      </w:r>
    </w:p>
    <w:p>
      <w:pPr>
        <w:pStyle w:val="12"/>
        <w:spacing w:line="360" w:lineRule="auto"/>
        <w:ind w:firstLine="481" w:firstLineChars="200"/>
        <w:outlineLvl w:val="2"/>
        <w:rPr>
          <w:rFonts w:cs="宋体"/>
          <w:b/>
          <w:bCs/>
          <w:szCs w:val="24"/>
        </w:rPr>
      </w:pPr>
      <w:r>
        <w:rPr>
          <w:rFonts w:hint="eastAsia" w:eastAsia="宋体" w:cs="宋体"/>
          <w:b/>
          <w:bCs/>
          <w:szCs w:val="24"/>
          <w:lang w:val="en-US" w:eastAsia="zh-CN"/>
        </w:rPr>
        <w:t>五、推荐中标候选人</w:t>
      </w:r>
    </w:p>
    <w:p>
      <w:pPr>
        <w:pStyle w:val="12"/>
        <w:spacing w:line="360" w:lineRule="auto"/>
        <w:ind w:firstLine="420" w:firstLineChars="200"/>
        <w:rPr>
          <w:rFonts w:hint="eastAsia"/>
          <w:sz w:val="21"/>
          <w:szCs w:val="21"/>
          <w:lang w:val="en-US"/>
        </w:rPr>
      </w:pPr>
      <w:r>
        <w:rPr>
          <w:rFonts w:hint="eastAsia"/>
          <w:sz w:val="21"/>
          <w:szCs w:val="21"/>
          <w:lang w:val="en-US"/>
        </w:rPr>
        <w:t>评标委员会对通</w:t>
      </w:r>
      <w:r>
        <w:rPr>
          <w:rFonts w:hint="eastAsia"/>
          <w:color w:val="auto"/>
          <w:sz w:val="21"/>
          <w:szCs w:val="21"/>
          <w:lang w:val="en-US"/>
        </w:rPr>
        <w:t>过</w:t>
      </w:r>
      <w:r>
        <w:rPr>
          <w:rFonts w:hint="eastAsia"/>
          <w:color w:val="auto"/>
          <w:sz w:val="21"/>
          <w:szCs w:val="21"/>
          <w:lang w:val="en-US" w:eastAsia="zh-CN"/>
        </w:rPr>
        <w:t>综合</w:t>
      </w:r>
      <w:r>
        <w:rPr>
          <w:rFonts w:hint="eastAsia"/>
          <w:color w:val="auto"/>
          <w:sz w:val="21"/>
          <w:szCs w:val="21"/>
          <w:lang w:val="en-US"/>
        </w:rPr>
        <w:t>评审的投</w:t>
      </w:r>
      <w:r>
        <w:rPr>
          <w:rFonts w:hint="eastAsia"/>
          <w:sz w:val="21"/>
          <w:szCs w:val="21"/>
          <w:lang w:val="en-US"/>
        </w:rPr>
        <w:t>标人按投标报价从低到高进行排序，并按照排序推荐中标候选人。如投标报价相同的</w:t>
      </w:r>
      <w:r>
        <w:rPr>
          <w:rFonts w:hint="eastAsia"/>
          <w:sz w:val="21"/>
          <w:szCs w:val="21"/>
          <w:u w:val="single"/>
          <w:lang w:val="en-US"/>
        </w:rPr>
        <w:t xml:space="preserve">  (在招标文件中明确确定方式)  </w:t>
      </w:r>
      <w:r>
        <w:rPr>
          <w:rFonts w:hint="eastAsia"/>
          <w:sz w:val="21"/>
          <w:szCs w:val="21"/>
          <w:lang w:val="en-US"/>
        </w:rPr>
        <w:t xml:space="preserve"> 。</w:t>
      </w:r>
    </w:p>
    <w:p>
      <w:pPr>
        <w:pStyle w:val="12"/>
        <w:spacing w:line="360" w:lineRule="auto"/>
        <w:ind w:firstLine="420" w:firstLineChars="200"/>
        <w:rPr>
          <w:rFonts w:hint="eastAsia"/>
          <w:sz w:val="21"/>
          <w:szCs w:val="21"/>
          <w:lang w:val="en-US"/>
        </w:rPr>
      </w:pPr>
      <w:r>
        <w:rPr>
          <w:rFonts w:hint="eastAsia"/>
          <w:sz w:val="21"/>
          <w:szCs w:val="21"/>
          <w:lang w:val="en-US"/>
        </w:rPr>
        <w:t>评标委员会对拟确定的推荐中标候选人和其拟派项目负责人，是否列入失信被执行人名单以及在本招标文件（招标公告）规定时间范围内是否有行贿犯罪记录进行查验。如查实存在行贿犯罪记录情况（以行贿罪判决为准）或被列入失信被执行人名单的，则取消其中标候选资格。</w:t>
      </w:r>
    </w:p>
    <w:p>
      <w:pPr>
        <w:pStyle w:val="8"/>
        <w:ind w:firstLine="420" w:firstLineChars="200"/>
        <w:rPr>
          <w:rFonts w:hint="eastAsia" w:ascii="宋体" w:hAnsi="宋体" w:eastAsia="宋体" w:cs="Times New Roman"/>
          <w:sz w:val="21"/>
          <w:szCs w:val="21"/>
          <w:lang w:val="en-US" w:eastAsia="zh-CN" w:bidi="ar-SA"/>
        </w:rPr>
        <w:sectPr>
          <w:footerReference r:id="rId3" w:type="default"/>
          <w:pgSz w:w="12240" w:h="15840"/>
          <w:pgMar w:top="1400" w:right="1043" w:bottom="1120" w:left="1720" w:header="0" w:footer="921" w:gutter="0"/>
          <w:cols w:space="720" w:num="1"/>
        </w:sectPr>
      </w:pPr>
      <w:r>
        <w:rPr>
          <w:rFonts w:hint="eastAsia" w:ascii="宋体" w:hAnsi="宋体" w:eastAsia="宋体" w:cs="Times New Roman"/>
          <w:sz w:val="21"/>
          <w:szCs w:val="21"/>
          <w:lang w:val="en-US" w:eastAsia="zh-CN" w:bidi="ar-SA"/>
        </w:rPr>
        <w:t>当有效投标人＜3家时，评标委员会应判定本次投标是否具有竞争力。若评标委员会认为本次投标明显缺乏竞争的，可以否决全部投标。</w:t>
      </w:r>
    </w:p>
    <w:p>
      <w:pPr>
        <w:rPr>
          <w:rFonts w:hint="eastAsia"/>
        </w:rPr>
      </w:pPr>
    </w:p>
    <w:p>
      <w:pPr>
        <w:snapToGrid w:val="0"/>
        <w:spacing w:line="360" w:lineRule="auto"/>
        <w:ind w:firstLine="560" w:firstLineChars="200"/>
        <w:jc w:val="both"/>
        <w:outlineLvl w:val="1"/>
        <w:rPr>
          <w:rFonts w:hint="eastAsia" w:ascii="宋体" w:hAnsi="宋体"/>
          <w:b/>
        </w:rPr>
      </w:pPr>
      <w:r>
        <w:rPr>
          <w:sz w:val="28"/>
          <w:szCs w:val="28"/>
        </w:rPr>
        <w:sym w:font="Wingdings 2" w:char="00A3"/>
      </w:r>
      <w:r>
        <w:rPr>
          <w:rFonts w:hint="eastAsia" w:ascii="宋体" w:hAnsi="宋体"/>
          <w:b/>
        </w:rPr>
        <w:t>评标办法（二）</w:t>
      </w:r>
    </w:p>
    <w:p>
      <w:pPr>
        <w:snapToGrid w:val="0"/>
        <w:spacing w:line="360" w:lineRule="auto"/>
        <w:ind w:firstLine="421" w:firstLineChars="200"/>
        <w:jc w:val="center"/>
        <w:outlineLvl w:val="1"/>
        <w:rPr>
          <w:rFonts w:hint="eastAsia" w:ascii="宋体" w:hAnsi="宋体" w:eastAsia="宋体"/>
          <w:b/>
          <w:lang w:eastAsia="zh-CN"/>
        </w:rPr>
      </w:pPr>
      <w:r>
        <w:rPr>
          <w:rFonts w:hint="eastAsia" w:ascii="宋体" w:hAnsi="宋体"/>
          <w:b/>
          <w:lang w:eastAsia="zh-CN"/>
        </w:rPr>
        <w:t>技术标通过制的</w:t>
      </w:r>
      <w:r>
        <w:rPr>
          <w:rFonts w:hint="eastAsia" w:ascii="宋体" w:hAnsi="宋体"/>
          <w:b/>
        </w:rPr>
        <w:t>综合评估法</w:t>
      </w:r>
      <w:r>
        <w:rPr>
          <w:rFonts w:hint="eastAsia" w:ascii="宋体" w:hAnsi="宋体"/>
          <w:b/>
          <w:lang w:eastAsia="zh-CN"/>
        </w:rPr>
        <w:t>（</w:t>
      </w:r>
      <w:r>
        <w:rPr>
          <w:rFonts w:hint="eastAsia" w:ascii="宋体" w:hAnsi="宋体"/>
          <w:b/>
          <w:lang w:val="en-US" w:eastAsia="zh-CN"/>
        </w:rPr>
        <w:t>a</w:t>
      </w:r>
      <w:r>
        <w:rPr>
          <w:rFonts w:hint="eastAsia" w:ascii="宋体" w:hAnsi="宋体"/>
          <w:b/>
          <w:lang w:eastAsia="zh-CN"/>
        </w:rPr>
        <w:t>）</w:t>
      </w:r>
    </w:p>
    <w:p>
      <w:pPr>
        <w:pStyle w:val="8"/>
        <w:rPr>
          <w:rFonts w:hint="eastAsia"/>
        </w:rPr>
      </w:pPr>
    </w:p>
    <w:p>
      <w:pPr>
        <w:snapToGrid w:val="0"/>
        <w:spacing w:line="360" w:lineRule="auto"/>
        <w:ind w:firstLine="420" w:firstLineChars="200"/>
        <w:rPr>
          <w:highlight w:val="none"/>
        </w:rPr>
      </w:pPr>
      <w:r>
        <w:rPr>
          <w:rFonts w:hint="eastAsia" w:ascii="宋体" w:hAnsi="宋体"/>
          <w:bCs/>
          <w:highlight w:val="none"/>
          <w:lang w:eastAsia="zh-CN"/>
        </w:rPr>
        <w:t>技术标通过制的综合评估法（a）</w:t>
      </w:r>
      <w:r>
        <w:rPr>
          <w:rFonts w:hint="eastAsia" w:ascii="宋体" w:hAnsi="宋体"/>
          <w:bCs/>
          <w:highlight w:val="none"/>
        </w:rPr>
        <w:t>，适用于</w:t>
      </w:r>
      <w:r>
        <w:rPr>
          <w:rFonts w:hint="eastAsia" w:ascii="宋体" w:hAnsi="宋体"/>
          <w:bCs/>
          <w:highlight w:val="none"/>
          <w:lang w:val="en-US" w:eastAsia="zh-CN"/>
        </w:rPr>
        <w:t>房屋建筑工程招标控制价3000万及以上，市政基础设施工程招标控制价1000万及以上的施工总承包项目</w:t>
      </w:r>
      <w:r>
        <w:rPr>
          <w:rFonts w:hint="eastAsia" w:ascii="宋体" w:hAnsi="宋体"/>
          <w:bCs/>
          <w:color w:val="auto"/>
          <w:highlight w:val="none"/>
        </w:rPr>
        <w:t>。评标应遵循</w:t>
      </w:r>
      <w:r>
        <w:rPr>
          <w:rFonts w:hint="eastAsia" w:ascii="宋体" w:hAnsi="宋体"/>
          <w:bCs/>
          <w:highlight w:val="none"/>
        </w:rPr>
        <w:t>公平、公正、科学、择优的原则。</w:t>
      </w:r>
    </w:p>
    <w:p>
      <w:pPr>
        <w:snapToGrid w:val="0"/>
        <w:spacing w:line="360" w:lineRule="auto"/>
        <w:ind w:firstLine="420" w:firstLineChars="200"/>
        <w:rPr>
          <w:rFonts w:hint="eastAsia" w:ascii="宋体" w:hAnsi="宋体"/>
          <w:bCs/>
          <w:color w:val="auto"/>
        </w:rPr>
      </w:pPr>
      <w:r>
        <w:rPr>
          <w:rFonts w:hint="eastAsia" w:ascii="宋体" w:hAnsi="宋体"/>
          <w:bCs/>
          <w:color w:val="auto"/>
          <w:lang w:eastAsia="zh-CN"/>
        </w:rPr>
        <w:t>技术标通过制的综合评估法（a）</w:t>
      </w:r>
      <w:r>
        <w:rPr>
          <w:rFonts w:hint="eastAsia" w:ascii="宋体" w:hAnsi="宋体"/>
          <w:bCs/>
          <w:color w:val="auto"/>
        </w:rPr>
        <w:t>应先对投标人进行资格审查，已通过资格审查的投标人报价按规定的方法进入评审区间，对评审区间内的投标人进行商务标评审、</w:t>
      </w:r>
      <w:r>
        <w:rPr>
          <w:rFonts w:hint="eastAsia" w:ascii="宋体" w:hAnsi="宋体"/>
          <w:bCs/>
          <w:color w:val="auto"/>
          <w:lang w:eastAsia="zh-CN"/>
        </w:rPr>
        <w:t>陈述</w:t>
      </w:r>
      <w:r>
        <w:rPr>
          <w:rFonts w:hint="eastAsia" w:ascii="宋体" w:hAnsi="宋体"/>
          <w:bCs/>
          <w:color w:val="auto"/>
          <w:highlight w:val="none"/>
          <w:lang w:eastAsia="zh-CN"/>
        </w:rPr>
        <w:t>答辩、</w:t>
      </w:r>
      <w:r>
        <w:rPr>
          <w:rFonts w:hint="eastAsia" w:ascii="宋体" w:hAnsi="宋体"/>
          <w:bCs/>
          <w:color w:val="auto"/>
          <w:highlight w:val="none"/>
          <w:lang w:val="en-US" w:eastAsia="zh-CN"/>
        </w:rPr>
        <w:t>资信</w:t>
      </w:r>
      <w:r>
        <w:rPr>
          <w:rFonts w:hint="eastAsia" w:ascii="宋体" w:hAnsi="宋体"/>
          <w:bCs/>
          <w:color w:val="auto"/>
          <w:highlight w:val="none"/>
        </w:rPr>
        <w:t>评审和综</w:t>
      </w:r>
      <w:r>
        <w:rPr>
          <w:rFonts w:hint="eastAsia" w:ascii="宋体" w:hAnsi="宋体"/>
          <w:bCs/>
          <w:color w:val="auto"/>
        </w:rPr>
        <w:t>合评审。</w:t>
      </w:r>
    </w:p>
    <w:p>
      <w:pPr>
        <w:snapToGrid w:val="0"/>
        <w:spacing w:line="360" w:lineRule="auto"/>
        <w:ind w:firstLine="420" w:firstLineChars="200"/>
        <w:rPr>
          <w:rFonts w:hint="default" w:ascii="宋体" w:hAnsi="宋体"/>
          <w:bCs/>
          <w:highlight w:val="none"/>
          <w:lang w:val="en-US" w:eastAsia="zh-CN"/>
        </w:rPr>
      </w:pPr>
      <w:r>
        <w:rPr>
          <w:rFonts w:hint="eastAsia" w:ascii="宋体" w:hAnsi="宋体"/>
          <w:bCs/>
          <w:highlight w:val="none"/>
          <w:lang w:val="en-US" w:eastAsia="zh-CN"/>
        </w:rPr>
        <w:t>总分=商务标评分92分+资信评分5分+答辩和陈述分3分</w:t>
      </w:r>
    </w:p>
    <w:p>
      <w:pPr>
        <w:snapToGrid w:val="0"/>
        <w:spacing w:line="360" w:lineRule="auto"/>
        <w:ind w:firstLine="420" w:firstLineChars="200"/>
        <w:rPr>
          <w:rFonts w:hint="eastAsia" w:ascii="宋体" w:hAnsi="宋体"/>
          <w:bCs/>
          <w:u w:val="single"/>
        </w:rPr>
      </w:pPr>
      <w:r>
        <w:rPr>
          <w:rFonts w:hint="eastAsia" w:ascii="宋体" w:hAnsi="宋体"/>
          <w:bCs/>
        </w:rPr>
        <w:t>评标工作由招标人依法组建的评标委员会负</w:t>
      </w:r>
      <w:r>
        <w:rPr>
          <w:rFonts w:hint="eastAsia" w:ascii="宋体" w:hAnsi="宋体"/>
          <w:bCs/>
          <w:highlight w:val="none"/>
        </w:rPr>
        <w:t>责，</w:t>
      </w:r>
      <w:r>
        <w:rPr>
          <w:rFonts w:hint="eastAsia" w:ascii="宋体" w:hAnsi="宋体"/>
          <w:b/>
          <w:bCs w:val="0"/>
          <w:highlight w:val="none"/>
        </w:rPr>
        <w:t>评标委员会设商务专家组和技术专家组</w:t>
      </w:r>
      <w:r>
        <w:rPr>
          <w:rFonts w:hint="eastAsia" w:ascii="宋体" w:hAnsi="宋体"/>
          <w:bCs/>
          <w:highlight w:val="none"/>
          <w:lang w:eastAsia="zh-CN"/>
        </w:rPr>
        <w:t>，陈述答辩环节</w:t>
      </w:r>
      <w:r>
        <w:rPr>
          <w:rFonts w:hint="eastAsia" w:ascii="宋体" w:hAnsi="宋体"/>
          <w:bCs/>
          <w:highlight w:val="none"/>
          <w:lang w:val="en-US" w:eastAsia="zh-CN"/>
        </w:rPr>
        <w:t>由技术专家组负责评审</w:t>
      </w:r>
      <w:r>
        <w:rPr>
          <w:rFonts w:hint="eastAsia" w:ascii="宋体" w:hAnsi="宋体"/>
          <w:bCs/>
          <w:highlight w:val="none"/>
          <w:lang w:eastAsia="zh-CN"/>
        </w:rPr>
        <w:t>，</w:t>
      </w:r>
      <w:r>
        <w:rPr>
          <w:rFonts w:hint="eastAsia" w:ascii="宋体" w:hAnsi="宋体"/>
          <w:bCs/>
          <w:highlight w:val="none"/>
          <w:lang w:val="en-US" w:eastAsia="zh-CN"/>
        </w:rPr>
        <w:t>评审小组如遇到有争议性的内容时，由评标委员会集体讨论决定。</w:t>
      </w:r>
      <w:r>
        <w:rPr>
          <w:rFonts w:hint="eastAsia" w:ascii="宋体" w:hAnsi="宋体"/>
          <w:bCs/>
        </w:rPr>
        <w:t>评标委员会成员为</w:t>
      </w:r>
      <w:r>
        <w:rPr>
          <w:rFonts w:hint="eastAsia" w:ascii="宋体" w:hAnsi="宋体"/>
          <w:bCs/>
          <w:u w:val="single"/>
        </w:rPr>
        <w:t xml:space="preserve">   （应根据法律法规及相关文件要求填写）。</w:t>
      </w:r>
    </w:p>
    <w:p>
      <w:pPr>
        <w:pStyle w:val="12"/>
        <w:tabs>
          <w:tab w:val="left" w:pos="9360"/>
        </w:tabs>
        <w:spacing w:line="360" w:lineRule="auto"/>
        <w:ind w:firstLine="420" w:firstLineChars="200"/>
        <w:rPr>
          <w:sz w:val="21"/>
          <w:szCs w:val="21"/>
        </w:rPr>
      </w:pPr>
      <w:r>
        <w:rPr>
          <w:rFonts w:hint="eastAsia" w:cs="宋体"/>
          <w:sz w:val="21"/>
          <w:szCs w:val="21"/>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snapToGrid w:val="0"/>
        <w:spacing w:line="360" w:lineRule="auto"/>
        <w:ind w:firstLine="421" w:firstLineChars="200"/>
        <w:outlineLvl w:val="2"/>
        <w:rPr>
          <w:rFonts w:ascii="宋体" w:hAnsi="宋体"/>
          <w:b/>
        </w:rPr>
      </w:pPr>
      <w:r>
        <w:rPr>
          <w:rFonts w:ascii="宋体" w:hAnsi="宋体"/>
          <w:b/>
        </w:rPr>
        <w:t>一、评标程序</w:t>
      </w:r>
    </w:p>
    <w:p>
      <w:pPr>
        <w:snapToGrid w:val="0"/>
        <w:spacing w:line="360" w:lineRule="auto"/>
        <w:ind w:firstLine="420" w:firstLineChars="200"/>
        <w:outlineLvl w:val="2"/>
        <w:rPr>
          <w:rFonts w:hint="eastAsia" w:ascii="宋体" w:hAnsi="宋体" w:eastAsia="宋体" w:cs="Times New Roman"/>
          <w:b w:val="0"/>
          <w:bCs/>
          <w:lang w:eastAsia="zh-CN"/>
        </w:rPr>
      </w:pPr>
      <w:r>
        <w:rPr>
          <w:rFonts w:hint="eastAsia" w:ascii="宋体" w:hAnsi="宋体" w:eastAsia="宋体" w:cs="Times New Roman"/>
          <w:b w:val="0"/>
          <w:bCs/>
        </w:rPr>
        <w:t>（一）资格审查</w:t>
      </w:r>
    </w:p>
    <w:p>
      <w:pPr>
        <w:snapToGrid w:val="0"/>
        <w:spacing w:line="360" w:lineRule="auto"/>
        <w:ind w:firstLine="420" w:firstLineChars="200"/>
        <w:outlineLvl w:val="2"/>
        <w:rPr>
          <w:rFonts w:hint="eastAsia" w:ascii="宋体" w:hAnsi="宋体" w:eastAsia="宋体" w:cs="Times New Roman"/>
          <w:b w:val="0"/>
          <w:bCs/>
        </w:rPr>
      </w:pPr>
      <w:r>
        <w:rPr>
          <w:rFonts w:hint="eastAsia" w:ascii="宋体" w:hAnsi="宋体" w:eastAsia="宋体" w:cs="Times New Roman"/>
          <w:b w:val="0"/>
          <w:bCs/>
          <w:lang w:val="zh-CN"/>
        </w:rPr>
        <w:t>（二）</w:t>
      </w:r>
      <w:r>
        <w:rPr>
          <w:rFonts w:hint="eastAsia" w:ascii="宋体" w:hAnsi="宋体" w:eastAsia="宋体" w:cs="Times New Roman"/>
          <w:b w:val="0"/>
          <w:bCs/>
        </w:rPr>
        <w:t>评审区间确定</w:t>
      </w:r>
    </w:p>
    <w:p>
      <w:pPr>
        <w:snapToGrid w:val="0"/>
        <w:spacing w:line="360" w:lineRule="auto"/>
        <w:ind w:firstLine="420" w:firstLineChars="200"/>
        <w:outlineLvl w:val="2"/>
        <w:rPr>
          <w:rFonts w:hint="eastAsia" w:ascii="宋体" w:hAnsi="宋体" w:eastAsia="宋体" w:cs="Times New Roman"/>
          <w:b w:val="0"/>
          <w:bCs/>
          <w:lang w:eastAsia="zh-CN"/>
        </w:rPr>
      </w:pPr>
      <w:r>
        <w:rPr>
          <w:rFonts w:hint="eastAsia" w:ascii="宋体" w:hAnsi="宋体" w:eastAsia="宋体" w:cs="Times New Roman"/>
          <w:b w:val="0"/>
          <w:bCs/>
        </w:rPr>
        <w:t>（三）商务标第一部分评审</w:t>
      </w:r>
      <w:r>
        <w:rPr>
          <w:rFonts w:hint="eastAsia" w:ascii="宋体" w:hAnsi="宋体" w:cs="Times New Roman"/>
          <w:b w:val="0"/>
          <w:bCs/>
          <w:lang w:eastAsia="zh-CN"/>
        </w:rPr>
        <w:t>（</w:t>
      </w:r>
      <w:r>
        <w:rPr>
          <w:rFonts w:hint="eastAsia" w:ascii="宋体" w:hAnsi="宋体" w:cs="Times New Roman"/>
          <w:b w:val="0"/>
          <w:bCs/>
          <w:lang w:val="en-US" w:eastAsia="zh-CN"/>
        </w:rPr>
        <w:t>商务专家组评审</w:t>
      </w:r>
      <w:r>
        <w:rPr>
          <w:rFonts w:hint="eastAsia" w:ascii="宋体" w:hAnsi="宋体" w:cs="Times New Roman"/>
          <w:b w:val="0"/>
          <w:bCs/>
          <w:lang w:eastAsia="zh-CN"/>
        </w:rPr>
        <w:t>）</w:t>
      </w:r>
    </w:p>
    <w:p>
      <w:pPr>
        <w:snapToGrid w:val="0"/>
        <w:spacing w:line="360" w:lineRule="auto"/>
        <w:ind w:firstLine="420" w:firstLineChars="200"/>
        <w:outlineLvl w:val="2"/>
        <w:rPr>
          <w:rFonts w:hint="eastAsia" w:ascii="宋体" w:hAnsi="宋体" w:eastAsia="宋体" w:cs="Times New Roman"/>
          <w:b w:val="0"/>
          <w:bCs/>
        </w:rPr>
      </w:pPr>
      <w:r>
        <w:rPr>
          <w:rFonts w:hint="eastAsia" w:ascii="宋体" w:hAnsi="宋体" w:eastAsia="宋体" w:cs="Times New Roman"/>
          <w:b w:val="0"/>
          <w:bCs/>
        </w:rPr>
        <w:t>（四）商务标第二部分评审</w:t>
      </w:r>
      <w:r>
        <w:rPr>
          <w:rFonts w:hint="eastAsia" w:ascii="宋体" w:hAnsi="宋体" w:cs="Times New Roman"/>
          <w:b w:val="0"/>
          <w:bCs/>
          <w:lang w:eastAsia="zh-CN"/>
        </w:rPr>
        <w:t>（</w:t>
      </w:r>
      <w:r>
        <w:rPr>
          <w:rFonts w:hint="eastAsia" w:ascii="宋体" w:hAnsi="宋体" w:cs="Times New Roman"/>
          <w:b w:val="0"/>
          <w:bCs/>
          <w:lang w:val="en-US" w:eastAsia="zh-CN"/>
        </w:rPr>
        <w:t>商务专家组评审</w:t>
      </w:r>
      <w:r>
        <w:rPr>
          <w:rFonts w:hint="eastAsia" w:ascii="宋体" w:hAnsi="宋体" w:cs="Times New Roman"/>
          <w:b w:val="0"/>
          <w:bCs/>
          <w:lang w:eastAsia="zh-CN"/>
        </w:rPr>
        <w:t>）</w:t>
      </w:r>
    </w:p>
    <w:p>
      <w:pPr>
        <w:snapToGrid w:val="0"/>
        <w:spacing w:line="360" w:lineRule="auto"/>
        <w:ind w:firstLine="420" w:firstLineChars="200"/>
        <w:outlineLvl w:val="2"/>
        <w:rPr>
          <w:rFonts w:hint="eastAsia" w:ascii="宋体" w:hAnsi="宋体" w:eastAsia="宋体" w:cs="Times New Roman"/>
          <w:b w:val="0"/>
          <w:bCs/>
        </w:rPr>
      </w:pPr>
      <w:r>
        <w:rPr>
          <w:rFonts w:hint="eastAsia" w:ascii="宋体" w:hAnsi="宋体" w:eastAsia="宋体" w:cs="Times New Roman"/>
          <w:b w:val="0"/>
          <w:bCs/>
        </w:rPr>
        <w:t>（五）</w:t>
      </w:r>
      <w:r>
        <w:rPr>
          <w:rFonts w:hint="eastAsia" w:ascii="宋体" w:hAnsi="宋体" w:eastAsia="宋体" w:cs="Times New Roman"/>
          <w:b w:val="0"/>
          <w:bCs/>
          <w:lang w:eastAsia="zh-CN"/>
        </w:rPr>
        <w:t>陈述和答辩（</w:t>
      </w:r>
      <w:r>
        <w:rPr>
          <w:rFonts w:hint="eastAsia" w:ascii="宋体" w:hAnsi="宋体" w:eastAsia="宋体" w:cs="Times New Roman"/>
          <w:b w:val="0"/>
          <w:bCs/>
          <w:lang w:val="en-US" w:eastAsia="zh-CN"/>
        </w:rPr>
        <w:t>与商务标同步进行评审</w:t>
      </w:r>
      <w:r>
        <w:rPr>
          <w:rFonts w:hint="eastAsia" w:ascii="宋体" w:hAnsi="宋体" w:cs="Times New Roman"/>
          <w:b w:val="0"/>
          <w:bCs/>
          <w:lang w:val="en-US" w:eastAsia="zh-CN"/>
        </w:rPr>
        <w:t>，技术专家组评审</w:t>
      </w:r>
      <w:r>
        <w:rPr>
          <w:rFonts w:hint="eastAsia" w:ascii="宋体" w:hAnsi="宋体" w:eastAsia="宋体" w:cs="Times New Roman"/>
          <w:b w:val="0"/>
          <w:bCs/>
          <w:lang w:eastAsia="zh-CN"/>
        </w:rPr>
        <w:t>）</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rPr>
        <w:t>（六）投标人</w:t>
      </w:r>
      <w:r>
        <w:rPr>
          <w:rFonts w:hint="eastAsia" w:ascii="宋体" w:hAnsi="宋体" w:cs="Times New Roman"/>
          <w:b w:val="0"/>
          <w:bCs/>
          <w:highlight w:val="none"/>
          <w:lang w:val="en-US" w:eastAsia="zh-CN"/>
        </w:rPr>
        <w:t>资</w:t>
      </w:r>
      <w:r>
        <w:rPr>
          <w:rFonts w:hint="eastAsia" w:ascii="宋体" w:hAnsi="宋体" w:eastAsia="宋体" w:cs="Times New Roman"/>
          <w:b w:val="0"/>
          <w:bCs/>
          <w:highlight w:val="none"/>
        </w:rPr>
        <w:t>信分评审</w:t>
      </w:r>
    </w:p>
    <w:p>
      <w:pPr>
        <w:snapToGrid w:val="0"/>
        <w:spacing w:line="360" w:lineRule="auto"/>
        <w:ind w:firstLine="420" w:firstLineChars="200"/>
        <w:outlineLvl w:val="2"/>
        <w:rPr>
          <w:rFonts w:hint="eastAsia" w:ascii="宋体" w:hAnsi="宋体" w:eastAsia="宋体" w:cs="Times New Roman"/>
          <w:b w:val="0"/>
          <w:bCs/>
        </w:rPr>
      </w:pPr>
      <w:r>
        <w:rPr>
          <w:rFonts w:hint="eastAsia" w:ascii="宋体" w:hAnsi="宋体" w:eastAsia="宋体" w:cs="Times New Roman"/>
          <w:b w:val="0"/>
          <w:bCs/>
        </w:rPr>
        <w:t>（七）综合评审</w:t>
      </w:r>
    </w:p>
    <w:p>
      <w:pPr>
        <w:snapToGrid w:val="0"/>
        <w:spacing w:line="360" w:lineRule="auto"/>
        <w:ind w:firstLine="420" w:firstLineChars="200"/>
        <w:outlineLvl w:val="2"/>
        <w:rPr>
          <w:rFonts w:hint="eastAsia" w:ascii="宋体" w:hAnsi="宋体" w:eastAsia="宋体" w:cs="Times New Roman"/>
          <w:b w:val="0"/>
          <w:bCs/>
        </w:rPr>
      </w:pPr>
      <w:r>
        <w:rPr>
          <w:rFonts w:hint="eastAsia" w:ascii="宋体" w:hAnsi="宋体" w:eastAsia="宋体" w:cs="Times New Roman"/>
          <w:b w:val="0"/>
          <w:bCs/>
        </w:rPr>
        <w:t>（八）推荐中标候选人</w:t>
      </w:r>
    </w:p>
    <w:p>
      <w:pPr>
        <w:snapToGrid w:val="0"/>
        <w:spacing w:line="360" w:lineRule="auto"/>
        <w:ind w:firstLine="421" w:firstLineChars="200"/>
        <w:outlineLvl w:val="2"/>
        <w:rPr>
          <w:rFonts w:hint="eastAsia" w:ascii="宋体" w:hAnsi="宋体" w:eastAsia="宋体" w:cs="Times New Roman"/>
          <w:b/>
        </w:rPr>
      </w:pPr>
      <w:r>
        <w:rPr>
          <w:rFonts w:hint="eastAsia" w:ascii="宋体" w:hAnsi="宋体" w:eastAsia="宋体" w:cs="Times New Roman"/>
          <w:b/>
        </w:rPr>
        <w:t>二、资格审查</w:t>
      </w:r>
    </w:p>
    <w:p>
      <w:pPr>
        <w:snapToGrid w:val="0"/>
        <w:spacing w:line="360" w:lineRule="auto"/>
        <w:ind w:firstLine="420" w:firstLineChars="200"/>
        <w:outlineLvl w:val="2"/>
        <w:rPr>
          <w:rFonts w:hint="eastAsia" w:cs="宋体"/>
          <w:szCs w:val="24"/>
          <w:highlight w:val="white"/>
          <w:lang w:val="en-US"/>
        </w:rPr>
      </w:pPr>
      <w:r>
        <w:rPr>
          <w:rFonts w:hint="eastAsia" w:cs="宋体"/>
          <w:szCs w:val="24"/>
          <w:highlight w:val="white"/>
          <w:lang w:val="en-US"/>
        </w:rPr>
        <w:t>评标委员会通过招投标平台系统对投标人的资格审查资料中涉及“</w:t>
      </w:r>
      <w:r>
        <w:rPr>
          <w:rFonts w:hint="eastAsia" w:ascii="Times New Roman"/>
          <w:szCs w:val="24"/>
          <w:highlight w:val="white"/>
          <w:lang w:val="en-US"/>
        </w:rPr>
        <w:t>企业营业执照、资质证书、安全许可证</w:t>
      </w:r>
      <w:r>
        <w:rPr>
          <w:rFonts w:hint="eastAsia" w:cs="宋体"/>
          <w:szCs w:val="24"/>
          <w:highlight w:val="white"/>
          <w:lang w:val="en-US"/>
        </w:rPr>
        <w:t>”进行核对，投标人投标文件中上述资料未通过系统平台企业诚信库导入或存在投标须知前附表10.5情形(资格审查内容)的，评标委员会组织投标人询问核实后，情况属实的，资格审查不予通过，否决其投标。评标委员会核查投标人投标保证金递交情况，投标人未按招标文件要求递交投标保证金的，评标委员会组织投标人询问核实后，情况属实的，资格审查不予通过，否决其投标。</w:t>
      </w:r>
    </w:p>
    <w:p>
      <w:pPr>
        <w:snapToGrid w:val="0"/>
        <w:spacing w:line="360" w:lineRule="auto"/>
        <w:ind w:firstLine="421" w:firstLineChars="200"/>
        <w:outlineLvl w:val="2"/>
        <w:rPr>
          <w:rFonts w:ascii="宋体" w:hAnsi="宋体" w:eastAsia="宋体" w:cs="Times New Roman"/>
          <w:b/>
          <w:lang w:val="en-US"/>
        </w:rPr>
      </w:pPr>
      <w:r>
        <w:rPr>
          <w:rFonts w:hint="eastAsia" w:ascii="宋体" w:hAnsi="宋体" w:eastAsia="宋体" w:cs="Times New Roman"/>
          <w:b/>
          <w:lang w:val="en-US"/>
        </w:rPr>
        <w:t>三、评审区间确定</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1、异常报价的确定</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1.1投标报价高于招标控制价</w:t>
      </w:r>
      <w:r>
        <w:rPr>
          <w:rFonts w:hint="eastAsia" w:cs="宋体"/>
          <w:color w:val="auto"/>
          <w:sz w:val="21"/>
          <w:szCs w:val="21"/>
          <w:lang w:val="en-US" w:eastAsia="zh-CN"/>
        </w:rPr>
        <w:t>（1-n%）</w:t>
      </w:r>
      <w:r>
        <w:rPr>
          <w:rFonts w:hint="eastAsia" w:cs="宋体"/>
          <w:color w:val="auto"/>
          <w:sz w:val="21"/>
          <w:szCs w:val="21"/>
          <w:lang w:val="en-US"/>
        </w:rPr>
        <w:t>的报价为异常报价</w:t>
      </w:r>
      <w:r>
        <w:rPr>
          <w:rFonts w:hint="eastAsia" w:cs="宋体"/>
          <w:color w:val="auto"/>
          <w:sz w:val="21"/>
          <w:szCs w:val="21"/>
          <w:lang w:val="en-US" w:eastAsia="zh-CN"/>
        </w:rPr>
        <w:t>，n值为</w:t>
      </w:r>
      <w:r>
        <w:rPr>
          <w:rFonts w:hint="eastAsia" w:cs="宋体"/>
          <w:color w:val="auto"/>
          <w:sz w:val="21"/>
          <w:szCs w:val="21"/>
          <w:lang w:val="en-US"/>
        </w:rPr>
        <w:t>（</w:t>
      </w:r>
      <w:r>
        <w:rPr>
          <w:rFonts w:hint="eastAsia" w:cs="宋体"/>
          <w:color w:val="auto"/>
          <w:sz w:val="21"/>
          <w:szCs w:val="21"/>
          <w:u w:val="single"/>
          <w:lang w:val="en-US"/>
        </w:rPr>
        <w:t xml:space="preserve">   </w:t>
      </w:r>
      <w:r>
        <w:rPr>
          <w:rFonts w:hint="eastAsia" w:cs="宋体"/>
          <w:color w:val="auto"/>
          <w:sz w:val="21"/>
          <w:szCs w:val="21"/>
          <w:lang w:val="en-US"/>
        </w:rPr>
        <w:t>）。</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1.2投标报价低</w:t>
      </w:r>
      <w:r>
        <w:rPr>
          <w:rFonts w:hint="eastAsia" w:cs="宋体"/>
          <w:color w:val="auto"/>
          <w:sz w:val="21"/>
          <w:szCs w:val="21"/>
          <w:highlight w:val="none"/>
          <w:lang w:val="en-US"/>
        </w:rPr>
        <w:t>于招标控制价m%</w:t>
      </w:r>
      <w:r>
        <w:rPr>
          <w:rFonts w:hint="eastAsia" w:cs="宋体"/>
          <w:color w:val="auto"/>
          <w:sz w:val="21"/>
          <w:szCs w:val="21"/>
          <w:lang w:val="en-US"/>
        </w:rPr>
        <w:t>的报价为异常报价，m值为（</w:t>
      </w:r>
      <w:r>
        <w:rPr>
          <w:rFonts w:hint="eastAsia" w:cs="宋体"/>
          <w:color w:val="auto"/>
          <w:sz w:val="21"/>
          <w:szCs w:val="21"/>
          <w:u w:val="single"/>
          <w:lang w:val="en-US"/>
        </w:rPr>
        <w:t xml:space="preserve">   </w:t>
      </w:r>
      <w:r>
        <w:rPr>
          <w:rFonts w:hint="eastAsia" w:cs="宋体"/>
          <w:color w:val="auto"/>
          <w:sz w:val="21"/>
          <w:szCs w:val="21"/>
          <w:lang w:val="en-US"/>
        </w:rPr>
        <w:t>）。</w:t>
      </w:r>
    </w:p>
    <w:p>
      <w:pPr>
        <w:pStyle w:val="12"/>
        <w:tabs>
          <w:tab w:val="left" w:pos="9360"/>
        </w:tabs>
        <w:spacing w:line="360" w:lineRule="auto"/>
        <w:ind w:firstLine="420" w:firstLineChars="200"/>
        <w:rPr>
          <w:rFonts w:hint="eastAsia" w:cs="宋体"/>
          <w:color w:val="auto"/>
          <w:szCs w:val="24"/>
          <w:lang w:val="en-US"/>
        </w:rPr>
      </w:pPr>
      <w:r>
        <w:rPr>
          <w:rFonts w:hint="eastAsia" w:cs="宋体"/>
          <w:color w:val="auto"/>
          <w:sz w:val="21"/>
          <w:szCs w:val="21"/>
          <w:lang w:val="en-US"/>
        </w:rPr>
        <w:t>（</w:t>
      </w:r>
      <w:r>
        <w:rPr>
          <w:rFonts w:hint="eastAsia" w:cs="宋体"/>
          <w:color w:val="auto"/>
          <w:sz w:val="21"/>
          <w:szCs w:val="21"/>
          <w:lang w:val="en-US" w:eastAsia="zh-CN"/>
        </w:rPr>
        <w:t>n值应为3-5的整数，</w:t>
      </w:r>
      <w:r>
        <w:rPr>
          <w:rFonts w:hint="eastAsia" w:cs="宋体"/>
          <w:color w:val="auto"/>
          <w:sz w:val="21"/>
          <w:szCs w:val="21"/>
          <w:lang w:val="en-US"/>
        </w:rPr>
        <w:t>m值应为</w:t>
      </w:r>
      <w:r>
        <w:rPr>
          <w:rFonts w:hint="eastAsia" w:cs="宋体"/>
          <w:color w:val="auto"/>
          <w:sz w:val="21"/>
          <w:szCs w:val="21"/>
          <w:highlight w:val="none"/>
          <w:lang w:val="en-US" w:eastAsia="zh-CN"/>
        </w:rPr>
        <w:t>80</w:t>
      </w:r>
      <w:r>
        <w:rPr>
          <w:rFonts w:hint="eastAsia" w:cs="宋体"/>
          <w:color w:val="auto"/>
          <w:sz w:val="21"/>
          <w:szCs w:val="21"/>
          <w:highlight w:val="none"/>
          <w:lang w:val="en-US"/>
        </w:rPr>
        <w:t>-</w:t>
      </w:r>
      <w:r>
        <w:rPr>
          <w:rFonts w:hint="eastAsia" w:cs="宋体"/>
          <w:color w:val="auto"/>
          <w:sz w:val="21"/>
          <w:szCs w:val="21"/>
          <w:highlight w:val="none"/>
          <w:lang w:val="en-US" w:eastAsia="zh-CN"/>
        </w:rPr>
        <w:t>85</w:t>
      </w:r>
      <w:r>
        <w:rPr>
          <w:rFonts w:hint="eastAsia" w:cs="宋体"/>
          <w:color w:val="auto"/>
          <w:sz w:val="21"/>
          <w:szCs w:val="21"/>
          <w:highlight w:val="none"/>
          <w:lang w:val="en-US"/>
        </w:rPr>
        <w:t>的整</w:t>
      </w:r>
      <w:r>
        <w:rPr>
          <w:rFonts w:hint="eastAsia" w:cs="宋体"/>
          <w:color w:val="auto"/>
          <w:sz w:val="21"/>
          <w:szCs w:val="21"/>
          <w:lang w:val="en-US"/>
        </w:rPr>
        <w:t>数，由招标人在编制招标文件时确定）。</w:t>
      </w:r>
    </w:p>
    <w:p>
      <w:pPr>
        <w:pStyle w:val="12"/>
        <w:tabs>
          <w:tab w:val="left" w:pos="9360"/>
        </w:tabs>
        <w:spacing w:line="360" w:lineRule="auto"/>
        <w:ind w:firstLine="421" w:firstLineChars="200"/>
        <w:rPr>
          <w:rFonts w:hint="eastAsia" w:cs="宋体"/>
          <w:b/>
          <w:bCs/>
          <w:color w:val="auto"/>
          <w:sz w:val="21"/>
          <w:szCs w:val="21"/>
          <w:lang w:val="en-US"/>
        </w:rPr>
      </w:pPr>
      <w:r>
        <w:rPr>
          <w:rFonts w:hint="eastAsia" w:cs="宋体"/>
          <w:b/>
          <w:bCs/>
          <w:color w:val="auto"/>
          <w:sz w:val="21"/>
          <w:szCs w:val="21"/>
          <w:lang w:val="en-US"/>
        </w:rPr>
        <w:t>异常报价</w:t>
      </w:r>
      <w:r>
        <w:rPr>
          <w:rFonts w:hint="eastAsia" w:cs="宋体"/>
          <w:b/>
          <w:bCs/>
          <w:color w:val="auto"/>
          <w:sz w:val="21"/>
          <w:szCs w:val="21"/>
          <w:lang w:val="en-US" w:eastAsia="zh-CN"/>
        </w:rPr>
        <w:t>的投标人</w:t>
      </w:r>
      <w:r>
        <w:rPr>
          <w:rFonts w:hint="eastAsia" w:cs="宋体"/>
          <w:b/>
          <w:bCs/>
          <w:color w:val="auto"/>
          <w:sz w:val="21"/>
          <w:szCs w:val="21"/>
          <w:lang w:val="en-US"/>
        </w:rPr>
        <w:t>不再参与后续评审。</w:t>
      </w:r>
    </w:p>
    <w:p>
      <w:pPr>
        <w:pStyle w:val="12"/>
        <w:tabs>
          <w:tab w:val="left" w:pos="9360"/>
        </w:tabs>
        <w:spacing w:line="360" w:lineRule="auto"/>
        <w:ind w:firstLine="420" w:firstLineChars="200"/>
        <w:rPr>
          <w:rFonts w:cs="宋体"/>
          <w:color w:val="auto"/>
          <w:sz w:val="21"/>
          <w:szCs w:val="21"/>
          <w:lang w:val="en-US"/>
        </w:rPr>
      </w:pPr>
      <w:r>
        <w:rPr>
          <w:rFonts w:hint="eastAsia" w:cs="宋体"/>
          <w:color w:val="auto"/>
          <w:sz w:val="21"/>
          <w:szCs w:val="21"/>
          <w:lang w:val="en-US"/>
        </w:rPr>
        <w:t>2、确定评审区间入围单位：</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rPr>
        <w:t>当通过上述评审的投标人家数小于、等于</w:t>
      </w:r>
      <w:r>
        <w:rPr>
          <w:rFonts w:hint="eastAsia" w:cs="宋体"/>
          <w:color w:val="auto"/>
          <w:sz w:val="21"/>
          <w:szCs w:val="21"/>
          <w:highlight w:val="none"/>
          <w:lang w:val="en-US" w:eastAsia="zh-CN"/>
        </w:rPr>
        <w:t>30</w:t>
      </w:r>
      <w:r>
        <w:rPr>
          <w:rFonts w:hint="eastAsia" w:cs="宋体"/>
          <w:color w:val="auto"/>
          <w:sz w:val="21"/>
          <w:szCs w:val="21"/>
          <w:highlight w:val="none"/>
          <w:lang w:val="en-US"/>
        </w:rPr>
        <w:t>家时，全部进入评审区间</w:t>
      </w:r>
      <w:r>
        <w:rPr>
          <w:rFonts w:hint="eastAsia" w:cs="宋体"/>
          <w:color w:val="auto"/>
          <w:sz w:val="21"/>
          <w:szCs w:val="21"/>
          <w:highlight w:val="none"/>
          <w:lang w:val="en-US" w:eastAsia="zh-CN"/>
        </w:rPr>
        <w:t>；</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rPr>
        <w:t>当通过上述评审的投标人大于</w:t>
      </w:r>
      <w:r>
        <w:rPr>
          <w:rFonts w:hint="eastAsia" w:cs="宋体"/>
          <w:color w:val="auto"/>
          <w:sz w:val="21"/>
          <w:szCs w:val="21"/>
          <w:highlight w:val="none"/>
          <w:lang w:val="en-US" w:eastAsia="zh-CN"/>
        </w:rPr>
        <w:t>30</w:t>
      </w:r>
      <w:r>
        <w:rPr>
          <w:rFonts w:hint="eastAsia" w:cs="宋体"/>
          <w:color w:val="auto"/>
          <w:sz w:val="21"/>
          <w:szCs w:val="21"/>
          <w:highlight w:val="none"/>
          <w:lang w:val="en-US"/>
        </w:rPr>
        <w:t>家</w:t>
      </w:r>
      <w:r>
        <w:rPr>
          <w:rFonts w:hint="eastAsia" w:cs="宋体"/>
          <w:color w:val="auto"/>
          <w:sz w:val="21"/>
          <w:szCs w:val="21"/>
          <w:highlight w:val="none"/>
          <w:lang w:val="en-US" w:eastAsia="zh-CN"/>
        </w:rPr>
        <w:t>，小于等于150家</w:t>
      </w:r>
      <w:r>
        <w:rPr>
          <w:rFonts w:hint="eastAsia" w:cs="宋体"/>
          <w:color w:val="auto"/>
          <w:sz w:val="21"/>
          <w:szCs w:val="21"/>
          <w:highlight w:val="none"/>
          <w:lang w:val="en-US"/>
        </w:rPr>
        <w:t>时，按下述</w:t>
      </w:r>
      <w:r>
        <w:rPr>
          <w:rFonts w:hint="eastAsia" w:cs="宋体"/>
          <w:color w:val="auto"/>
          <w:sz w:val="21"/>
          <w:szCs w:val="21"/>
          <w:highlight w:val="none"/>
          <w:lang w:val="en-US" w:eastAsia="zh-CN"/>
        </w:rPr>
        <w:t>2.1款</w:t>
      </w:r>
      <w:r>
        <w:rPr>
          <w:rFonts w:hint="eastAsia" w:cs="宋体"/>
          <w:color w:val="auto"/>
          <w:sz w:val="21"/>
          <w:szCs w:val="21"/>
          <w:highlight w:val="none"/>
          <w:lang w:val="en-US"/>
        </w:rPr>
        <w:t>确定评审区间入围单位</w:t>
      </w:r>
      <w:r>
        <w:rPr>
          <w:rFonts w:hint="eastAsia" w:cs="宋体"/>
          <w:color w:val="auto"/>
          <w:sz w:val="21"/>
          <w:szCs w:val="21"/>
          <w:highlight w:val="none"/>
          <w:lang w:val="en-US" w:eastAsia="zh-CN"/>
        </w:rPr>
        <w:t>30家；</w:t>
      </w:r>
    </w:p>
    <w:p>
      <w:pPr>
        <w:pStyle w:val="12"/>
        <w:tabs>
          <w:tab w:val="left" w:pos="9360"/>
        </w:tabs>
        <w:spacing w:line="360" w:lineRule="auto"/>
        <w:ind w:firstLine="420" w:firstLineChars="200"/>
        <w:rPr>
          <w:rFonts w:hint="default" w:eastAsia="宋体" w:cs="宋体"/>
          <w:color w:val="auto"/>
          <w:sz w:val="21"/>
          <w:szCs w:val="21"/>
          <w:highlight w:val="none"/>
          <w:lang w:val="en-US" w:eastAsia="zh-CN"/>
        </w:rPr>
      </w:pPr>
      <w:r>
        <w:rPr>
          <w:rFonts w:hint="eastAsia" w:cs="宋体"/>
          <w:color w:val="auto"/>
          <w:sz w:val="21"/>
          <w:szCs w:val="21"/>
          <w:highlight w:val="none"/>
          <w:lang w:val="en-US"/>
        </w:rPr>
        <w:t>当通过上述评审的投标人大于</w:t>
      </w:r>
      <w:r>
        <w:rPr>
          <w:rFonts w:hint="eastAsia" w:cs="宋体"/>
          <w:color w:val="auto"/>
          <w:sz w:val="21"/>
          <w:szCs w:val="21"/>
          <w:highlight w:val="none"/>
          <w:lang w:val="en-US" w:eastAsia="zh-CN"/>
        </w:rPr>
        <w:t>150家</w:t>
      </w:r>
      <w:r>
        <w:rPr>
          <w:rFonts w:hint="eastAsia" w:cs="宋体"/>
          <w:color w:val="auto"/>
          <w:sz w:val="21"/>
          <w:szCs w:val="21"/>
          <w:highlight w:val="none"/>
          <w:lang w:val="en-US"/>
        </w:rPr>
        <w:t>时</w:t>
      </w:r>
      <w:r>
        <w:rPr>
          <w:rFonts w:hint="eastAsia" w:cs="宋体"/>
          <w:color w:val="auto"/>
          <w:sz w:val="21"/>
          <w:szCs w:val="21"/>
          <w:highlight w:val="none"/>
          <w:lang w:val="en-US" w:eastAsia="zh-CN"/>
        </w:rPr>
        <w:t>，先按</w:t>
      </w:r>
      <w:r>
        <w:rPr>
          <w:rFonts w:hint="eastAsia" w:cs="宋体"/>
          <w:color w:val="auto"/>
          <w:sz w:val="21"/>
          <w:szCs w:val="21"/>
          <w:highlight w:val="none"/>
          <w:lang w:val="en-US"/>
        </w:rPr>
        <w:t>下述</w:t>
      </w:r>
      <w:r>
        <w:rPr>
          <w:rFonts w:hint="eastAsia" w:cs="宋体"/>
          <w:color w:val="auto"/>
          <w:sz w:val="21"/>
          <w:szCs w:val="21"/>
          <w:highlight w:val="none"/>
          <w:lang w:val="en-US" w:eastAsia="zh-CN"/>
        </w:rPr>
        <w:t>2.1款</w:t>
      </w:r>
      <w:r>
        <w:rPr>
          <w:rFonts w:hint="eastAsia" w:cs="宋体"/>
          <w:color w:val="auto"/>
          <w:sz w:val="21"/>
          <w:szCs w:val="21"/>
          <w:highlight w:val="none"/>
          <w:lang w:val="en-US"/>
        </w:rPr>
        <w:t>确定评审区间入围单位</w:t>
      </w:r>
      <w:r>
        <w:rPr>
          <w:rFonts w:hint="eastAsia" w:cs="宋体"/>
          <w:color w:val="auto"/>
          <w:sz w:val="21"/>
          <w:szCs w:val="21"/>
          <w:highlight w:val="none"/>
          <w:lang w:val="en-US" w:eastAsia="zh-CN"/>
        </w:rPr>
        <w:t>30家，再按下述2.2款确定荣誉企业评审区间入围单位X家（X=</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lang w:val="en-US" w:eastAsia="zh-CN"/>
        </w:rPr>
        <w:t>，X的值由招标人从3，4，5范围中选取并在招标文件中明确）。</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通过上述评审的投标人以下称为“全部参与评审的投标人”。</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2.1确定评审区间入围名额30家。确定方式如下：</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30家评审区间入围单位在“全部参与评审的投标人”中抽取产生，抽取方式如下：</w:t>
      </w:r>
    </w:p>
    <w:p>
      <w:pPr>
        <w:pStyle w:val="12"/>
        <w:tabs>
          <w:tab w:val="left" w:pos="9360"/>
        </w:tabs>
        <w:spacing w:line="360" w:lineRule="auto"/>
        <w:ind w:firstLine="420" w:firstLineChars="200"/>
        <w:rPr>
          <w:rFonts w:hint="eastAsia" w:cs="宋体"/>
          <w:color w:val="auto"/>
          <w:sz w:val="21"/>
          <w:szCs w:val="21"/>
          <w:highlight w:val="yellow"/>
          <w:lang w:val="en-US" w:eastAsia="zh-CN"/>
        </w:rPr>
      </w:pPr>
      <w:r>
        <w:rPr>
          <w:rFonts w:hint="eastAsia" w:cs="宋体"/>
          <w:color w:val="auto"/>
          <w:sz w:val="21"/>
          <w:szCs w:val="21"/>
          <w:highlight w:val="none"/>
          <w:lang w:val="en-US" w:eastAsia="zh-CN"/>
        </w:rPr>
        <w:t>开评标系统通过舟山市建筑市场信用信息网（https://jzscxyxx.zszjj.zhoushan.gov.cn:7007/）查询全部参与评审的投标人开标截止日期前一天下午17：00的信用等级，以这个时间点查询到的信用等级信息为准。（建筑工程或市政公用工程施工总承包企业信用等级，若因技术、系统等原因无法查询开标截止日期前一天下午17：00的信用等级信息，则以开标截止日期前二天下午17：00的信用等级信息为准，以此类推）。根据查询结果分三类，即A级、B级、C级及以下和无法查询其信用等级的。</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信用等级为E级的企业不作为评审区间入围单位。（不参与随机抽取）</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入围单位确定顺序：先确定信用等级C级及以下和无法查询其信用等级的入围企业，再确定信用等级B 级的入围企业，最后确定信用等级A 级的入围企业。</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在信用等级C级及以下和无法查询其信用等级的企业中随机选择c1家投标人为评审区间入围单位；（c1为全部参与评审的投标人中信用等级C级及以下和无法查询其信用等级企业数量的5%且不超过6家）</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在信用等级B 级的企业中随机选择b1家投标人为评审区间入围单位；（b1为全部参与评审的投标人中信用等级B 级企业数量的15%且不超过9家）</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在信用等级A 级的企业中随机选择a1家投标人为评审区间入围单位（a1=30-b1-c1）；如果a1大于全部参与评审的投标人中信用等级A级企业的数量，则信用等级A级的企业全部入围，剩余入围名额不再补抽。</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在评审区间入围家数计算过程中，非整数时，四舍五入。</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2.2确定荣誉企业评审区间入围单位X=</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lang w:val="en-US" w:eastAsia="zh-CN"/>
        </w:rPr>
        <w:t>家。确定方式如下：</w:t>
      </w:r>
    </w:p>
    <w:p>
      <w:pPr>
        <w:pStyle w:val="12"/>
        <w:tabs>
          <w:tab w:val="left" w:pos="9360"/>
        </w:tabs>
        <w:spacing w:line="360" w:lineRule="auto"/>
        <w:ind w:firstLine="420" w:firstLineChars="200"/>
        <w:rPr>
          <w:rFonts w:hint="eastAsia" w:cs="宋体"/>
          <w:color w:val="auto"/>
          <w:sz w:val="21"/>
          <w:szCs w:val="21"/>
          <w:highlight w:val="none"/>
          <w:u w:val="single"/>
          <w:lang w:val="en-US" w:eastAsia="zh-CN"/>
        </w:rPr>
      </w:pPr>
      <w:r>
        <w:rPr>
          <w:rFonts w:hint="eastAsia" w:cs="宋体"/>
          <w:color w:val="auto"/>
          <w:sz w:val="21"/>
          <w:szCs w:val="21"/>
          <w:highlight w:val="none"/>
          <w:lang w:val="en-US" w:eastAsia="zh-CN"/>
        </w:rPr>
        <w:t>荣誉企业是指：</w:t>
      </w:r>
      <w:r>
        <w:rPr>
          <w:rFonts w:hint="eastAsia" w:cs="宋体"/>
          <w:color w:val="auto"/>
          <w:sz w:val="21"/>
          <w:szCs w:val="21"/>
          <w:highlight w:val="none"/>
          <w:u w:val="single"/>
          <w:lang w:val="en-US" w:eastAsia="zh-CN"/>
        </w:rPr>
        <w:t xml:space="preserve">                                     （近2年内投标人获得过由设区市级及以上人民政府颁发的建设领域的龙头、骨干企业或相当的企业荣誉）</w:t>
      </w:r>
    </w:p>
    <w:p>
      <w:pPr>
        <w:pStyle w:val="12"/>
        <w:tabs>
          <w:tab w:val="left" w:pos="9360"/>
        </w:tabs>
        <w:spacing w:line="360" w:lineRule="auto"/>
        <w:ind w:firstLine="420" w:firstLineChars="200"/>
        <w:rPr>
          <w:rFonts w:hint="eastAsia" w:cs="宋体"/>
          <w:color w:val="auto"/>
          <w:sz w:val="21"/>
          <w:szCs w:val="21"/>
          <w:highlight w:val="none"/>
          <w:u w:val="single"/>
          <w:lang w:val="en-US" w:eastAsia="zh-CN"/>
        </w:rPr>
      </w:pPr>
      <w:r>
        <w:rPr>
          <w:rFonts w:hint="eastAsia" w:cs="宋体"/>
          <w:color w:val="auto"/>
          <w:sz w:val="21"/>
          <w:szCs w:val="21"/>
          <w:highlight w:val="none"/>
          <w:u w:val="none"/>
          <w:lang w:val="en-US" w:eastAsia="zh-CN"/>
        </w:rPr>
        <w:t>证明材料及要求：</w:t>
      </w:r>
      <w:r>
        <w:rPr>
          <w:rFonts w:hint="eastAsia" w:cs="宋体"/>
          <w:color w:val="auto"/>
          <w:sz w:val="21"/>
          <w:szCs w:val="21"/>
          <w:highlight w:val="none"/>
          <w:u w:val="single"/>
          <w:lang w:val="en-US" w:eastAsia="zh-CN"/>
        </w:rPr>
        <w:t xml:space="preserve">                                           </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投标人在投标文件递交的时候勾选确认是否为招标文件要求的荣誉企业，若为招标文件要求的荣誉企业，在投标文件中附上相应的证明材料。荣誉企业的投标人未在投标文件递交环节进行勾选确认的或已勾选确认但未提供证明资料的，视为放弃抽取的权力，不再参与本环节的抽取。</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评标委员会对“所有确认荣誉企业”且信用等级为A级的投标人（除去上述2.1条款中确定的入围单位）进行荣誉企业资格核验。若提供的荣誉企业证明材料不符合招标文件要求的，不参与本环节的抽取。</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在通过上述核验的“荣誉企业”中，随机抽取X家作为评审区间入围的投标人。若通过上述核验的“荣誉企业”数量小于等于X家的，则全部入围，剩余名额不再替补。</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未进入评审区间的投标人的投标文件不再参与后续评审。</w:t>
      </w:r>
    </w:p>
    <w:p>
      <w:pPr>
        <w:snapToGrid w:val="0"/>
        <w:spacing w:line="360" w:lineRule="auto"/>
        <w:ind w:firstLine="421" w:firstLineChars="200"/>
        <w:outlineLvl w:val="2"/>
        <w:rPr>
          <w:rFonts w:ascii="宋体" w:hAnsi="宋体" w:eastAsia="宋体" w:cs="Times New Roman"/>
          <w:b/>
        </w:rPr>
      </w:pPr>
      <w:r>
        <w:rPr>
          <w:rFonts w:hint="eastAsia" w:ascii="宋体" w:hAnsi="宋体" w:eastAsia="宋体" w:cs="Times New Roman"/>
          <w:b/>
        </w:rPr>
        <w:t>四</w:t>
      </w:r>
      <w:r>
        <w:rPr>
          <w:rFonts w:ascii="宋体" w:hAnsi="宋体" w:eastAsia="宋体" w:cs="Times New Roman"/>
          <w:b/>
        </w:rPr>
        <w:t>、</w:t>
      </w:r>
      <w:r>
        <w:rPr>
          <w:rFonts w:hint="eastAsia" w:ascii="宋体" w:hAnsi="宋体" w:eastAsia="宋体" w:cs="Times New Roman"/>
          <w:b/>
        </w:rPr>
        <w:t>商务标第一部分评审</w:t>
      </w:r>
    </w:p>
    <w:p>
      <w:pPr>
        <w:snapToGrid w:val="0"/>
        <w:spacing w:line="360" w:lineRule="auto"/>
        <w:ind w:firstLine="421" w:firstLineChars="200"/>
        <w:rPr>
          <w:rFonts w:ascii="宋体" w:hAnsi="宋体"/>
          <w:bCs/>
        </w:rPr>
      </w:pPr>
      <w:r>
        <w:rPr>
          <w:rFonts w:hint="eastAsia" w:ascii="宋体" w:hAnsi="宋体"/>
          <w:b/>
          <w:bCs w:val="0"/>
          <w:highlight w:val="white"/>
        </w:rPr>
        <w:t>评标委员会</w:t>
      </w:r>
      <w:r>
        <w:rPr>
          <w:rFonts w:hint="eastAsia" w:ascii="宋体" w:hAnsi="宋体"/>
          <w:b/>
          <w:bCs w:val="0"/>
          <w:highlight w:val="white"/>
          <w:lang w:eastAsia="zh-CN"/>
        </w:rPr>
        <w:t>商务专家组</w:t>
      </w:r>
      <w:r>
        <w:rPr>
          <w:rFonts w:hint="eastAsia" w:ascii="宋体" w:hAnsi="宋体"/>
          <w:bCs/>
          <w:highlight w:val="white"/>
        </w:rPr>
        <w:t>对进入评审区间的投标人的商务标第一部分进行审查，投标人存在投标须知前附表10.5情形(商务标第一部分评审内容）的，评标委员会组织投标人询问核实后，情况属实的，商务标第一部分审查不予通过，否决其投标。</w:t>
      </w:r>
    </w:p>
    <w:p>
      <w:pPr>
        <w:snapToGrid w:val="0"/>
        <w:spacing w:line="360" w:lineRule="auto"/>
        <w:ind w:firstLine="421" w:firstLineChars="200"/>
        <w:outlineLvl w:val="2"/>
        <w:rPr>
          <w:rFonts w:hint="eastAsia" w:ascii="宋体" w:hAnsi="宋体" w:eastAsia="宋体" w:cs="Times New Roman"/>
          <w:b/>
        </w:rPr>
      </w:pPr>
      <w:r>
        <w:rPr>
          <w:rFonts w:hint="eastAsia" w:ascii="宋体" w:hAnsi="宋体" w:eastAsia="宋体" w:cs="Times New Roman"/>
          <w:b/>
        </w:rPr>
        <w:t>五、商务标第二部分评审</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1、商务标第二部分实行暗标评审，综合单价评审结束前，只有在</w:t>
      </w:r>
      <w:r>
        <w:rPr>
          <w:rFonts w:hint="eastAsia" w:cs="宋体"/>
          <w:b/>
          <w:bCs/>
          <w:sz w:val="21"/>
          <w:szCs w:val="21"/>
          <w:lang w:val="en-US"/>
        </w:rPr>
        <w:t>评标委员会</w:t>
      </w:r>
      <w:r>
        <w:rPr>
          <w:rFonts w:hint="eastAsia" w:cs="宋体"/>
          <w:b/>
          <w:bCs/>
          <w:sz w:val="21"/>
          <w:szCs w:val="21"/>
          <w:lang w:val="en-US" w:eastAsia="zh-CN"/>
        </w:rPr>
        <w:t>商务专家组</w:t>
      </w:r>
      <w:r>
        <w:rPr>
          <w:rFonts w:hint="eastAsia" w:cs="宋体"/>
          <w:sz w:val="21"/>
          <w:szCs w:val="21"/>
          <w:lang w:val="en-US"/>
        </w:rPr>
        <w:t>确定需要询标时才能通过系统确认需要询标的投标人，其余未被列入询标的投标人名称评审过程中只体现该投标人的编号，投标人名称在其综合单价评审得分计算完成后由系统统一显示。</w:t>
      </w:r>
      <w:r>
        <w:rPr>
          <w:rFonts w:hint="eastAsia" w:cs="宋体"/>
          <w:b/>
          <w:bCs/>
          <w:sz w:val="21"/>
          <w:szCs w:val="21"/>
          <w:lang w:val="en-US"/>
        </w:rPr>
        <w:t>评标委员会</w:t>
      </w:r>
      <w:r>
        <w:rPr>
          <w:rFonts w:hint="eastAsia" w:cs="宋体"/>
          <w:b/>
          <w:bCs/>
          <w:sz w:val="21"/>
          <w:szCs w:val="21"/>
          <w:lang w:val="en-US" w:eastAsia="zh-CN"/>
        </w:rPr>
        <w:t>商务专家组</w:t>
      </w:r>
      <w:r>
        <w:rPr>
          <w:rFonts w:hint="eastAsia" w:cs="宋体"/>
          <w:sz w:val="21"/>
          <w:szCs w:val="21"/>
          <w:lang w:val="en-US"/>
        </w:rPr>
        <w:t>首先对进入商务标第二部分评审的投标文件进行初步评审，存在投标须知前附表10.5情形(商务标第二部分评审内容）的，评标委员会组织投标人询问核实后，情况属实的，商务标第二部分评审不予通过，否决其投标。</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2、确定各投标人的最终投标报价：</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投标报价评审应在各投标人投标报价内容和口径一致的基础上进行。因招标文件叙述不清楚引起各投标人投标报价内容和口径不一致时，应按有关规定统一调整投标报价的内容和口径后计算出各投标人的投标报价，但因投标人失误造成的报价差错、遗漏，不属于调整范围。评标专家组将对确定为实质上响应招标文件要求的投标文件进行校核，看其是否有计算上、累计上或表达上的错误，修正错误的原则如下：</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2.1用数字表示的金额和用文字表示的金额不一致时，应以文字表示的金额为准；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2.2当单价与数量的乘积与合价不一致时，以单价为准进行价格调整，除非评标专家组认为单价有明显的小数点错误，此时应以标明的合价为准，并修改单价；</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2.3单价漏报，但有单项合价的，按单项合价除以招标文件工程量清单相应栏目的数量所得的商，作为该项的单价；</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按上述修正错误的原则及方法调整或修正投标文件的投标报价，该投标报价作为投标人的最终投标报价（投标总报价调整值小于100元的，不作调整）。</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3、</w:t>
      </w:r>
      <w:r>
        <w:rPr>
          <w:rFonts w:hint="eastAsia" w:cs="宋体"/>
          <w:sz w:val="21"/>
          <w:szCs w:val="21"/>
        </w:rPr>
        <w:t>工程量清单综合单价评审</w:t>
      </w:r>
      <w:r>
        <w:rPr>
          <w:rFonts w:hint="eastAsia" w:cs="宋体"/>
          <w:sz w:val="21"/>
          <w:szCs w:val="21"/>
          <w:lang w:val="en-US"/>
        </w:rPr>
        <w:t>（满分5分）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评标专家组对通过以上评审的投标文件进行详细评审，在评审过程中，</w:t>
      </w:r>
      <w:r>
        <w:rPr>
          <w:rFonts w:hint="eastAsia" w:cs="宋体"/>
          <w:color w:val="auto"/>
          <w:sz w:val="21"/>
          <w:szCs w:val="21"/>
          <w:lang w:val="en-US"/>
        </w:rPr>
        <w:t>评标专家应在去除上述评审已确定不列入评审范围的投标报价后再计算投标平均价。各投标人</w:t>
      </w:r>
      <w:r>
        <w:rPr>
          <w:rFonts w:hint="eastAsia" w:cs="宋体"/>
          <w:sz w:val="21"/>
          <w:szCs w:val="21"/>
          <w:lang w:val="en-US"/>
        </w:rPr>
        <w:t>的工程量清单综合评价分公布后，无论任何原因引起有效投标人个数发生变化时，所计算的各项投标平均价也不再进行调整。</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评标专家组在确定各投标人最终投标报价的同时，应对投标人的</w:t>
      </w:r>
      <w:r>
        <w:rPr>
          <w:rFonts w:hint="eastAsia" w:cs="宋体"/>
          <w:sz w:val="21"/>
          <w:szCs w:val="21"/>
        </w:rPr>
        <w:t>工程量清单综合单价</w:t>
      </w:r>
      <w:r>
        <w:rPr>
          <w:rFonts w:hint="eastAsia" w:cs="宋体"/>
          <w:sz w:val="21"/>
          <w:szCs w:val="21"/>
          <w:lang w:val="en-US"/>
        </w:rPr>
        <w:t>进行评审,</w:t>
      </w:r>
      <w:r>
        <w:rPr>
          <w:rFonts w:hint="eastAsia" w:cs="宋体"/>
          <w:sz w:val="21"/>
          <w:szCs w:val="21"/>
        </w:rPr>
        <w:t>工程量清单综合单价</w:t>
      </w:r>
      <w:r>
        <w:rPr>
          <w:rFonts w:hint="eastAsia" w:cs="宋体"/>
          <w:sz w:val="21"/>
          <w:szCs w:val="21"/>
          <w:lang w:val="en-US"/>
        </w:rPr>
        <w:t>评审的原则和方法如下：</w:t>
      </w:r>
    </w:p>
    <w:p>
      <w:pPr>
        <w:pStyle w:val="12"/>
        <w:tabs>
          <w:tab w:val="left" w:pos="9360"/>
        </w:tabs>
        <w:spacing w:line="360" w:lineRule="auto"/>
        <w:ind w:firstLine="420" w:firstLineChars="200"/>
        <w:rPr>
          <w:rFonts w:cs="宋体"/>
          <w:sz w:val="21"/>
          <w:szCs w:val="21"/>
          <w:highlight w:val="none"/>
          <w:lang w:val="en-US"/>
        </w:rPr>
      </w:pPr>
      <w:r>
        <w:rPr>
          <w:rFonts w:hint="eastAsia" w:cs="宋体"/>
          <w:sz w:val="21"/>
          <w:szCs w:val="21"/>
          <w:lang w:val="en-US"/>
        </w:rPr>
        <w:t>按工程量清单</w:t>
      </w:r>
      <w:r>
        <w:rPr>
          <w:rFonts w:hint="eastAsia" w:cs="宋体"/>
          <w:sz w:val="21"/>
          <w:szCs w:val="21"/>
          <w:highlight w:val="none"/>
          <w:lang w:val="en-US"/>
        </w:rPr>
        <w:t>项目（含措施项目）总数的（   ）%随机选择评审项目（</w:t>
      </w:r>
      <w:r>
        <w:rPr>
          <w:rFonts w:hint="eastAsia" w:cs="宋体"/>
          <w:sz w:val="21"/>
          <w:szCs w:val="21"/>
          <w:highlight w:val="none"/>
          <w:lang w:val="en-US" w:eastAsia="zh-CN"/>
        </w:rPr>
        <w:t>抽取比例不建议为100%</w:t>
      </w:r>
      <w:r>
        <w:rPr>
          <w:rFonts w:hint="eastAsia" w:cs="宋体"/>
          <w:sz w:val="21"/>
          <w:szCs w:val="21"/>
          <w:highlight w:val="none"/>
          <w:lang w:val="en-US"/>
        </w:rPr>
        <w:t>）。</w:t>
      </w:r>
    </w:p>
    <w:p>
      <w:pPr>
        <w:pStyle w:val="12"/>
        <w:tabs>
          <w:tab w:val="left" w:pos="9360"/>
        </w:tabs>
        <w:spacing w:line="360" w:lineRule="auto"/>
        <w:ind w:firstLine="420" w:firstLineChars="200"/>
        <w:rPr>
          <w:rFonts w:cs="宋体"/>
          <w:sz w:val="21"/>
          <w:szCs w:val="21"/>
          <w:lang w:val="en-US"/>
        </w:rPr>
      </w:pPr>
      <w:r>
        <w:rPr>
          <w:rFonts w:hint="eastAsia" w:cs="宋体"/>
          <w:sz w:val="21"/>
          <w:szCs w:val="21"/>
          <w:highlight w:val="none"/>
          <w:lang w:val="en-US"/>
        </w:rPr>
        <w:t>对投标人列入评审</w:t>
      </w:r>
      <w:r>
        <w:rPr>
          <w:rFonts w:hint="eastAsia" w:cs="宋体"/>
          <w:sz w:val="21"/>
          <w:szCs w:val="21"/>
          <w:highlight w:val="none"/>
          <w:lang w:val="en-US" w:eastAsia="zh-CN"/>
        </w:rPr>
        <w:t>项目</w:t>
      </w:r>
      <w:r>
        <w:rPr>
          <w:rFonts w:hint="eastAsia" w:cs="宋体"/>
          <w:sz w:val="21"/>
          <w:szCs w:val="21"/>
          <w:highlight w:val="none"/>
          <w:lang w:val="en-US"/>
        </w:rPr>
        <w:t>的工程量的报价（指每一项目的综合单价与工程量的乘积）进行评审：（</w:t>
      </w:r>
      <w:r>
        <w:rPr>
          <w:rFonts w:hint="eastAsia" w:cs="宋体"/>
          <w:sz w:val="21"/>
          <w:szCs w:val="21"/>
          <w:highlight w:val="none"/>
          <w:lang w:val="en-US" w:eastAsia="zh-CN"/>
        </w:rPr>
        <w:t>1</w:t>
      </w:r>
      <w:r>
        <w:rPr>
          <w:rFonts w:hint="eastAsia" w:cs="宋体"/>
          <w:sz w:val="21"/>
          <w:szCs w:val="21"/>
          <w:highlight w:val="none"/>
          <w:lang w:val="en-US"/>
        </w:rPr>
        <w:t>）在每一</w:t>
      </w:r>
      <w:r>
        <w:rPr>
          <w:rFonts w:hint="eastAsia" w:cs="宋体"/>
          <w:sz w:val="21"/>
          <w:szCs w:val="21"/>
          <w:highlight w:val="none"/>
          <w:lang w:val="en-US" w:eastAsia="zh-CN"/>
        </w:rPr>
        <w:t>评审</w:t>
      </w:r>
      <w:r>
        <w:rPr>
          <w:rFonts w:hint="eastAsia" w:cs="宋体"/>
          <w:sz w:val="21"/>
          <w:szCs w:val="21"/>
          <w:highlight w:val="none"/>
          <w:lang w:val="en-US"/>
        </w:rPr>
        <w:t>项目中，如投标人该项目报价</w:t>
      </w:r>
      <w:r>
        <w:rPr>
          <w:rFonts w:hint="eastAsia" w:cs="宋体"/>
          <w:sz w:val="21"/>
          <w:szCs w:val="21"/>
          <w:highlight w:val="none"/>
          <w:lang w:val="en-US" w:eastAsia="zh-CN"/>
        </w:rPr>
        <w:t>与招标控制价</w:t>
      </w:r>
      <w:r>
        <w:rPr>
          <w:rFonts w:hint="eastAsia" w:cs="宋体"/>
          <w:sz w:val="21"/>
          <w:szCs w:val="21"/>
          <w:highlight w:val="none"/>
          <w:lang w:val="en-US"/>
        </w:rPr>
        <w:t>离差大于或等于</w:t>
      </w:r>
      <w:r>
        <w:rPr>
          <w:rFonts w:hint="eastAsia" w:cs="宋体"/>
          <w:sz w:val="21"/>
          <w:szCs w:val="21"/>
          <w:highlight w:val="none"/>
          <w:lang w:val="en-US" w:eastAsia="zh-CN"/>
        </w:rPr>
        <w:t>20</w:t>
      </w:r>
      <w:r>
        <w:rPr>
          <w:rFonts w:hint="eastAsia" w:cs="宋体"/>
          <w:sz w:val="21"/>
          <w:szCs w:val="21"/>
          <w:highlight w:val="none"/>
          <w:lang w:val="en-US"/>
        </w:rPr>
        <w:t>%时，该投标人的报价不参与该项目评审基准价的计算（如某项目所有投标人均不满足参与评审基准价计算要求时，该项目不再评审）</w:t>
      </w:r>
      <w:r>
        <w:rPr>
          <w:rFonts w:hint="eastAsia" w:cs="宋体"/>
          <w:sz w:val="21"/>
          <w:szCs w:val="21"/>
          <w:highlight w:val="none"/>
          <w:lang w:val="en-US" w:eastAsia="zh-CN"/>
        </w:rPr>
        <w:t>；</w:t>
      </w:r>
      <w:r>
        <w:rPr>
          <w:rFonts w:hint="eastAsia" w:cs="宋体"/>
          <w:sz w:val="21"/>
          <w:szCs w:val="21"/>
          <w:highlight w:val="none"/>
          <w:lang w:val="en-US"/>
        </w:rPr>
        <w:t>（</w:t>
      </w:r>
      <w:r>
        <w:rPr>
          <w:rFonts w:hint="eastAsia" w:cs="宋体"/>
          <w:sz w:val="21"/>
          <w:szCs w:val="21"/>
          <w:highlight w:val="none"/>
          <w:lang w:val="en-US" w:eastAsia="zh-CN"/>
        </w:rPr>
        <w:t>2</w:t>
      </w:r>
      <w:r>
        <w:rPr>
          <w:rFonts w:hint="eastAsia" w:cs="宋体"/>
          <w:sz w:val="21"/>
          <w:szCs w:val="21"/>
          <w:highlight w:val="none"/>
          <w:lang w:val="en-US"/>
        </w:rPr>
        <w:t>）以所</w:t>
      </w:r>
      <w:r>
        <w:rPr>
          <w:rFonts w:hint="eastAsia" w:cs="宋体"/>
          <w:sz w:val="21"/>
          <w:szCs w:val="21"/>
          <w:lang w:val="en-US"/>
        </w:rPr>
        <w:t>有参与评审基准价计算的投标人报价的平均价为该项目评审基准价（评审基准价低于500元的项目不再进行评审）。</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投标人每个清单项目报价与相同编码项目的评审基准</w:t>
      </w:r>
      <w:r>
        <w:rPr>
          <w:rFonts w:hint="eastAsia" w:cs="宋体"/>
          <w:sz w:val="21"/>
          <w:szCs w:val="21"/>
          <w:highlight w:val="none"/>
          <w:lang w:val="en-US"/>
        </w:rPr>
        <w:t>价相比，浮动率超过或等于±</w:t>
      </w:r>
      <w:r>
        <w:rPr>
          <w:rFonts w:hint="eastAsia" w:cs="宋体"/>
          <w:sz w:val="21"/>
          <w:szCs w:val="21"/>
          <w:highlight w:val="none"/>
          <w:lang w:val="en-US" w:eastAsia="zh-CN"/>
        </w:rPr>
        <w:t>1</w:t>
      </w:r>
      <w:r>
        <w:rPr>
          <w:rFonts w:hint="eastAsia" w:cs="宋体"/>
          <w:sz w:val="21"/>
          <w:szCs w:val="21"/>
          <w:highlight w:val="none"/>
          <w:lang w:val="en-US"/>
        </w:rPr>
        <w:t>0%时，</w:t>
      </w:r>
      <w:r>
        <w:rPr>
          <w:rFonts w:hint="eastAsia" w:cs="宋体"/>
          <w:sz w:val="21"/>
          <w:szCs w:val="21"/>
          <w:lang w:val="en-US"/>
        </w:rPr>
        <w:t>每项扣0.05分。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按上述原则,评标专家组对各家投标人的报价进行评审，并按以上规定进行扣分，最高扣分5分，扣完为止。</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投标人的工程量清单综合单价评审得分=5分-上述扣分值</w:t>
      </w:r>
    </w:p>
    <w:p>
      <w:pPr>
        <w:pStyle w:val="12"/>
        <w:tabs>
          <w:tab w:val="left" w:pos="9360"/>
        </w:tabs>
        <w:spacing w:line="360" w:lineRule="auto"/>
        <w:ind w:firstLine="420" w:firstLineChars="200"/>
        <w:rPr>
          <w:rFonts w:hint="eastAsia" w:cs="宋体"/>
          <w:sz w:val="21"/>
          <w:szCs w:val="21"/>
          <w:highlight w:val="none"/>
          <w:lang w:val="en-US"/>
        </w:rPr>
      </w:pPr>
      <w:r>
        <w:rPr>
          <w:rFonts w:hint="eastAsia" w:cs="宋体"/>
          <w:sz w:val="21"/>
          <w:szCs w:val="21"/>
          <w:highlight w:val="none"/>
          <w:lang w:val="en-US"/>
        </w:rPr>
        <w:t>4、投标人投标报价分（</w:t>
      </w:r>
      <w:r>
        <w:rPr>
          <w:rFonts w:hint="eastAsia" w:cs="宋体"/>
          <w:sz w:val="21"/>
          <w:szCs w:val="21"/>
          <w:highlight w:val="none"/>
          <w:lang w:val="en-US" w:eastAsia="zh-CN"/>
        </w:rPr>
        <w:t>87</w:t>
      </w:r>
      <w:r>
        <w:rPr>
          <w:rFonts w:hint="eastAsia" w:cs="宋体"/>
          <w:sz w:val="21"/>
          <w:szCs w:val="21"/>
          <w:highlight w:val="none"/>
          <w:lang w:val="en-US"/>
        </w:rPr>
        <w:t>分）</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4.1 按上述第2点修正错误的原则及方法调整或修正投标文件的投标报价，该投标报价作为投标人的最终投标报价，经投标人确认同意后，该投标报价对投标人起约束作用，如果投标人不接受该投标报价的，则其投标将被拒绝并且其投标担保也将被没收。</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4.2计算评标基准价</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4.2.1当参与基准价计算的投标人少于等于3家时，参与评标基准价的计算的投标人的最低最终投标报价即为评标基准价。</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4.2.2 当参与基准价计算的投标人多于3家少于等于5家时，在参与评标基准价计算的投标人中去掉一个最高报价后的算术平均值即为评标基准价。</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4.2.3 当参与基准价计算的投标人多于5家时，评标基准价按如下程序计算确定：</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本评标办法中，评标基准价的计算只进行一次性计算，除计算差错外，评标过程中评标基准价均保持不变。计算差错，仅限于以下两种情况：（1）纯算术性四则运算差错；（2）未按约定的计算方法，多计或者少计投标人报价的。由于评标差错，导致否决投标错误，重新评标纠正等其他情况，不属于计算差错。（3）凡涉及报价金额计算的均以元为单位，保留二位小数，第三位四舍五入。</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由招标人代表从以下Ⅰ，Ⅱ，Ⅲ基准价计算方案，随机抽取一种作为本项目的基准价计算办法。</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Ⅰ基准价计算方案：</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rPr>
        <w:t>评标基准价:P=k*</w:t>
      </w:r>
      <w:r>
        <w:rPr>
          <w:rFonts w:hint="eastAsia" w:cs="宋体"/>
          <w:color w:val="auto"/>
          <w:sz w:val="21"/>
          <w:szCs w:val="21"/>
          <w:lang w:val="en-US" w:eastAsia="zh-CN"/>
        </w:rPr>
        <w:t>d</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P:评标基准价；</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d:在参与基准价计算的所有投标人投标报价的算术平均值。</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 xml:space="preserve"> k:随机系数（由招标人在0.</w:t>
      </w:r>
      <w:r>
        <w:rPr>
          <w:rFonts w:hint="eastAsia" w:cs="宋体"/>
          <w:color w:val="auto"/>
          <w:sz w:val="21"/>
          <w:szCs w:val="21"/>
          <w:lang w:val="en-US" w:eastAsia="zh-CN"/>
        </w:rPr>
        <w:t>9900、0.9925、0.9950、0.9975、1.0000、1.0025、1.0050、1.0075八</w:t>
      </w:r>
      <w:r>
        <w:rPr>
          <w:rFonts w:hint="eastAsia" w:cs="宋体"/>
          <w:color w:val="auto"/>
          <w:sz w:val="21"/>
          <w:szCs w:val="21"/>
          <w:lang w:val="en-US"/>
        </w:rPr>
        <w:t>个数据中随机抽取）</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若计算所得的评标基准价超过评审区间的范围，则以评审区间的上限或者下限作为评标基准价。</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Ⅱ基准价计算方案：</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在参与基准价评审的投标人中，随机抽取三家单位。</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评标基准价：P=d。</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d:随机抽中三家单位投标报价的算术平均值。</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Ⅲ基准价计算方案：</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评标基准价:P=d*B+Y*（1-A%）*（1-B）</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d:在参与基准价计算的所有投标人投标报价的算术平均值。</w:t>
      </w:r>
    </w:p>
    <w:p>
      <w:pPr>
        <w:pStyle w:val="12"/>
        <w:tabs>
          <w:tab w:val="left" w:pos="9360"/>
        </w:tabs>
        <w:spacing w:line="360" w:lineRule="auto"/>
        <w:ind w:firstLine="420" w:firstLineChars="200"/>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Y:招标控制价</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highlight w:val="none"/>
          <w:lang w:val="en-US" w:eastAsia="zh-CN"/>
        </w:rPr>
        <w:t>权重B：在（40%、42%、44%、46%、48%、50%、5</w:t>
      </w:r>
      <w:r>
        <w:rPr>
          <w:rFonts w:hint="eastAsia" w:cs="宋体"/>
          <w:color w:val="auto"/>
          <w:sz w:val="21"/>
          <w:szCs w:val="21"/>
          <w:lang w:val="en-US" w:eastAsia="zh-CN"/>
        </w:rPr>
        <w:t>2%、54%、56%、58%、60%）十一档数值中抽取。</w:t>
      </w:r>
    </w:p>
    <w:p>
      <w:pPr>
        <w:pStyle w:val="12"/>
        <w:tabs>
          <w:tab w:val="left" w:pos="9360"/>
        </w:tabs>
        <w:spacing w:line="360" w:lineRule="auto"/>
        <w:ind w:firstLine="420" w:firstLineChars="200"/>
        <w:rPr>
          <w:rFonts w:hint="eastAsia" w:cs="宋体"/>
          <w:color w:val="auto"/>
          <w:sz w:val="21"/>
          <w:szCs w:val="21"/>
          <w:highlight w:val="none"/>
          <w:lang w:val="en-US"/>
        </w:rPr>
      </w:pPr>
      <w:r>
        <w:rPr>
          <w:rFonts w:hint="eastAsia" w:cs="宋体"/>
          <w:color w:val="auto"/>
          <w:sz w:val="21"/>
          <w:szCs w:val="21"/>
          <w:lang w:val="en-US" w:eastAsia="zh-CN"/>
        </w:rPr>
        <w:t>浮动率A%：A在n～(100-m)之间随机抽取（包含n,m），取整数档，间隔</w:t>
      </w:r>
      <w:r>
        <w:rPr>
          <w:rFonts w:hint="eastAsia" w:cs="宋体"/>
          <w:color w:val="auto"/>
          <w:sz w:val="21"/>
          <w:szCs w:val="21"/>
          <w:highlight w:val="none"/>
          <w:lang w:val="en-US" w:eastAsia="zh-CN"/>
        </w:rPr>
        <w:t>为1;n,m为异常报价环节招标人确定的值。</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4.4 计算各投标人投标报价得分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各投标人的最终投标报价与评标基准价进行比较,相等时得</w:t>
      </w:r>
      <w:r>
        <w:rPr>
          <w:rFonts w:hint="eastAsia" w:cs="宋体"/>
          <w:sz w:val="21"/>
          <w:szCs w:val="21"/>
          <w:lang w:val="en-US" w:eastAsia="zh-CN"/>
        </w:rPr>
        <w:t>满</w:t>
      </w:r>
      <w:r>
        <w:rPr>
          <w:rFonts w:hint="eastAsia" w:cs="宋体"/>
          <w:sz w:val="21"/>
          <w:szCs w:val="21"/>
          <w:lang w:val="en-US"/>
        </w:rPr>
        <w:t>分,每下浮1％时扣</w:t>
      </w:r>
      <w:r>
        <w:rPr>
          <w:rFonts w:hint="eastAsia" w:cs="宋体"/>
          <w:sz w:val="21"/>
          <w:szCs w:val="21"/>
          <w:lang w:val="en-US" w:eastAsia="zh-CN"/>
        </w:rPr>
        <w:t>2</w:t>
      </w:r>
      <w:r>
        <w:rPr>
          <w:rFonts w:hint="eastAsia" w:cs="宋体"/>
          <w:sz w:val="21"/>
          <w:szCs w:val="21"/>
          <w:lang w:val="en-US"/>
        </w:rPr>
        <w:t>.0分,每上浮1%时扣</w:t>
      </w:r>
      <w:r>
        <w:rPr>
          <w:rFonts w:hint="eastAsia" w:cs="宋体"/>
          <w:sz w:val="21"/>
          <w:szCs w:val="21"/>
          <w:lang w:val="en-US" w:eastAsia="zh-CN"/>
        </w:rPr>
        <w:t>4</w:t>
      </w:r>
      <w:r>
        <w:rPr>
          <w:rFonts w:hint="eastAsia" w:cs="宋体"/>
          <w:sz w:val="21"/>
          <w:szCs w:val="21"/>
          <w:lang w:val="en-US"/>
        </w:rPr>
        <w:t>.0分，分值扣完为止（当出现百分点为非整数时, 保留小数点后二位,第三位四舍五入，采用直线插入法计算分值；分值计算时保留小数点后二位,第三位四舍五入。）</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4.5 计算投标人商务标得分</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商务标得分=投标报价得分+</w:t>
      </w:r>
      <w:r>
        <w:rPr>
          <w:rFonts w:hint="eastAsia" w:cs="宋体"/>
          <w:sz w:val="21"/>
          <w:szCs w:val="21"/>
        </w:rPr>
        <w:t>工程量清单综合单价评审</w:t>
      </w:r>
      <w:r>
        <w:rPr>
          <w:rFonts w:hint="eastAsia" w:cs="宋体"/>
          <w:sz w:val="21"/>
          <w:szCs w:val="21"/>
          <w:lang w:val="en-US"/>
        </w:rPr>
        <w:t>得分</w:t>
      </w:r>
    </w:p>
    <w:p>
      <w:pPr>
        <w:pStyle w:val="12"/>
        <w:tabs>
          <w:tab w:val="left" w:pos="9360"/>
        </w:tabs>
        <w:spacing w:line="360" w:lineRule="auto"/>
        <w:ind w:firstLine="421" w:firstLineChars="200"/>
        <w:jc w:val="both"/>
        <w:rPr>
          <w:rFonts w:hint="eastAsia"/>
          <w:b/>
          <w:color w:val="auto"/>
          <w:sz w:val="21"/>
          <w:szCs w:val="21"/>
          <w:highlight w:val="none"/>
          <w:lang w:val="en-US" w:eastAsia="zh-CN"/>
        </w:rPr>
      </w:pPr>
      <w:r>
        <w:rPr>
          <w:rFonts w:hint="eastAsia"/>
          <w:b/>
          <w:color w:val="auto"/>
          <w:sz w:val="21"/>
          <w:szCs w:val="21"/>
          <w:highlight w:val="none"/>
          <w:lang w:val="en-US" w:eastAsia="zh-CN"/>
        </w:rPr>
        <w:t>六、陈述和答辩（3分）</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1、</w:t>
      </w:r>
      <w:r>
        <w:rPr>
          <w:rFonts w:hint="eastAsia" w:cs="宋体"/>
          <w:b/>
          <w:bCs/>
          <w:color w:val="auto"/>
          <w:sz w:val="21"/>
          <w:szCs w:val="21"/>
          <w:lang w:val="en-US" w:eastAsia="zh-CN"/>
        </w:rPr>
        <w:t>评标委员会技术专家组</w:t>
      </w:r>
      <w:r>
        <w:rPr>
          <w:rFonts w:hint="eastAsia" w:cs="宋体"/>
          <w:color w:val="auto"/>
          <w:sz w:val="21"/>
          <w:szCs w:val="21"/>
          <w:lang w:val="en-US" w:eastAsia="zh-CN"/>
        </w:rPr>
        <w:t xml:space="preserve">对上述第三步“评审区间确定”完成后对进入评审区间的投标人进行陈述答辩环节评审，陈述答辩评审和商务标评审同步独立进行（陈述答辩与商务标评审在结果汇总前互不影响）。进入评审区间的投标人的拟派项目负责人，对评标委员会提出的问题进行陈述和答辩； </w:t>
      </w:r>
    </w:p>
    <w:p>
      <w:pPr>
        <w:pStyle w:val="12"/>
        <w:tabs>
          <w:tab w:val="left" w:pos="9360"/>
        </w:tabs>
        <w:spacing w:line="360" w:lineRule="auto"/>
        <w:ind w:firstLine="420" w:firstLineChars="200"/>
        <w:jc w:val="both"/>
        <w:rPr>
          <w:rFonts w:hint="eastAsia" w:cs="宋体"/>
          <w:color w:val="auto"/>
          <w:sz w:val="21"/>
          <w:szCs w:val="21"/>
          <w:lang w:val="en-US" w:eastAsia="zh-CN"/>
        </w:rPr>
      </w:pPr>
      <w:r>
        <w:rPr>
          <w:rFonts w:hint="eastAsia" w:cs="宋体"/>
          <w:sz w:val="21"/>
          <w:szCs w:val="21"/>
          <w:highlight w:val="none"/>
          <w:lang w:val="en-US" w:eastAsia="zh-CN"/>
        </w:rPr>
        <w:t>2、陈述和答辩为3或0分：拟派项目负责人未按通知要求的时间（不得少于30分钟）到达指定地点 ，记0分；陈述和答辩不通过的，记0分，需由评标委员会出具书面评审纪要。</w:t>
      </w:r>
    </w:p>
    <w:p>
      <w:pPr>
        <w:pStyle w:val="12"/>
        <w:tabs>
          <w:tab w:val="left" w:pos="9360"/>
        </w:tabs>
        <w:spacing w:line="360" w:lineRule="auto"/>
        <w:ind w:firstLine="420" w:firstLineChars="200"/>
        <w:jc w:val="both"/>
        <w:rPr>
          <w:rFonts w:hint="eastAsia" w:cs="宋体"/>
          <w:sz w:val="21"/>
          <w:szCs w:val="21"/>
          <w:highlight w:val="none"/>
          <w:lang w:val="en-US" w:eastAsia="zh-CN"/>
        </w:rPr>
      </w:pPr>
      <w:r>
        <w:rPr>
          <w:rFonts w:hint="eastAsia" w:cs="宋体"/>
          <w:sz w:val="21"/>
          <w:szCs w:val="21"/>
          <w:highlight w:val="none"/>
          <w:lang w:val="en-US" w:eastAsia="zh-CN"/>
        </w:rPr>
        <w:t>3、答辩要求详见须知前附表。</w:t>
      </w:r>
    </w:p>
    <w:p>
      <w:pPr>
        <w:snapToGrid w:val="0"/>
        <w:spacing w:line="360" w:lineRule="auto"/>
        <w:ind w:firstLine="421" w:firstLineChars="200"/>
        <w:outlineLvl w:val="2"/>
        <w:rPr>
          <w:rFonts w:hint="eastAsia" w:ascii="宋体" w:hAnsi="宋体" w:eastAsia="宋体" w:cs="Times New Roman"/>
          <w:b/>
          <w:highlight w:val="none"/>
          <w:lang w:val="en-US"/>
        </w:rPr>
      </w:pPr>
      <w:r>
        <w:rPr>
          <w:rFonts w:hint="eastAsia" w:ascii="宋体" w:hAnsi="宋体" w:cs="Times New Roman"/>
          <w:b/>
          <w:highlight w:val="none"/>
          <w:lang w:val="en-US" w:eastAsia="zh-CN"/>
        </w:rPr>
        <w:t>七</w:t>
      </w:r>
      <w:r>
        <w:rPr>
          <w:rFonts w:hint="eastAsia" w:ascii="宋体" w:hAnsi="宋体" w:eastAsia="宋体" w:cs="Times New Roman"/>
          <w:b/>
          <w:highlight w:val="none"/>
        </w:rPr>
        <w:t>、</w:t>
      </w:r>
      <w:r>
        <w:rPr>
          <w:rFonts w:hint="eastAsia" w:ascii="宋体" w:hAnsi="宋体" w:eastAsia="宋体" w:cs="Times New Roman"/>
          <w:b/>
          <w:highlight w:val="none"/>
          <w:lang w:val="en-US"/>
        </w:rPr>
        <w:t>投标人</w:t>
      </w:r>
      <w:r>
        <w:rPr>
          <w:rFonts w:hint="eastAsia" w:ascii="宋体" w:hAnsi="宋体" w:cs="Times New Roman"/>
          <w:b/>
          <w:highlight w:val="none"/>
          <w:lang w:val="en-US" w:eastAsia="zh-CN"/>
        </w:rPr>
        <w:t>资信</w:t>
      </w:r>
      <w:r>
        <w:rPr>
          <w:rFonts w:hint="eastAsia" w:ascii="宋体" w:hAnsi="宋体" w:eastAsia="宋体" w:cs="Times New Roman"/>
          <w:b/>
          <w:highlight w:val="none"/>
          <w:lang w:val="en-US"/>
        </w:rPr>
        <w:t>评分（满分</w:t>
      </w:r>
      <w:r>
        <w:rPr>
          <w:rFonts w:hint="eastAsia" w:ascii="宋体" w:hAnsi="宋体" w:cs="Times New Roman"/>
          <w:b/>
          <w:highlight w:val="none"/>
          <w:lang w:val="en-US" w:eastAsia="zh-CN"/>
        </w:rPr>
        <w:t>5</w:t>
      </w:r>
      <w:r>
        <w:rPr>
          <w:rFonts w:hint="eastAsia" w:ascii="宋体" w:hAnsi="宋体" w:eastAsia="宋体" w:cs="Times New Roman"/>
          <w:b/>
          <w:highlight w:val="none"/>
          <w:lang w:val="en-US"/>
        </w:rPr>
        <w:t>分）</w:t>
      </w:r>
    </w:p>
    <w:p>
      <w:pPr>
        <w:pStyle w:val="12"/>
        <w:tabs>
          <w:tab w:val="left" w:pos="453"/>
        </w:tabs>
        <w:spacing w:line="360" w:lineRule="auto"/>
        <w:ind w:firstLine="420" w:firstLineChars="200"/>
        <w:rPr>
          <w:rFonts w:hint="eastAsia" w:cs="宋体"/>
          <w:color w:val="auto"/>
          <w:sz w:val="21"/>
          <w:szCs w:val="21"/>
          <w:highlight w:val="none"/>
          <w:lang w:val="en-US"/>
        </w:rPr>
      </w:pPr>
      <w:r>
        <w:rPr>
          <w:rFonts w:hint="eastAsia" w:cs="宋体"/>
          <w:color w:val="auto"/>
          <w:sz w:val="21"/>
          <w:szCs w:val="21"/>
          <w:highlight w:val="none"/>
          <w:lang w:val="en-US" w:eastAsia="zh-CN"/>
        </w:rPr>
        <w:t>1.</w:t>
      </w:r>
      <w:r>
        <w:rPr>
          <w:rFonts w:hint="eastAsia" w:cs="宋体"/>
          <w:color w:val="auto"/>
          <w:sz w:val="21"/>
          <w:szCs w:val="21"/>
          <w:highlight w:val="none"/>
          <w:lang w:val="en-US"/>
        </w:rPr>
        <w:t>投标人及项目负责人不良信用信息扣分（</w:t>
      </w:r>
      <w:r>
        <w:rPr>
          <w:rFonts w:hint="eastAsia" w:cs="宋体"/>
          <w:color w:val="auto"/>
          <w:sz w:val="21"/>
          <w:szCs w:val="21"/>
          <w:highlight w:val="none"/>
          <w:lang w:val="en-US" w:eastAsia="zh-CN"/>
        </w:rPr>
        <w:t>1分</w:t>
      </w:r>
      <w:r>
        <w:rPr>
          <w:rFonts w:hint="eastAsia" w:cs="宋体"/>
          <w:color w:val="auto"/>
          <w:sz w:val="21"/>
          <w:szCs w:val="21"/>
          <w:highlight w:val="none"/>
          <w:lang w:val="en-US"/>
        </w:rPr>
        <w:t>）。</w:t>
      </w:r>
    </w:p>
    <w:p>
      <w:pPr>
        <w:pStyle w:val="12"/>
        <w:tabs>
          <w:tab w:val="left" w:pos="9360"/>
        </w:tabs>
        <w:spacing w:line="360" w:lineRule="auto"/>
        <w:ind w:firstLine="420" w:firstLineChars="200"/>
        <w:rPr>
          <w:rFonts w:cs="宋体"/>
          <w:color w:val="auto"/>
          <w:sz w:val="21"/>
          <w:szCs w:val="21"/>
          <w:highlight w:val="none"/>
          <w:lang w:val="en-US"/>
        </w:rPr>
      </w:pPr>
      <w:r>
        <w:rPr>
          <w:rFonts w:hint="eastAsia" w:cs="宋体"/>
          <w:color w:val="auto"/>
          <w:sz w:val="21"/>
          <w:szCs w:val="21"/>
          <w:highlight w:val="none"/>
          <w:lang w:val="en-US"/>
        </w:rPr>
        <w:t>评标委员会通过审查投标人投标文件递交的材料对投标人进行信用打分：</w:t>
      </w:r>
    </w:p>
    <w:p>
      <w:pPr>
        <w:pStyle w:val="12"/>
        <w:tabs>
          <w:tab w:val="left" w:pos="9360"/>
        </w:tabs>
        <w:spacing w:line="360" w:lineRule="auto"/>
        <w:ind w:firstLine="420" w:firstLineChars="200"/>
        <w:rPr>
          <w:rFonts w:hint="eastAsia" w:cs="宋体"/>
          <w:color w:val="auto"/>
          <w:sz w:val="21"/>
          <w:szCs w:val="21"/>
          <w:highlight w:val="none"/>
          <w:lang w:val="en-US"/>
        </w:rPr>
      </w:pPr>
      <w:r>
        <w:rPr>
          <w:rFonts w:hint="eastAsia" w:cs="宋体"/>
          <w:color w:val="auto"/>
          <w:sz w:val="21"/>
          <w:szCs w:val="21"/>
          <w:highlight w:val="none"/>
          <w:lang w:val="en-US"/>
        </w:rPr>
        <w:t>（a）投标人或参与本项目投标的项目负责人在投标截止时间有</w:t>
      </w:r>
      <w:r>
        <w:rPr>
          <w:rFonts w:hint="eastAsia" w:cs="宋体"/>
          <w:color w:val="auto"/>
          <w:sz w:val="21"/>
          <w:szCs w:val="21"/>
          <w:highlight w:val="none"/>
          <w:lang w:val="en-US" w:eastAsia="zh-CN"/>
        </w:rPr>
        <w:t>公布期</w:t>
      </w:r>
      <w:r>
        <w:rPr>
          <w:rFonts w:hint="eastAsia" w:cs="宋体"/>
          <w:color w:val="auto"/>
          <w:sz w:val="21"/>
          <w:szCs w:val="21"/>
          <w:highlight w:val="none"/>
          <w:lang w:val="en-US"/>
        </w:rPr>
        <w:t>的建筑市场不良信用信息的扣</w:t>
      </w:r>
      <w:r>
        <w:rPr>
          <w:rFonts w:hint="eastAsia" w:cs="宋体"/>
          <w:color w:val="auto"/>
          <w:sz w:val="21"/>
          <w:szCs w:val="21"/>
          <w:highlight w:val="none"/>
          <w:lang w:val="en-US" w:eastAsia="zh-CN"/>
        </w:rPr>
        <w:t>1</w:t>
      </w:r>
      <w:r>
        <w:rPr>
          <w:rFonts w:hint="eastAsia" w:cs="宋体"/>
          <w:color w:val="auto"/>
          <w:sz w:val="21"/>
          <w:szCs w:val="21"/>
          <w:highlight w:val="none"/>
          <w:lang w:val="en-US"/>
        </w:rPr>
        <w:t>分。（建筑市场不良信用信息以县（区）级及以上建设行政管理部门发布的信息为准）</w:t>
      </w:r>
    </w:p>
    <w:p>
      <w:pPr>
        <w:pStyle w:val="12"/>
        <w:tabs>
          <w:tab w:val="left" w:pos="9360"/>
        </w:tabs>
        <w:spacing w:line="360" w:lineRule="auto"/>
        <w:ind w:firstLine="420" w:firstLineChars="200"/>
        <w:rPr>
          <w:rFonts w:hint="eastAsia" w:ascii="Times New Roman"/>
          <w:color w:val="auto"/>
          <w:sz w:val="21"/>
          <w:szCs w:val="21"/>
          <w:lang w:val="en-US"/>
        </w:rPr>
      </w:pPr>
      <w:r>
        <w:rPr>
          <w:rFonts w:hint="eastAsia" w:cs="宋体"/>
          <w:color w:val="auto"/>
          <w:sz w:val="21"/>
          <w:szCs w:val="21"/>
          <w:highlight w:val="none"/>
          <w:lang w:val="en-US"/>
        </w:rPr>
        <w:t>（b）投标人或参与本项目投标的项目负责人</w:t>
      </w:r>
      <w:r>
        <w:rPr>
          <w:rFonts w:hint="eastAsia" w:cs="宋体"/>
          <w:color w:val="auto"/>
          <w:sz w:val="21"/>
          <w:szCs w:val="21"/>
          <w:highlight w:val="none"/>
          <w:lang w:val="en-US" w:eastAsia="zh-CN"/>
        </w:rPr>
        <w:t>半年</w:t>
      </w:r>
      <w:r>
        <w:rPr>
          <w:rFonts w:hint="eastAsia" w:ascii="Times New Roman"/>
          <w:color w:val="auto"/>
          <w:sz w:val="21"/>
          <w:szCs w:val="21"/>
          <w:highlight w:val="none"/>
          <w:lang w:val="en-US"/>
        </w:rPr>
        <w:t>内</w:t>
      </w:r>
      <w:r>
        <w:rPr>
          <w:rFonts w:hint="eastAsia" w:cs="宋体"/>
          <w:color w:val="auto"/>
          <w:sz w:val="21"/>
          <w:szCs w:val="21"/>
          <w:highlight w:val="none"/>
          <w:lang w:val="en-US"/>
        </w:rPr>
        <w:t>被县（区）级及以上建设行政管理部门行政处罚的扣</w:t>
      </w:r>
      <w:r>
        <w:rPr>
          <w:rFonts w:hint="eastAsia" w:cs="宋体"/>
          <w:color w:val="auto"/>
          <w:sz w:val="21"/>
          <w:szCs w:val="21"/>
          <w:highlight w:val="none"/>
          <w:lang w:val="en-US" w:eastAsia="zh-CN"/>
        </w:rPr>
        <w:t>1</w:t>
      </w:r>
      <w:r>
        <w:rPr>
          <w:rFonts w:hint="eastAsia" w:cs="宋体"/>
          <w:color w:val="auto"/>
          <w:sz w:val="21"/>
          <w:szCs w:val="21"/>
          <w:highlight w:val="none"/>
          <w:lang w:val="en-US"/>
        </w:rPr>
        <w:t>分。</w:t>
      </w:r>
      <w:r>
        <w:rPr>
          <w:rFonts w:hint="eastAsia" w:ascii="Times New Roman"/>
          <w:color w:val="auto"/>
          <w:sz w:val="21"/>
          <w:szCs w:val="21"/>
          <w:highlight w:val="none"/>
          <w:lang w:val="en-US"/>
        </w:rPr>
        <w:t>（自投标截止日起上溯</w:t>
      </w:r>
      <w:r>
        <w:rPr>
          <w:rFonts w:hint="eastAsia" w:ascii="Times New Roman"/>
          <w:color w:val="auto"/>
          <w:sz w:val="21"/>
          <w:szCs w:val="21"/>
          <w:highlight w:val="none"/>
          <w:lang w:val="en-US" w:eastAsia="zh-CN"/>
        </w:rPr>
        <w:t>半年</w:t>
      </w:r>
      <w:r>
        <w:rPr>
          <w:rFonts w:hint="eastAsia" w:ascii="Times New Roman"/>
          <w:color w:val="auto"/>
          <w:sz w:val="21"/>
          <w:szCs w:val="21"/>
          <w:highlight w:val="none"/>
          <w:lang w:val="en-US"/>
        </w:rPr>
        <w:t>，以处罚文件发文时间为准</w:t>
      </w:r>
      <w:r>
        <w:rPr>
          <w:rFonts w:hint="eastAsia" w:ascii="Times New Roman"/>
          <w:color w:val="auto"/>
          <w:sz w:val="21"/>
          <w:szCs w:val="21"/>
          <w:highlight w:val="none"/>
          <w:lang w:val="en-US" w:eastAsia="zh-CN"/>
        </w:rPr>
        <w:t>。同一事件如已被建设行政管理部门列入不良信用信息进行公示的，以不良信用信</w:t>
      </w:r>
      <w:r>
        <w:rPr>
          <w:rFonts w:hint="eastAsia" w:ascii="Times New Roman"/>
          <w:color w:val="auto"/>
          <w:sz w:val="21"/>
          <w:szCs w:val="21"/>
          <w:lang w:val="en-US" w:eastAsia="zh-CN"/>
        </w:rPr>
        <w:t>息公布的公示期限为准</w:t>
      </w:r>
      <w:r>
        <w:rPr>
          <w:rFonts w:hint="eastAsia" w:ascii="Times New Roman"/>
          <w:color w:val="auto"/>
          <w:sz w:val="21"/>
          <w:szCs w:val="21"/>
          <w:lang w:val="en-US"/>
        </w:rPr>
        <w:t>）</w:t>
      </w:r>
    </w:p>
    <w:p>
      <w:pPr>
        <w:pStyle w:val="12"/>
        <w:tabs>
          <w:tab w:val="left" w:pos="9360"/>
        </w:tabs>
        <w:spacing w:line="360" w:lineRule="auto"/>
        <w:ind w:firstLine="480"/>
        <w:rPr>
          <w:rFonts w:hint="eastAsia" w:cs="宋体"/>
          <w:color w:val="auto"/>
          <w:sz w:val="21"/>
          <w:szCs w:val="21"/>
          <w:highlight w:val="none"/>
          <w:lang w:val="en-US" w:eastAsia="zh-CN"/>
        </w:rPr>
      </w:pPr>
      <w:r>
        <w:rPr>
          <w:rFonts w:hint="eastAsia" w:cs="宋体"/>
          <w:color w:val="auto"/>
          <w:sz w:val="21"/>
          <w:szCs w:val="21"/>
          <w:highlight w:val="none"/>
          <w:lang w:val="en-US" w:eastAsia="zh-CN"/>
        </w:rPr>
        <w:t>2.项目负责人信用分（2分）</w:t>
      </w:r>
    </w:p>
    <w:p>
      <w:pPr>
        <w:pStyle w:val="12"/>
        <w:tabs>
          <w:tab w:val="left" w:pos="9360"/>
        </w:tabs>
        <w:spacing w:line="360" w:lineRule="auto"/>
        <w:ind w:firstLine="480"/>
        <w:rPr>
          <w:rFonts w:hint="eastAsia" w:cs="宋体"/>
          <w:color w:val="auto"/>
          <w:sz w:val="21"/>
          <w:szCs w:val="21"/>
          <w:highlight w:val="none"/>
          <w:lang w:val="en-US" w:eastAsia="zh-CN"/>
        </w:rPr>
      </w:pPr>
      <w:r>
        <w:rPr>
          <w:rFonts w:hint="eastAsia" w:cs="宋体"/>
          <w:color w:val="auto"/>
          <w:sz w:val="21"/>
          <w:szCs w:val="21"/>
          <w:highlight w:val="none"/>
          <w:lang w:val="en-US" w:eastAsia="zh-CN"/>
        </w:rPr>
        <w:t>根据项目负责人的信用等级进行打分（此项待项目负责人信用评价细则出台后实施，未实施前均得满分）。</w:t>
      </w:r>
    </w:p>
    <w:p>
      <w:pPr>
        <w:pStyle w:val="12"/>
        <w:tabs>
          <w:tab w:val="left" w:pos="9360"/>
        </w:tabs>
        <w:spacing w:line="360" w:lineRule="auto"/>
        <w:ind w:firstLine="480"/>
        <w:rPr>
          <w:rFonts w:hint="eastAsia" w:cs="宋体"/>
          <w:color w:val="auto"/>
          <w:sz w:val="21"/>
          <w:szCs w:val="21"/>
          <w:highlight w:val="yellow"/>
          <w:lang w:val="en-US" w:eastAsia="zh-CN"/>
        </w:rPr>
      </w:pPr>
      <w:r>
        <w:rPr>
          <w:rFonts w:hint="eastAsia" w:cs="宋体"/>
          <w:color w:val="auto"/>
          <w:sz w:val="21"/>
          <w:szCs w:val="21"/>
          <w:highlight w:val="none"/>
          <w:lang w:val="en-US" w:eastAsia="zh-CN"/>
        </w:rPr>
        <w:t>3.投标人类似项目经验（2分）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3845"/>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044" w:type="dxa"/>
            <w:vMerge w:val="restart"/>
          </w:tcPr>
          <w:p>
            <w:pPr>
              <w:pStyle w:val="12"/>
              <w:widowControl w:val="0"/>
              <w:numPr>
                <w:ilvl w:val="0"/>
                <w:numId w:val="0"/>
              </w:numPr>
              <w:tabs>
                <w:tab w:val="left" w:pos="9360"/>
              </w:tabs>
              <w:spacing w:line="240" w:lineRule="auto"/>
              <w:jc w:val="both"/>
              <w:rPr>
                <w:rFonts w:hint="eastAsia" w:cs="宋体"/>
                <w:color w:val="auto"/>
                <w:sz w:val="21"/>
                <w:szCs w:val="21"/>
                <w:highlight w:val="none"/>
                <w:vertAlign w:val="baseline"/>
                <w:lang w:val="en-US" w:eastAsia="zh-CN"/>
              </w:rPr>
            </w:pPr>
          </w:p>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投标人类似项目程经验</w:t>
            </w:r>
          </w:p>
        </w:tc>
        <w:tc>
          <w:tcPr>
            <w:tcW w:w="3845" w:type="dxa"/>
            <w:vMerge w:val="restart"/>
          </w:tcPr>
          <w:p>
            <w:pPr>
              <w:pStyle w:val="12"/>
              <w:widowControl w:val="0"/>
              <w:numPr>
                <w:ilvl w:val="0"/>
                <w:numId w:val="0"/>
              </w:numPr>
              <w:tabs>
                <w:tab w:val="left" w:pos="9360"/>
              </w:tabs>
              <w:spacing w:line="240" w:lineRule="auto"/>
              <w:jc w:val="both"/>
              <w:rPr>
                <w:rFonts w:hint="default" w:cs="宋体"/>
                <w:color w:val="auto"/>
                <w:sz w:val="21"/>
                <w:szCs w:val="21"/>
                <w:highlight w:val="none"/>
                <w:u w:val="single"/>
                <w:vertAlign w:val="baseline"/>
                <w:lang w:val="en-US" w:eastAsia="zh-CN"/>
              </w:rPr>
            </w:pPr>
          </w:p>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u w:val="single"/>
                <w:vertAlign w:val="baseline"/>
                <w:lang w:val="en-US" w:eastAsia="zh-CN"/>
              </w:rPr>
              <w:t xml:space="preserve">   </w:t>
            </w:r>
            <w:r>
              <w:rPr>
                <w:rFonts w:hint="default" w:cs="宋体"/>
                <w:color w:val="auto"/>
                <w:sz w:val="21"/>
                <w:szCs w:val="21"/>
                <w:highlight w:val="none"/>
                <w:vertAlign w:val="baseline"/>
                <w:lang w:val="en-US" w:eastAsia="zh-CN"/>
              </w:rPr>
              <w:t>年</w:t>
            </w:r>
            <w:r>
              <w:rPr>
                <w:rFonts w:hint="default" w:cs="宋体"/>
                <w:color w:val="auto"/>
                <w:sz w:val="21"/>
                <w:szCs w:val="21"/>
                <w:highlight w:val="none"/>
                <w:u w:val="single"/>
                <w:vertAlign w:val="baseline"/>
                <w:lang w:val="en-US" w:eastAsia="zh-CN"/>
              </w:rPr>
              <w:t xml:space="preserve">   </w:t>
            </w:r>
            <w:r>
              <w:rPr>
                <w:rFonts w:hint="default" w:cs="宋体"/>
                <w:color w:val="auto"/>
                <w:sz w:val="21"/>
                <w:szCs w:val="21"/>
                <w:highlight w:val="none"/>
                <w:vertAlign w:val="baseline"/>
                <w:lang w:val="en-US" w:eastAsia="zh-CN"/>
              </w:rPr>
              <w:t>月</w:t>
            </w:r>
            <w:r>
              <w:rPr>
                <w:rFonts w:hint="eastAsia" w:cs="宋体"/>
                <w:color w:val="auto"/>
                <w:sz w:val="21"/>
                <w:szCs w:val="21"/>
                <w:highlight w:val="none"/>
                <w:u w:val="single"/>
                <w:vertAlign w:val="baseline"/>
                <w:lang w:val="en-US" w:eastAsia="zh-CN"/>
              </w:rPr>
              <w:t xml:space="preserve">   </w:t>
            </w:r>
            <w:r>
              <w:rPr>
                <w:rFonts w:hint="default" w:cs="宋体"/>
                <w:color w:val="auto"/>
                <w:sz w:val="21"/>
                <w:szCs w:val="21"/>
                <w:highlight w:val="none"/>
                <w:vertAlign w:val="baseline"/>
                <w:lang w:val="en-US" w:eastAsia="zh-CN"/>
              </w:rPr>
              <w:t>日至今，</w:t>
            </w:r>
            <w:r>
              <w:rPr>
                <w:rFonts w:hint="eastAsia" w:cs="宋体"/>
                <w:color w:val="auto"/>
                <w:sz w:val="21"/>
                <w:szCs w:val="21"/>
                <w:highlight w:val="none"/>
                <w:vertAlign w:val="baseline"/>
                <w:lang w:val="en-US" w:eastAsia="zh-CN"/>
              </w:rPr>
              <w:t>投标人</w:t>
            </w:r>
            <w:r>
              <w:rPr>
                <w:rFonts w:hint="default" w:cs="宋体"/>
                <w:color w:val="auto"/>
                <w:sz w:val="21"/>
                <w:szCs w:val="21"/>
                <w:highlight w:val="none"/>
                <w:vertAlign w:val="baseline"/>
                <w:lang w:val="en-US" w:eastAsia="zh-CN"/>
              </w:rPr>
              <w:t>人完成过类似</w:t>
            </w:r>
            <w:r>
              <w:rPr>
                <w:rFonts w:hint="eastAsia" w:cs="宋体"/>
                <w:color w:val="auto"/>
                <w:sz w:val="21"/>
                <w:szCs w:val="21"/>
                <w:highlight w:val="none"/>
                <w:vertAlign w:val="baseline"/>
                <w:lang w:val="en-US" w:eastAsia="zh-CN"/>
              </w:rPr>
              <w:t>项目</w:t>
            </w:r>
            <w:r>
              <w:rPr>
                <w:rFonts w:hint="default" w:cs="宋体"/>
                <w:color w:val="auto"/>
                <w:sz w:val="21"/>
                <w:szCs w:val="21"/>
                <w:highlight w:val="none"/>
                <w:vertAlign w:val="baseline"/>
                <w:lang w:val="en-US" w:eastAsia="zh-CN"/>
              </w:rPr>
              <w:t>。</w:t>
            </w:r>
          </w:p>
          <w:p>
            <w:pPr>
              <w:pStyle w:val="12"/>
              <w:widowControl w:val="0"/>
              <w:numPr>
                <w:ilvl w:val="0"/>
                <w:numId w:val="0"/>
              </w:numPr>
              <w:tabs>
                <w:tab w:val="left" w:pos="9360"/>
              </w:tabs>
              <w:spacing w:line="240" w:lineRule="auto"/>
              <w:jc w:val="both"/>
              <w:rPr>
                <w:rFonts w:hint="default" w:cs="宋体"/>
                <w:color w:val="auto"/>
                <w:sz w:val="21"/>
                <w:szCs w:val="21"/>
                <w:highlight w:val="none"/>
                <w:u w:val="single"/>
                <w:vertAlign w:val="baseline"/>
                <w:lang w:val="en-US" w:eastAsia="zh-CN"/>
              </w:rPr>
            </w:pPr>
            <w:r>
              <w:rPr>
                <w:rFonts w:hint="eastAsia" w:cs="宋体"/>
                <w:color w:val="auto"/>
                <w:sz w:val="21"/>
                <w:szCs w:val="21"/>
                <w:highlight w:val="none"/>
                <w:vertAlign w:val="baseline"/>
                <w:lang w:val="en-US" w:eastAsia="zh-CN"/>
              </w:rPr>
              <w:t>类似项目指：</w:t>
            </w:r>
            <w:r>
              <w:rPr>
                <w:rFonts w:hint="eastAsia" w:cs="宋体"/>
                <w:color w:val="auto"/>
                <w:sz w:val="21"/>
                <w:szCs w:val="21"/>
                <w:highlight w:val="none"/>
                <w:u w:val="single"/>
                <w:vertAlign w:val="baseline"/>
                <w:lang w:val="en-US" w:eastAsia="zh-CN"/>
              </w:rPr>
              <w:t xml:space="preserve">                </w:t>
            </w:r>
          </w:p>
        </w:tc>
        <w:tc>
          <w:tcPr>
            <w:tcW w:w="3804" w:type="dxa"/>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vertAlign w:val="baseline"/>
                <w:lang w:val="en-US" w:eastAsia="zh-CN"/>
              </w:rPr>
              <w:t>达到招标项目相应规模</w:t>
            </w:r>
            <w:r>
              <w:rPr>
                <w:rFonts w:hint="eastAsia" w:cs="宋体"/>
                <w:color w:val="auto"/>
                <w:sz w:val="21"/>
                <w:szCs w:val="21"/>
                <w:highlight w:val="none"/>
                <w:vertAlign w:val="baseline"/>
                <w:lang w:val="en-US" w:eastAsia="zh-CN"/>
              </w:rPr>
              <w:t>80</w:t>
            </w:r>
            <w:r>
              <w:rPr>
                <w:rFonts w:hint="default" w:cs="宋体"/>
                <w:color w:val="auto"/>
                <w:sz w:val="21"/>
                <w:szCs w:val="21"/>
                <w:highlight w:val="none"/>
                <w:vertAlign w:val="baseline"/>
                <w:lang w:val="en-US" w:eastAsia="zh-CN"/>
              </w:rPr>
              <w:t>%，得</w:t>
            </w:r>
            <w:r>
              <w:rPr>
                <w:rFonts w:hint="eastAsia" w:cs="宋体"/>
                <w:color w:val="auto"/>
                <w:sz w:val="21"/>
                <w:szCs w:val="21"/>
                <w:highlight w:val="none"/>
                <w:vertAlign w:val="baseline"/>
                <w:lang w:val="en-US" w:eastAsia="zh-CN"/>
              </w:rPr>
              <w:t>2</w:t>
            </w:r>
            <w:r>
              <w:rPr>
                <w:rFonts w:hint="default" w:cs="宋体"/>
                <w:color w:val="auto"/>
                <w:sz w:val="21"/>
                <w:szCs w:val="21"/>
                <w:highlight w:val="none"/>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044" w:type="dxa"/>
            <w:vMerge w:val="continue"/>
          </w:tcPr>
          <w:p>
            <w:pPr>
              <w:pStyle w:val="12"/>
              <w:widowControl w:val="0"/>
              <w:tabs>
                <w:tab w:val="left" w:pos="9360"/>
              </w:tabs>
              <w:spacing w:line="240" w:lineRule="auto"/>
              <w:jc w:val="both"/>
              <w:rPr>
                <w:rFonts w:hint="default" w:cs="宋体"/>
                <w:color w:val="auto"/>
                <w:sz w:val="21"/>
                <w:szCs w:val="21"/>
                <w:highlight w:val="none"/>
                <w:vertAlign w:val="baseline"/>
                <w:lang w:val="en-US" w:eastAsia="zh-CN"/>
              </w:rPr>
            </w:pPr>
          </w:p>
        </w:tc>
        <w:tc>
          <w:tcPr>
            <w:tcW w:w="3845" w:type="dxa"/>
            <w:vMerge w:val="continue"/>
          </w:tcPr>
          <w:p>
            <w:pPr>
              <w:pStyle w:val="12"/>
              <w:widowControl w:val="0"/>
              <w:tabs>
                <w:tab w:val="left" w:pos="9360"/>
              </w:tabs>
              <w:spacing w:line="240" w:lineRule="auto"/>
              <w:jc w:val="both"/>
              <w:rPr>
                <w:rFonts w:hint="default" w:cs="宋体"/>
                <w:color w:val="auto"/>
                <w:sz w:val="21"/>
                <w:szCs w:val="21"/>
                <w:highlight w:val="none"/>
                <w:vertAlign w:val="baseline"/>
                <w:lang w:val="en-US" w:eastAsia="zh-CN"/>
              </w:rPr>
            </w:pPr>
          </w:p>
        </w:tc>
        <w:tc>
          <w:tcPr>
            <w:tcW w:w="3804" w:type="dxa"/>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vertAlign w:val="baseline"/>
                <w:lang w:val="en-US" w:eastAsia="zh-CN"/>
              </w:rPr>
              <w:t>达到招标项目相应规模</w:t>
            </w:r>
            <w:r>
              <w:rPr>
                <w:rFonts w:hint="eastAsia" w:cs="宋体"/>
                <w:color w:val="auto"/>
                <w:sz w:val="21"/>
                <w:szCs w:val="21"/>
                <w:highlight w:val="none"/>
                <w:vertAlign w:val="baseline"/>
                <w:lang w:val="en-US" w:eastAsia="zh-CN"/>
              </w:rPr>
              <w:t>50</w:t>
            </w:r>
            <w:r>
              <w:rPr>
                <w:rFonts w:hint="default" w:cs="宋体"/>
                <w:color w:val="auto"/>
                <w:sz w:val="21"/>
                <w:szCs w:val="21"/>
                <w:highlight w:val="none"/>
                <w:vertAlign w:val="baseline"/>
                <w:lang w:val="en-US" w:eastAsia="zh-CN"/>
              </w:rPr>
              <w:t>%，得</w:t>
            </w:r>
            <w:r>
              <w:rPr>
                <w:rFonts w:hint="eastAsia" w:cs="宋体"/>
                <w:color w:val="auto"/>
                <w:sz w:val="21"/>
                <w:szCs w:val="21"/>
                <w:highlight w:val="none"/>
                <w:vertAlign w:val="baseline"/>
                <w:lang w:val="en-US" w:eastAsia="zh-CN"/>
              </w:rPr>
              <w:t>1.5</w:t>
            </w:r>
            <w:r>
              <w:rPr>
                <w:rFonts w:hint="default" w:cs="宋体"/>
                <w:color w:val="auto"/>
                <w:sz w:val="21"/>
                <w:szCs w:val="21"/>
                <w:highlight w:val="none"/>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044" w:type="dxa"/>
            <w:vMerge w:val="continue"/>
          </w:tcPr>
          <w:p>
            <w:pPr>
              <w:pStyle w:val="12"/>
              <w:widowControl w:val="0"/>
              <w:tabs>
                <w:tab w:val="left" w:pos="9360"/>
              </w:tabs>
              <w:spacing w:line="240" w:lineRule="auto"/>
              <w:jc w:val="both"/>
              <w:rPr>
                <w:rFonts w:hint="default" w:cs="宋体"/>
                <w:color w:val="auto"/>
                <w:sz w:val="21"/>
                <w:szCs w:val="21"/>
                <w:highlight w:val="none"/>
                <w:vertAlign w:val="baseline"/>
                <w:lang w:val="en-US" w:eastAsia="zh-CN"/>
              </w:rPr>
            </w:pPr>
          </w:p>
        </w:tc>
        <w:tc>
          <w:tcPr>
            <w:tcW w:w="3845" w:type="dxa"/>
            <w:vMerge w:val="continue"/>
          </w:tcPr>
          <w:p>
            <w:pPr>
              <w:pStyle w:val="12"/>
              <w:widowControl w:val="0"/>
              <w:tabs>
                <w:tab w:val="left" w:pos="9360"/>
              </w:tabs>
              <w:spacing w:line="240" w:lineRule="auto"/>
              <w:jc w:val="both"/>
              <w:rPr>
                <w:rFonts w:hint="default" w:cs="宋体"/>
                <w:color w:val="auto"/>
                <w:sz w:val="21"/>
                <w:szCs w:val="21"/>
                <w:highlight w:val="none"/>
                <w:vertAlign w:val="baseline"/>
                <w:lang w:val="en-US" w:eastAsia="zh-CN"/>
              </w:rPr>
            </w:pPr>
          </w:p>
        </w:tc>
        <w:tc>
          <w:tcPr>
            <w:tcW w:w="3804" w:type="dxa"/>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vertAlign w:val="baseline"/>
                <w:lang w:val="en-US" w:eastAsia="zh-CN"/>
              </w:rPr>
              <w:t>达到招标项目相应规模</w:t>
            </w:r>
            <w:r>
              <w:rPr>
                <w:rFonts w:hint="eastAsia" w:cs="宋体"/>
                <w:color w:val="auto"/>
                <w:sz w:val="21"/>
                <w:szCs w:val="21"/>
                <w:highlight w:val="none"/>
                <w:vertAlign w:val="baseline"/>
                <w:lang w:val="en-US" w:eastAsia="zh-CN"/>
              </w:rPr>
              <w:t>20</w:t>
            </w:r>
            <w:r>
              <w:rPr>
                <w:rFonts w:hint="default" w:cs="宋体"/>
                <w:color w:val="auto"/>
                <w:sz w:val="21"/>
                <w:szCs w:val="21"/>
                <w:highlight w:val="none"/>
                <w:vertAlign w:val="baseline"/>
                <w:lang w:val="en-US" w:eastAsia="zh-CN"/>
              </w:rPr>
              <w:t>%，得</w:t>
            </w:r>
            <w:r>
              <w:rPr>
                <w:rFonts w:hint="eastAsia" w:cs="宋体"/>
                <w:color w:val="auto"/>
                <w:sz w:val="21"/>
                <w:szCs w:val="21"/>
                <w:highlight w:val="none"/>
                <w:vertAlign w:val="baseline"/>
                <w:lang w:val="en-US" w:eastAsia="zh-CN"/>
              </w:rPr>
              <w:t>1</w:t>
            </w:r>
            <w:r>
              <w:rPr>
                <w:rFonts w:hint="default" w:cs="宋体"/>
                <w:color w:val="auto"/>
                <w:sz w:val="21"/>
                <w:szCs w:val="21"/>
                <w:highlight w:val="none"/>
                <w:vertAlign w:val="baseline"/>
                <w:lang w:val="en-US" w:eastAsia="zh-CN"/>
              </w:rPr>
              <w:t>分</w:t>
            </w:r>
          </w:p>
        </w:tc>
      </w:tr>
    </w:tbl>
    <w:p>
      <w:pPr>
        <w:pStyle w:val="12"/>
        <w:tabs>
          <w:tab w:val="left" w:pos="9360"/>
        </w:tabs>
        <w:spacing w:line="360" w:lineRule="auto"/>
        <w:rPr>
          <w:rFonts w:hint="default" w:cs="宋体"/>
          <w:color w:val="auto"/>
          <w:sz w:val="21"/>
          <w:szCs w:val="21"/>
          <w:lang w:val="en-US" w:eastAsia="zh-CN"/>
        </w:rPr>
      </w:pPr>
      <w:r>
        <w:rPr>
          <w:rFonts w:hint="eastAsia" w:cs="宋体"/>
          <w:color w:val="auto"/>
          <w:sz w:val="21"/>
          <w:szCs w:val="21"/>
          <w:lang w:val="en-US" w:eastAsia="zh-CN"/>
        </w:rPr>
        <w:t>注：①类似项目的证明材料：</w:t>
      </w:r>
      <w:r>
        <w:rPr>
          <w:rFonts w:hint="eastAsia" w:cs="宋体"/>
          <w:color w:val="auto"/>
          <w:sz w:val="21"/>
          <w:szCs w:val="21"/>
          <w:u w:val="single"/>
          <w:lang w:val="en-US" w:eastAsia="zh-CN"/>
        </w:rPr>
        <w:t xml:space="preserve">                  </w:t>
      </w:r>
      <w:r>
        <w:rPr>
          <w:rFonts w:hint="eastAsia" w:cs="宋体"/>
          <w:color w:val="auto"/>
          <w:sz w:val="21"/>
          <w:szCs w:val="21"/>
          <w:lang w:val="en-US" w:eastAsia="zh-CN"/>
        </w:rPr>
        <w:t xml:space="preserve">          </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②软土地基的认定标准：</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lang w:val="en-US" w:eastAsia="zh-CN"/>
        </w:rPr>
        <w:t xml:space="preserve">          </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③类似项目以全国和浙江省建筑市场监管公共服务平台查询的为准，平台上无法查询的项目业绩不作为评审依据。平台上的资料信息无法证明项目规模指标的，投标人应该在投标文件中主动提供相关资料，否则评审中不予认可。</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④招标人应当从招标项目的建设规模（建筑面积或造价）和所处自然环境条件界定类似项目。类似项目年限要求为近5年。</w:t>
      </w:r>
    </w:p>
    <w:p>
      <w:pPr>
        <w:pStyle w:val="12"/>
        <w:tabs>
          <w:tab w:val="left" w:pos="9360"/>
        </w:tabs>
        <w:spacing w:line="360" w:lineRule="auto"/>
        <w:ind w:firstLine="420" w:firstLineChars="200"/>
        <w:rPr>
          <w:rFonts w:hint="eastAsia" w:eastAsia="宋体" w:cs="宋体"/>
          <w:color w:val="auto"/>
          <w:sz w:val="21"/>
          <w:szCs w:val="21"/>
          <w:highlight w:val="yellow"/>
          <w:lang w:val="en-US" w:eastAsia="zh-CN"/>
        </w:rPr>
      </w:pPr>
      <w:r>
        <w:rPr>
          <w:rFonts w:hint="eastAsia" w:cs="宋体"/>
          <w:color w:val="auto"/>
          <w:sz w:val="21"/>
          <w:szCs w:val="21"/>
          <w:lang w:val="en-US"/>
        </w:rPr>
        <w:t>投标人总得</w:t>
      </w:r>
      <w:r>
        <w:rPr>
          <w:rFonts w:hint="eastAsia" w:cs="宋体"/>
          <w:color w:val="auto"/>
          <w:sz w:val="21"/>
          <w:szCs w:val="21"/>
        </w:rPr>
        <w:t>分=</w:t>
      </w:r>
      <w:r>
        <w:rPr>
          <w:rFonts w:hint="eastAsia" w:cs="宋体"/>
          <w:color w:val="auto"/>
          <w:sz w:val="21"/>
          <w:szCs w:val="21"/>
          <w:lang w:val="en-US"/>
        </w:rPr>
        <w:t>投标人商务标得分+投标人</w:t>
      </w:r>
      <w:r>
        <w:rPr>
          <w:rFonts w:hint="eastAsia" w:cs="宋体"/>
          <w:color w:val="auto"/>
          <w:sz w:val="21"/>
          <w:szCs w:val="21"/>
          <w:lang w:val="en-US" w:eastAsia="zh-CN"/>
        </w:rPr>
        <w:t>资信</w:t>
      </w:r>
      <w:r>
        <w:rPr>
          <w:rFonts w:hint="eastAsia" w:cs="宋体"/>
          <w:color w:val="auto"/>
          <w:sz w:val="21"/>
          <w:szCs w:val="21"/>
          <w:lang w:val="en-US"/>
        </w:rPr>
        <w:t>评分</w:t>
      </w:r>
      <w:r>
        <w:rPr>
          <w:rFonts w:hint="eastAsia" w:cs="宋体"/>
          <w:color w:val="auto"/>
          <w:sz w:val="21"/>
          <w:szCs w:val="21"/>
          <w:lang w:val="en-US" w:eastAsia="zh-CN"/>
        </w:rPr>
        <w:t>+答辩陈述分</w:t>
      </w:r>
    </w:p>
    <w:p>
      <w:pPr>
        <w:pStyle w:val="12"/>
        <w:tabs>
          <w:tab w:val="left" w:pos="9360"/>
        </w:tabs>
        <w:spacing w:line="360" w:lineRule="auto"/>
        <w:ind w:firstLine="421" w:firstLineChars="200"/>
        <w:outlineLvl w:val="2"/>
        <w:rPr>
          <w:rFonts w:hint="eastAsia" w:cs="宋体"/>
          <w:b/>
          <w:bCs/>
          <w:sz w:val="21"/>
          <w:szCs w:val="21"/>
        </w:rPr>
      </w:pPr>
      <w:r>
        <w:rPr>
          <w:rFonts w:hint="eastAsia" w:cs="宋体"/>
          <w:b/>
          <w:bCs/>
          <w:sz w:val="21"/>
          <w:szCs w:val="21"/>
          <w:lang w:val="en-US" w:eastAsia="zh-CN"/>
        </w:rPr>
        <w:t>八</w:t>
      </w:r>
      <w:r>
        <w:rPr>
          <w:rFonts w:hint="eastAsia" w:cs="宋体"/>
          <w:b/>
          <w:bCs/>
          <w:sz w:val="21"/>
          <w:szCs w:val="21"/>
        </w:rPr>
        <w:t>、综合评审</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综合评审是对通过资格审查（平台系统核对）、商务标评审、陈述和答辩、资信评审的拟推荐为中标候选人的投标人进行其他内容的综合评审，投标人存在投标须知前附表10.5情形（其他）的，评标委员会组织投标人询问核实后，情况属实的，综合评审不予通过，否决其投标。</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评标委员会对拟推荐中标候选人和其拟派项目负责人在投标文件中所申报的信用信息进行核对，如发现投标人递交投标文件中的信用信息的错、漏可能影响评审结果的，评标委员会应组织投标人核实，情况属实的取消其推荐为中标候选人的资格并书面报告招标人和招投标管理部门。</w:t>
      </w:r>
    </w:p>
    <w:p>
      <w:pPr>
        <w:spacing w:line="360" w:lineRule="auto"/>
        <w:ind w:firstLine="421" w:firstLineChars="200"/>
        <w:outlineLvl w:val="2"/>
        <w:rPr>
          <w:rFonts w:hint="eastAsia" w:ascii="宋体" w:hAnsi="宋体"/>
          <w:b/>
          <w:sz w:val="21"/>
          <w:szCs w:val="21"/>
          <w:lang w:val="zh-CN"/>
        </w:rPr>
      </w:pPr>
      <w:r>
        <w:rPr>
          <w:rFonts w:hint="eastAsia" w:ascii="宋体" w:hAnsi="宋体"/>
          <w:b/>
          <w:sz w:val="21"/>
          <w:szCs w:val="21"/>
          <w:lang w:val="en-US" w:eastAsia="zh-CN"/>
        </w:rPr>
        <w:t>九</w:t>
      </w:r>
      <w:r>
        <w:rPr>
          <w:rFonts w:hint="eastAsia" w:ascii="宋体" w:hAnsi="宋体"/>
          <w:b/>
          <w:sz w:val="21"/>
          <w:szCs w:val="21"/>
        </w:rPr>
        <w:t>、</w:t>
      </w:r>
      <w:r>
        <w:rPr>
          <w:rFonts w:hint="eastAsia" w:ascii="宋体" w:hAnsi="宋体" w:eastAsia="宋体" w:cs="宋体"/>
          <w:b/>
          <w:bCs/>
          <w:kern w:val="0"/>
          <w:sz w:val="21"/>
          <w:szCs w:val="21"/>
          <w:lang w:val="zh-CN" w:eastAsia="zh-CN" w:bidi="ar-SA"/>
        </w:rPr>
        <w:t>推荐中标候选人</w:t>
      </w:r>
    </w:p>
    <w:p>
      <w:pPr>
        <w:pStyle w:val="12"/>
        <w:tabs>
          <w:tab w:val="left" w:pos="9360"/>
        </w:tabs>
        <w:spacing w:line="360" w:lineRule="auto"/>
        <w:ind w:firstLine="420" w:firstLineChars="200"/>
        <w:rPr>
          <w:rFonts w:hint="eastAsia" w:cs="宋体"/>
          <w:sz w:val="21"/>
          <w:szCs w:val="21"/>
        </w:rPr>
      </w:pPr>
      <w:r>
        <w:rPr>
          <w:rFonts w:hint="eastAsia" w:cs="宋体"/>
          <w:sz w:val="21"/>
          <w:szCs w:val="21"/>
        </w:rPr>
        <w:t xml:space="preserve">评标委员会对投标人按总分从高到低进行排序，并按照排序推荐中标候选人。如总分相同的，以投标报价低的优先；上述均相同的 </w:t>
      </w:r>
      <w:r>
        <w:rPr>
          <w:rFonts w:hint="eastAsia" w:cs="宋体"/>
          <w:sz w:val="21"/>
          <w:szCs w:val="21"/>
          <w:u w:val="single"/>
        </w:rPr>
        <w:t xml:space="preserve"> (在招标文件中明确确定方式)</w:t>
      </w:r>
      <w:r>
        <w:rPr>
          <w:rFonts w:hint="eastAsia" w:cs="宋体"/>
          <w:sz w:val="21"/>
          <w:szCs w:val="21"/>
        </w:rPr>
        <w:t xml:space="preserve"> 。</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评标委员会对拟确定的推荐中标候选人和其拟派项目负责人，是否列入失信被执行人名单及在本招标文件（招标公告）规定时间范围内是否有贿赂犯罪记录的情形进行查验。如查实存在行贿犯罪记录情况（以行贿罪判决为准）、被列入失信被执行人名单的，则取消其中标候选人资格。</w:t>
      </w:r>
    </w:p>
    <w:p>
      <w:pPr>
        <w:pStyle w:val="12"/>
        <w:tabs>
          <w:tab w:val="left" w:pos="9360"/>
        </w:tabs>
        <w:spacing w:line="360" w:lineRule="auto"/>
        <w:ind w:firstLine="420" w:firstLineChars="200"/>
        <w:rPr>
          <w:rFonts w:hint="eastAsia"/>
        </w:rPr>
        <w:sectPr>
          <w:pgSz w:w="12240" w:h="15840"/>
          <w:pgMar w:top="1400" w:right="1043" w:bottom="1120" w:left="1720" w:header="0" w:footer="921" w:gutter="0"/>
          <w:cols w:space="720" w:num="1"/>
        </w:sectPr>
      </w:pPr>
      <w:r>
        <w:rPr>
          <w:rFonts w:hint="eastAsia" w:cs="宋体"/>
          <w:sz w:val="21"/>
          <w:szCs w:val="21"/>
        </w:rPr>
        <w:t>当有效投标人＜3家时，评标委员会应判定本次投标是否具有竞争力。若评标委员会认为本次投标明显缺乏竞争的，可以否决全部投标。</w:t>
      </w:r>
    </w:p>
    <w:p>
      <w:pPr>
        <w:pStyle w:val="8"/>
        <w:rPr>
          <w:rFonts w:hint="eastAsia"/>
        </w:rPr>
      </w:pPr>
    </w:p>
    <w:p>
      <w:pPr>
        <w:rPr>
          <w:rFonts w:hint="eastAsia"/>
        </w:rPr>
      </w:pPr>
    </w:p>
    <w:p>
      <w:pPr>
        <w:widowControl/>
        <w:autoSpaceDE/>
        <w:autoSpaceDN/>
        <w:adjustRightInd/>
        <w:outlineLvl w:val="1"/>
        <w:rPr>
          <w:rFonts w:hint="eastAsia" w:ascii="宋体" w:hAnsi="宋体"/>
          <w:b/>
        </w:rPr>
      </w:pPr>
      <w:r>
        <w:rPr>
          <w:sz w:val="28"/>
          <w:szCs w:val="28"/>
        </w:rPr>
        <w:sym w:font="Wingdings 2" w:char="00A3"/>
      </w:r>
      <w:r>
        <w:rPr>
          <w:rFonts w:hint="eastAsia" w:ascii="宋体" w:hAnsi="宋体"/>
          <w:b/>
        </w:rPr>
        <w:t>评标办法（三）</w:t>
      </w:r>
    </w:p>
    <w:p>
      <w:pPr>
        <w:pStyle w:val="8"/>
        <w:rPr>
          <w:rFonts w:hint="eastAsia"/>
        </w:rPr>
      </w:pPr>
    </w:p>
    <w:p>
      <w:pPr>
        <w:snapToGrid w:val="0"/>
        <w:spacing w:line="360" w:lineRule="auto"/>
        <w:ind w:firstLine="421" w:firstLineChars="200"/>
        <w:jc w:val="center"/>
        <w:outlineLvl w:val="1"/>
        <w:rPr>
          <w:rFonts w:hint="eastAsia" w:ascii="宋体" w:hAnsi="宋体" w:eastAsia="宋体"/>
          <w:b/>
          <w:bCs w:val="0"/>
          <w:lang w:eastAsia="zh-CN"/>
        </w:rPr>
      </w:pPr>
      <w:r>
        <w:rPr>
          <w:rFonts w:hint="eastAsia" w:ascii="宋体" w:hAnsi="宋体"/>
          <w:b/>
          <w:bCs w:val="0"/>
          <w:lang w:eastAsia="zh-CN"/>
        </w:rPr>
        <w:t>技术标通过制的综合评估法（b）</w:t>
      </w:r>
    </w:p>
    <w:p>
      <w:pPr>
        <w:snapToGrid w:val="0"/>
        <w:spacing w:line="360" w:lineRule="auto"/>
        <w:ind w:firstLine="420" w:firstLineChars="200"/>
        <w:jc w:val="left"/>
        <w:outlineLvl w:val="1"/>
        <w:rPr>
          <w:rFonts w:hint="eastAsia" w:ascii="宋体" w:hAnsi="宋体"/>
          <w:bCs/>
        </w:rPr>
      </w:pPr>
      <w:r>
        <w:rPr>
          <w:rFonts w:hint="eastAsia" w:ascii="宋体" w:hAnsi="宋体"/>
          <w:b w:val="0"/>
          <w:bCs/>
          <w:lang w:eastAsia="zh-CN"/>
        </w:rPr>
        <w:t>技术标通过制的综合评估法（b）</w:t>
      </w:r>
      <w:r>
        <w:rPr>
          <w:rFonts w:hint="eastAsia" w:ascii="宋体" w:hAnsi="宋体"/>
          <w:b w:val="0"/>
          <w:bCs/>
        </w:rPr>
        <w:t>，适</w:t>
      </w:r>
      <w:r>
        <w:rPr>
          <w:rFonts w:hint="eastAsia" w:ascii="宋体" w:hAnsi="宋体"/>
        </w:rPr>
        <w:t>用</w:t>
      </w:r>
      <w:r>
        <w:rPr>
          <w:rFonts w:hint="eastAsia" w:ascii="宋体" w:hAnsi="宋体"/>
          <w:highlight w:val="none"/>
        </w:rPr>
        <w:t>于</w:t>
      </w:r>
      <w:r>
        <w:rPr>
          <w:rFonts w:hint="eastAsia" w:ascii="宋体" w:hAnsi="宋体"/>
          <w:bCs/>
          <w:highlight w:val="none"/>
          <w:lang w:val="en-US" w:eastAsia="zh-CN"/>
        </w:rPr>
        <w:t>房屋建筑工程招标控制价3000万以下，市政基础设施工程招标控制价1000万以下的施工总承包项目及专业工程承包项目</w:t>
      </w:r>
      <w:r>
        <w:rPr>
          <w:rFonts w:hint="eastAsia" w:ascii="宋体" w:hAnsi="宋体"/>
          <w:bCs/>
          <w:color w:val="auto"/>
          <w:highlight w:val="none"/>
        </w:rPr>
        <w:t>。</w:t>
      </w:r>
      <w:r>
        <w:rPr>
          <w:rFonts w:hint="eastAsia" w:ascii="宋体" w:hAnsi="宋体"/>
          <w:bCs/>
          <w:highlight w:val="none"/>
        </w:rPr>
        <w:t>评</w:t>
      </w:r>
      <w:r>
        <w:rPr>
          <w:rFonts w:hint="eastAsia" w:ascii="宋体" w:hAnsi="宋体"/>
          <w:bCs/>
        </w:rPr>
        <w:t>标应遵循公平、公正、科学、择优的原则。</w:t>
      </w:r>
    </w:p>
    <w:p>
      <w:pPr>
        <w:pStyle w:val="2"/>
        <w:rPr>
          <w:rFonts w:hint="eastAsia"/>
          <w:highlight w:val="none"/>
        </w:rPr>
      </w:pPr>
      <w:r>
        <w:rPr>
          <w:rFonts w:hint="eastAsia" w:ascii="宋体" w:hAnsi="宋体"/>
          <w:bCs/>
          <w:highlight w:val="none"/>
          <w:lang w:eastAsia="zh-CN"/>
        </w:rPr>
        <w:t>专业承包工程不应用企业信用等级，</w:t>
      </w:r>
      <w:r>
        <w:rPr>
          <w:rFonts w:hint="eastAsia" w:ascii="宋体" w:hAnsi="宋体"/>
          <w:bCs/>
          <w:highlight w:val="none"/>
          <w:lang w:val="en-US" w:eastAsia="zh-CN"/>
        </w:rPr>
        <w:t>采用随机抽取的方式进行入围</w:t>
      </w:r>
      <w:r>
        <w:rPr>
          <w:rFonts w:hint="eastAsia" w:ascii="宋体" w:hAnsi="宋体"/>
          <w:bCs/>
          <w:highlight w:val="none"/>
          <w:lang w:eastAsia="zh-CN"/>
        </w:rPr>
        <w:t>，入围家数由招标人根据项目情况确定，原则上不少于</w:t>
      </w:r>
      <w:r>
        <w:rPr>
          <w:rFonts w:hint="eastAsia" w:ascii="宋体" w:hAnsi="宋体"/>
          <w:bCs/>
          <w:highlight w:val="none"/>
          <w:lang w:val="en-US" w:eastAsia="zh-CN"/>
        </w:rPr>
        <w:t>15家。</w:t>
      </w:r>
    </w:p>
    <w:p>
      <w:pPr>
        <w:snapToGrid w:val="0"/>
        <w:spacing w:line="360" w:lineRule="auto"/>
        <w:ind w:firstLine="420" w:firstLineChars="200"/>
        <w:rPr>
          <w:rFonts w:hint="eastAsia" w:ascii="宋体" w:hAnsi="宋体"/>
          <w:bCs/>
          <w:lang w:val="en-US" w:eastAsia="zh-CN"/>
        </w:rPr>
      </w:pPr>
      <w:r>
        <w:rPr>
          <w:rFonts w:hint="eastAsia" w:ascii="宋体" w:hAnsi="宋体"/>
          <w:b w:val="0"/>
          <w:bCs/>
          <w:lang w:eastAsia="zh-CN"/>
        </w:rPr>
        <w:t>技术标通过制的综合评估法（b）</w:t>
      </w:r>
      <w:r>
        <w:rPr>
          <w:rFonts w:hint="eastAsia" w:ascii="宋体" w:hAnsi="宋体"/>
          <w:bCs/>
        </w:rPr>
        <w:t>估法</w:t>
      </w:r>
      <w:r>
        <w:rPr>
          <w:rFonts w:hint="eastAsia" w:ascii="宋体" w:hAnsi="宋体"/>
          <w:bCs/>
          <w:lang w:val="en-US" w:eastAsia="zh-CN"/>
        </w:rPr>
        <w:t>应先对投标人进行资格审查，已通过资格审查的投标人报价按规定的方法进入评审区间，对评审区间内的投标人进行商务标评审、资信评审和综合评审。</w:t>
      </w:r>
    </w:p>
    <w:p>
      <w:pPr>
        <w:snapToGrid w:val="0"/>
        <w:spacing w:line="360" w:lineRule="auto"/>
        <w:ind w:firstLine="420" w:firstLineChars="200"/>
        <w:rPr>
          <w:rFonts w:hint="eastAsia" w:ascii="宋体" w:hAnsi="宋体"/>
          <w:bCs/>
          <w:highlight w:val="none"/>
          <w:lang w:val="en-US" w:eastAsia="zh-CN"/>
        </w:rPr>
      </w:pPr>
      <w:r>
        <w:rPr>
          <w:rFonts w:hint="eastAsia" w:ascii="宋体" w:hAnsi="宋体"/>
          <w:bCs/>
          <w:highlight w:val="none"/>
          <w:lang w:val="en-US" w:eastAsia="zh-CN"/>
        </w:rPr>
        <w:t>总分=商务标评分95分+资信评分5分</w:t>
      </w:r>
    </w:p>
    <w:p>
      <w:pPr>
        <w:snapToGrid w:val="0"/>
        <w:spacing w:line="360" w:lineRule="auto"/>
        <w:ind w:firstLine="420" w:firstLineChars="200"/>
        <w:rPr>
          <w:rFonts w:hint="eastAsia" w:ascii="宋体" w:hAnsi="宋体"/>
          <w:bCs/>
          <w:u w:val="single"/>
        </w:rPr>
      </w:pPr>
      <w:r>
        <w:rPr>
          <w:rFonts w:hint="eastAsia" w:ascii="宋体" w:hAnsi="宋体"/>
          <w:bCs/>
        </w:rPr>
        <w:t>评标工作由招标人依法组建的评标委员会负责，评标委员会成员为</w:t>
      </w:r>
      <w:r>
        <w:rPr>
          <w:rFonts w:hint="eastAsia" w:ascii="宋体" w:hAnsi="宋体"/>
          <w:bCs/>
          <w:u w:val="single"/>
        </w:rPr>
        <w:t xml:space="preserve">   （应根据法律法规及相关文件要求填写）。</w:t>
      </w:r>
    </w:p>
    <w:p>
      <w:pPr>
        <w:pStyle w:val="12"/>
        <w:tabs>
          <w:tab w:val="left" w:pos="9360"/>
        </w:tabs>
        <w:spacing w:line="360" w:lineRule="auto"/>
        <w:ind w:firstLine="420" w:firstLineChars="200"/>
        <w:rPr>
          <w:sz w:val="21"/>
          <w:szCs w:val="21"/>
        </w:rPr>
      </w:pPr>
      <w:r>
        <w:rPr>
          <w:rFonts w:hint="eastAsia" w:cs="宋体"/>
          <w:sz w:val="21"/>
          <w:szCs w:val="21"/>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snapToGrid w:val="0"/>
        <w:spacing w:line="360" w:lineRule="auto"/>
        <w:ind w:firstLine="421" w:firstLineChars="200"/>
        <w:outlineLvl w:val="2"/>
        <w:rPr>
          <w:rFonts w:ascii="宋体" w:hAnsi="宋体"/>
          <w:b/>
        </w:rPr>
      </w:pPr>
      <w:r>
        <w:rPr>
          <w:rFonts w:ascii="宋体" w:hAnsi="宋体"/>
          <w:b/>
        </w:rPr>
        <w:t>一、评标程序</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（一）资格审查</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zh-CN" w:eastAsia="zh-CN"/>
        </w:rPr>
        <w:t>（二）评审区间确定</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（三）商务标第一部分评审</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（四）商务标第二部分评审</w:t>
      </w:r>
    </w:p>
    <w:p>
      <w:pPr>
        <w:snapToGrid w:val="0"/>
        <w:spacing w:line="360" w:lineRule="auto"/>
        <w:ind w:firstLine="420" w:firstLineChars="200"/>
        <w:outlineLvl w:val="2"/>
        <w:rPr>
          <w:rFonts w:hint="eastAsia" w:ascii="宋体" w:hAnsi="宋体" w:eastAsia="宋体" w:cs="Times New Roman"/>
          <w:b w:val="0"/>
          <w:bCs/>
          <w:lang w:val="zh-CN" w:eastAsia="zh-CN"/>
        </w:rPr>
      </w:pPr>
      <w:r>
        <w:rPr>
          <w:rFonts w:hint="eastAsia" w:ascii="宋体" w:hAnsi="宋体" w:eastAsia="宋体" w:cs="Times New Roman"/>
          <w:b w:val="0"/>
          <w:bCs/>
          <w:lang w:val="zh-CN" w:eastAsia="zh-CN"/>
        </w:rPr>
        <w:t>（五）投标</w:t>
      </w:r>
      <w:r>
        <w:rPr>
          <w:rFonts w:hint="eastAsia" w:ascii="宋体" w:hAnsi="宋体" w:eastAsia="宋体" w:cs="Times New Roman"/>
          <w:b w:val="0"/>
          <w:bCs/>
          <w:highlight w:val="none"/>
          <w:lang w:val="zh-CN" w:eastAsia="zh-CN"/>
        </w:rPr>
        <w:t>人</w:t>
      </w:r>
      <w:r>
        <w:rPr>
          <w:rFonts w:hint="eastAsia" w:ascii="宋体" w:hAnsi="宋体" w:cs="Times New Roman"/>
          <w:b w:val="0"/>
          <w:bCs/>
          <w:highlight w:val="none"/>
          <w:lang w:val="en-US" w:eastAsia="zh-CN"/>
        </w:rPr>
        <w:t>资信</w:t>
      </w:r>
      <w:r>
        <w:rPr>
          <w:rFonts w:hint="eastAsia" w:ascii="宋体" w:hAnsi="宋体" w:eastAsia="宋体" w:cs="Times New Roman"/>
          <w:b w:val="0"/>
          <w:bCs/>
          <w:highlight w:val="none"/>
          <w:lang w:val="zh-CN" w:eastAsia="zh-CN"/>
        </w:rPr>
        <w:t>评审</w:t>
      </w:r>
    </w:p>
    <w:p>
      <w:pPr>
        <w:snapToGrid w:val="0"/>
        <w:spacing w:line="360" w:lineRule="auto"/>
        <w:ind w:firstLine="420" w:firstLineChars="200"/>
        <w:outlineLvl w:val="2"/>
        <w:rPr>
          <w:rFonts w:hint="eastAsia" w:ascii="宋体" w:hAnsi="宋体" w:eastAsia="宋体" w:cs="Times New Roman"/>
          <w:b w:val="0"/>
          <w:bCs/>
          <w:lang w:val="zh-CN" w:eastAsia="zh-CN"/>
        </w:rPr>
      </w:pPr>
      <w:r>
        <w:rPr>
          <w:rFonts w:hint="eastAsia" w:ascii="宋体" w:hAnsi="宋体" w:eastAsia="宋体" w:cs="Times New Roman"/>
          <w:b w:val="0"/>
          <w:bCs/>
          <w:lang w:val="zh-CN" w:eastAsia="zh-CN"/>
        </w:rPr>
        <w:t>（六）综合评审</w:t>
      </w:r>
    </w:p>
    <w:p>
      <w:pPr>
        <w:snapToGrid w:val="0"/>
        <w:spacing w:line="360" w:lineRule="auto"/>
        <w:ind w:firstLine="420" w:firstLineChars="200"/>
        <w:outlineLvl w:val="2"/>
        <w:rPr>
          <w:rFonts w:hint="eastAsia" w:ascii="宋体" w:hAnsi="宋体" w:eastAsia="宋体" w:cs="Times New Roman"/>
          <w:b/>
          <w:lang w:val="en-US" w:eastAsia="zh-CN"/>
        </w:rPr>
      </w:pPr>
      <w:r>
        <w:rPr>
          <w:rFonts w:hint="eastAsia" w:ascii="宋体" w:hAnsi="宋体" w:eastAsia="宋体" w:cs="Times New Roman"/>
          <w:b w:val="0"/>
          <w:bCs/>
          <w:lang w:val="en-US" w:eastAsia="zh-CN"/>
        </w:rPr>
        <w:t>（七）推荐中标候选人</w:t>
      </w:r>
    </w:p>
    <w:p>
      <w:pPr>
        <w:snapToGrid w:val="0"/>
        <w:spacing w:line="360" w:lineRule="auto"/>
        <w:ind w:firstLine="421" w:firstLineChars="200"/>
        <w:outlineLvl w:val="2"/>
        <w:rPr>
          <w:rFonts w:hint="eastAsia" w:ascii="宋体" w:hAnsi="宋体" w:eastAsia="宋体" w:cs="Times New Roman"/>
          <w:b/>
        </w:rPr>
      </w:pPr>
      <w:r>
        <w:rPr>
          <w:rFonts w:hint="eastAsia" w:ascii="宋体" w:hAnsi="宋体" w:eastAsia="宋体" w:cs="Times New Roman"/>
          <w:b/>
        </w:rPr>
        <w:t>二、资格审查</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评标委员会通过招投标平台系统对投标人的资格审查资料中涉及“企业营业执照、资质证书、安全许可证”进行核对，投标人投标文件中上述资料未通过系统平台企业诚信库导入或存在投标须知前附表10.5情形(资格审查内容)的，评标委员会组织投标人询问核实后，情况属实的，资格审查不予通过，否决其投标。评标委员会核查投标人投标保证金递交情况，投标人未按招标文件要求递交投标保证金的，评标委员会组织投标人询问核实后，情况属实的，资格审查不予通过，否决其投标。</w:t>
      </w:r>
    </w:p>
    <w:p>
      <w:pPr>
        <w:snapToGrid w:val="0"/>
        <w:spacing w:line="360" w:lineRule="auto"/>
        <w:ind w:firstLine="421" w:firstLineChars="200"/>
        <w:outlineLvl w:val="2"/>
        <w:rPr>
          <w:rFonts w:ascii="宋体" w:hAnsi="宋体" w:eastAsia="宋体" w:cs="Times New Roman"/>
          <w:b/>
          <w:lang w:val="en-US"/>
        </w:rPr>
      </w:pPr>
      <w:r>
        <w:rPr>
          <w:rFonts w:hint="eastAsia" w:ascii="宋体" w:hAnsi="宋体" w:eastAsia="宋体" w:cs="Times New Roman"/>
          <w:b/>
          <w:lang w:val="en-US"/>
        </w:rPr>
        <w:t>三、评审区间确定</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1、异常报价的确定</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1.1投标报价高于招标控制价</w:t>
      </w:r>
      <w:r>
        <w:rPr>
          <w:rFonts w:hint="eastAsia" w:cs="宋体"/>
          <w:color w:val="auto"/>
          <w:sz w:val="21"/>
          <w:szCs w:val="21"/>
          <w:lang w:val="en-US" w:eastAsia="zh-CN"/>
        </w:rPr>
        <w:t>（1-n%）</w:t>
      </w:r>
      <w:r>
        <w:rPr>
          <w:rFonts w:hint="eastAsia" w:cs="宋体"/>
          <w:color w:val="auto"/>
          <w:sz w:val="21"/>
          <w:szCs w:val="21"/>
          <w:lang w:val="en-US"/>
        </w:rPr>
        <w:t>的报价为异常报价</w:t>
      </w:r>
      <w:r>
        <w:rPr>
          <w:rFonts w:hint="eastAsia" w:cs="宋体"/>
          <w:color w:val="auto"/>
          <w:sz w:val="21"/>
          <w:szCs w:val="21"/>
          <w:lang w:val="en-US" w:eastAsia="zh-CN"/>
        </w:rPr>
        <w:t>，n值为</w:t>
      </w:r>
      <w:r>
        <w:rPr>
          <w:rFonts w:hint="eastAsia" w:cs="宋体"/>
          <w:color w:val="auto"/>
          <w:sz w:val="21"/>
          <w:szCs w:val="21"/>
          <w:lang w:val="en-US"/>
        </w:rPr>
        <w:t>（</w:t>
      </w:r>
      <w:r>
        <w:rPr>
          <w:rFonts w:hint="eastAsia" w:cs="宋体"/>
          <w:color w:val="auto"/>
          <w:sz w:val="21"/>
          <w:szCs w:val="21"/>
          <w:u w:val="single"/>
          <w:lang w:val="en-US"/>
        </w:rPr>
        <w:t xml:space="preserve">   </w:t>
      </w:r>
      <w:r>
        <w:rPr>
          <w:rFonts w:hint="eastAsia" w:cs="宋体"/>
          <w:color w:val="auto"/>
          <w:sz w:val="21"/>
          <w:szCs w:val="21"/>
          <w:lang w:val="en-US"/>
        </w:rPr>
        <w:t>）。</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1.2投标报价低</w:t>
      </w:r>
      <w:r>
        <w:rPr>
          <w:rFonts w:hint="eastAsia" w:cs="宋体"/>
          <w:color w:val="auto"/>
          <w:sz w:val="21"/>
          <w:szCs w:val="21"/>
          <w:highlight w:val="none"/>
          <w:lang w:val="en-US"/>
        </w:rPr>
        <w:t>于招标控制价m%</w:t>
      </w:r>
      <w:r>
        <w:rPr>
          <w:rFonts w:hint="eastAsia" w:cs="宋体"/>
          <w:color w:val="auto"/>
          <w:sz w:val="21"/>
          <w:szCs w:val="21"/>
          <w:lang w:val="en-US"/>
        </w:rPr>
        <w:t>的报价为异常报价，m值为（</w:t>
      </w:r>
      <w:r>
        <w:rPr>
          <w:rFonts w:hint="eastAsia" w:cs="宋体"/>
          <w:color w:val="auto"/>
          <w:sz w:val="21"/>
          <w:szCs w:val="21"/>
          <w:u w:val="single"/>
          <w:lang w:val="en-US"/>
        </w:rPr>
        <w:t xml:space="preserve">   </w:t>
      </w:r>
      <w:r>
        <w:rPr>
          <w:rFonts w:hint="eastAsia" w:cs="宋体"/>
          <w:color w:val="auto"/>
          <w:sz w:val="21"/>
          <w:szCs w:val="21"/>
          <w:lang w:val="en-US"/>
        </w:rPr>
        <w:t>）。</w:t>
      </w:r>
    </w:p>
    <w:p>
      <w:pPr>
        <w:pStyle w:val="12"/>
        <w:tabs>
          <w:tab w:val="left" w:pos="9360"/>
        </w:tabs>
        <w:spacing w:line="360" w:lineRule="auto"/>
        <w:ind w:firstLine="420" w:firstLineChars="200"/>
        <w:rPr>
          <w:rFonts w:hint="eastAsia" w:cs="宋体"/>
          <w:color w:val="auto"/>
          <w:szCs w:val="24"/>
          <w:lang w:val="en-US"/>
        </w:rPr>
      </w:pPr>
      <w:r>
        <w:rPr>
          <w:rFonts w:hint="eastAsia" w:cs="宋体"/>
          <w:color w:val="auto"/>
          <w:sz w:val="21"/>
          <w:szCs w:val="21"/>
          <w:lang w:val="en-US"/>
        </w:rPr>
        <w:t>（</w:t>
      </w:r>
      <w:r>
        <w:rPr>
          <w:rFonts w:hint="eastAsia" w:cs="宋体"/>
          <w:color w:val="auto"/>
          <w:sz w:val="21"/>
          <w:szCs w:val="21"/>
          <w:lang w:val="en-US" w:eastAsia="zh-CN"/>
        </w:rPr>
        <w:t>n值应为3-5的整数</w:t>
      </w:r>
      <w:r>
        <w:rPr>
          <w:rFonts w:hint="eastAsia" w:cs="宋体"/>
          <w:color w:val="auto"/>
          <w:sz w:val="21"/>
          <w:szCs w:val="21"/>
          <w:highlight w:val="none"/>
          <w:lang w:val="en-US" w:eastAsia="zh-CN"/>
        </w:rPr>
        <w:t>，</w:t>
      </w:r>
      <w:r>
        <w:rPr>
          <w:rFonts w:hint="eastAsia" w:cs="宋体"/>
          <w:color w:val="auto"/>
          <w:sz w:val="21"/>
          <w:szCs w:val="21"/>
          <w:highlight w:val="none"/>
          <w:lang w:val="en-US"/>
        </w:rPr>
        <w:t>m值应为</w:t>
      </w:r>
      <w:r>
        <w:rPr>
          <w:rFonts w:hint="eastAsia" w:cs="宋体"/>
          <w:color w:val="auto"/>
          <w:sz w:val="21"/>
          <w:szCs w:val="21"/>
          <w:highlight w:val="none"/>
          <w:lang w:val="en-US" w:eastAsia="zh-CN"/>
        </w:rPr>
        <w:t>80</w:t>
      </w:r>
      <w:r>
        <w:rPr>
          <w:rFonts w:hint="eastAsia" w:cs="宋体"/>
          <w:color w:val="auto"/>
          <w:sz w:val="21"/>
          <w:szCs w:val="21"/>
          <w:highlight w:val="none"/>
          <w:lang w:val="en-US"/>
        </w:rPr>
        <w:t>-</w:t>
      </w:r>
      <w:r>
        <w:rPr>
          <w:rFonts w:hint="eastAsia" w:cs="宋体"/>
          <w:color w:val="auto"/>
          <w:sz w:val="21"/>
          <w:szCs w:val="21"/>
          <w:highlight w:val="none"/>
          <w:lang w:val="en-US" w:eastAsia="zh-CN"/>
        </w:rPr>
        <w:t>85</w:t>
      </w:r>
      <w:r>
        <w:rPr>
          <w:rFonts w:hint="eastAsia" w:cs="宋体"/>
          <w:color w:val="auto"/>
          <w:sz w:val="21"/>
          <w:szCs w:val="21"/>
          <w:highlight w:val="none"/>
          <w:lang w:val="en-US"/>
        </w:rPr>
        <w:t>的整数，</w:t>
      </w:r>
      <w:r>
        <w:rPr>
          <w:rFonts w:hint="eastAsia" w:cs="宋体"/>
          <w:color w:val="auto"/>
          <w:sz w:val="21"/>
          <w:szCs w:val="21"/>
          <w:lang w:val="en-US"/>
        </w:rPr>
        <w:t>由招标人在编制招标文件时确定）。</w:t>
      </w:r>
    </w:p>
    <w:p>
      <w:pPr>
        <w:pStyle w:val="12"/>
        <w:tabs>
          <w:tab w:val="left" w:pos="9360"/>
        </w:tabs>
        <w:spacing w:line="360" w:lineRule="auto"/>
        <w:ind w:firstLine="421" w:firstLineChars="200"/>
        <w:rPr>
          <w:rFonts w:hint="eastAsia" w:cs="宋体"/>
          <w:color w:val="auto"/>
          <w:sz w:val="21"/>
          <w:szCs w:val="21"/>
          <w:lang w:val="en-US"/>
        </w:rPr>
      </w:pPr>
      <w:r>
        <w:rPr>
          <w:rFonts w:hint="eastAsia" w:cs="宋体"/>
          <w:b/>
          <w:bCs/>
          <w:color w:val="auto"/>
          <w:sz w:val="21"/>
          <w:szCs w:val="21"/>
          <w:lang w:val="en-US"/>
        </w:rPr>
        <w:t>异常报价</w:t>
      </w:r>
      <w:r>
        <w:rPr>
          <w:rFonts w:hint="eastAsia" w:cs="宋体"/>
          <w:b/>
          <w:bCs/>
          <w:color w:val="auto"/>
          <w:sz w:val="21"/>
          <w:szCs w:val="21"/>
          <w:lang w:val="en-US" w:eastAsia="zh-CN"/>
        </w:rPr>
        <w:t>的投标人</w:t>
      </w:r>
      <w:r>
        <w:rPr>
          <w:rFonts w:hint="eastAsia" w:cs="宋体"/>
          <w:b/>
          <w:bCs/>
          <w:color w:val="auto"/>
          <w:sz w:val="21"/>
          <w:szCs w:val="21"/>
          <w:lang w:val="en-US"/>
        </w:rPr>
        <w:t>不再参与后续评审。</w:t>
      </w:r>
    </w:p>
    <w:p>
      <w:pPr>
        <w:pStyle w:val="12"/>
        <w:tabs>
          <w:tab w:val="left" w:pos="9360"/>
        </w:tabs>
        <w:spacing w:line="360" w:lineRule="auto"/>
        <w:ind w:firstLine="420" w:firstLineChars="200"/>
        <w:rPr>
          <w:rFonts w:cs="宋体"/>
          <w:color w:val="auto"/>
          <w:sz w:val="21"/>
          <w:szCs w:val="21"/>
          <w:lang w:val="en-US"/>
        </w:rPr>
      </w:pPr>
      <w:r>
        <w:rPr>
          <w:rFonts w:hint="eastAsia" w:cs="宋体"/>
          <w:color w:val="auto"/>
          <w:sz w:val="21"/>
          <w:szCs w:val="21"/>
          <w:lang w:val="en-US"/>
        </w:rPr>
        <w:t>2、确定评审区间入围单位：</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当通过上述评审的投标人家数小于、等于</w:t>
      </w:r>
      <w:r>
        <w:rPr>
          <w:rFonts w:hint="eastAsia" w:cs="宋体"/>
          <w:color w:val="auto"/>
          <w:sz w:val="21"/>
          <w:szCs w:val="21"/>
          <w:lang w:val="en-US" w:eastAsia="zh-CN"/>
        </w:rPr>
        <w:t xml:space="preserve">30 </w:t>
      </w:r>
      <w:r>
        <w:rPr>
          <w:rFonts w:hint="eastAsia" w:cs="宋体"/>
          <w:color w:val="auto"/>
          <w:sz w:val="21"/>
          <w:szCs w:val="21"/>
          <w:lang w:val="en-US"/>
        </w:rPr>
        <w:t>家时，全部进入评审区间，当通过上述评审的投标人大于</w:t>
      </w:r>
      <w:r>
        <w:rPr>
          <w:rFonts w:hint="eastAsia" w:cs="宋体"/>
          <w:color w:val="auto"/>
          <w:sz w:val="21"/>
          <w:szCs w:val="21"/>
          <w:lang w:val="en-US" w:eastAsia="zh-CN"/>
        </w:rPr>
        <w:t xml:space="preserve">30 </w:t>
      </w:r>
      <w:r>
        <w:rPr>
          <w:rFonts w:hint="eastAsia" w:cs="宋体"/>
          <w:color w:val="auto"/>
          <w:sz w:val="21"/>
          <w:szCs w:val="21"/>
          <w:lang w:val="en-US"/>
        </w:rPr>
        <w:t>家时，按下述方式确定评审区间入围单位：</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eastAsia="zh-CN"/>
        </w:rPr>
        <w:t>通过上述评审的投标人以下称为“全部参与评审的投标人”。</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确定评审区间入围名额30家。确定方式如下：</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30家评审区间入围单位在“全部参与评审的投标人”中抽取产生，抽取方式如下：</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开评标系统通过舟山市建筑市场信用信息网（https://jzscxyxx.zszjj.zhoushan.gov.cn:7007/）查询全部参与评审的投标人开标截止日期前一天下午17：00的信用等级，以这个时间点查询到的信用等级信息为准。（建筑工程或市政公用工程施工总承包企业信用等级，若因技术、系统等原因无法查询开标截止日期前一天下午17：00的信用等级信息，则以开标截止日期前二天下午17：00的信用等级信息为准，以此类推）。根据查询结果分三类，即A级、B级、C级及以下和无法查询其信用等级的。</w:t>
      </w:r>
    </w:p>
    <w:p>
      <w:pPr>
        <w:pStyle w:val="8"/>
        <w:ind w:firstLine="420" w:firstLineChars="200"/>
        <w:rPr>
          <w:rFonts w:hint="eastAsia" w:ascii="宋体" w:hAnsi="宋体" w:eastAsia="宋体" w:cs="Times New Roman"/>
          <w:b w:val="0"/>
          <w:bCs/>
          <w:kern w:val="2"/>
          <w:sz w:val="21"/>
          <w:szCs w:val="24"/>
          <w:lang w:val="en-US" w:eastAsia="zh-CN" w:bidi="ar-SA"/>
        </w:rPr>
      </w:pPr>
      <w:r>
        <w:rPr>
          <w:rFonts w:hint="eastAsia" w:ascii="宋体" w:hAnsi="宋体" w:eastAsia="宋体" w:cs="Times New Roman"/>
          <w:b w:val="0"/>
          <w:bCs/>
          <w:kern w:val="2"/>
          <w:sz w:val="21"/>
          <w:szCs w:val="24"/>
          <w:lang w:val="en-US" w:eastAsia="zh-CN" w:bidi="ar-SA"/>
        </w:rPr>
        <w:t>信用等级为E级的企业不作为评审区间入围单位。（不参与随机抽取）</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入围单位确定顺序：先确定信用等级C级及以下和无法查询其信用等级的入围企业，再确定信用等级B 级的入围企业，最后确定信用等级A 级的入围企业。</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在信用等级C级及以下和无法查询其信用等级的企业中随机选择c1家投标人为评审区间入围单位；（c1为全部参与评审的投标人中信用等级C级及以下和无法查询其信用等级企业数量的5%且不超过6家）</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在信用等级B 级的企业中随机选择b1家投标人为评审区间入围单位；（b1为全部参与评审的投标人中信用等级B 级企业数量的15%且不超过9家）</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在信用等级A 级的企业中随机选择a1家投标人为评审区间入围单位（a1=30-b1-c1）；如果a1大于全部参与评审的投标人中信用等级A级企业的数量，则信用等级A级的企业全部入围，剩余入围名额不再补抽。</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在评审区间入围家数计算过程中，非整数时，四舍五入。</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未进入评审区间的投标人的投标文件不再参与后续评审。</w:t>
      </w:r>
    </w:p>
    <w:p>
      <w:pPr>
        <w:snapToGrid w:val="0"/>
        <w:spacing w:line="360" w:lineRule="auto"/>
        <w:ind w:firstLine="421" w:firstLineChars="200"/>
        <w:outlineLvl w:val="2"/>
        <w:rPr>
          <w:rFonts w:ascii="宋体" w:hAnsi="宋体" w:eastAsia="宋体" w:cs="Times New Roman"/>
          <w:b/>
        </w:rPr>
      </w:pPr>
      <w:r>
        <w:rPr>
          <w:rFonts w:hint="eastAsia" w:ascii="宋体" w:hAnsi="宋体" w:eastAsia="宋体" w:cs="Times New Roman"/>
          <w:b/>
        </w:rPr>
        <w:t>四</w:t>
      </w:r>
      <w:r>
        <w:rPr>
          <w:rFonts w:ascii="宋体" w:hAnsi="宋体" w:eastAsia="宋体" w:cs="Times New Roman"/>
          <w:b/>
        </w:rPr>
        <w:t>、</w:t>
      </w:r>
      <w:r>
        <w:rPr>
          <w:rFonts w:hint="eastAsia" w:ascii="宋体" w:hAnsi="宋体" w:eastAsia="宋体" w:cs="Times New Roman"/>
          <w:b/>
        </w:rPr>
        <w:t>商务标第一部分评审</w:t>
      </w:r>
    </w:p>
    <w:p>
      <w:pPr>
        <w:snapToGrid w:val="0"/>
        <w:spacing w:line="360" w:lineRule="auto"/>
        <w:ind w:firstLine="420" w:firstLineChars="200"/>
        <w:rPr>
          <w:rFonts w:ascii="宋体" w:hAnsi="宋体"/>
          <w:bCs/>
        </w:rPr>
      </w:pPr>
      <w:r>
        <w:rPr>
          <w:rFonts w:hint="eastAsia" w:ascii="宋体" w:hAnsi="宋体"/>
          <w:bCs/>
          <w:highlight w:val="white"/>
        </w:rPr>
        <w:t>评标委员会对进入评审区间的投标人的商务标第一部分进行审查，投标人存在投标须知前附表10.5情形(商务标第一部分评审内容）的，评标委员会组织投标人询问核实后，情况属实的，商务标第一部分审查不予通过，否决其投标。</w:t>
      </w:r>
    </w:p>
    <w:p>
      <w:pPr>
        <w:snapToGrid w:val="0"/>
        <w:spacing w:line="360" w:lineRule="auto"/>
        <w:ind w:firstLine="421" w:firstLineChars="200"/>
        <w:outlineLvl w:val="2"/>
        <w:rPr>
          <w:rFonts w:hint="eastAsia" w:ascii="宋体" w:hAnsi="宋体" w:eastAsia="宋体" w:cs="Times New Roman"/>
          <w:b/>
        </w:rPr>
      </w:pPr>
      <w:r>
        <w:rPr>
          <w:rFonts w:hint="eastAsia" w:ascii="宋体" w:hAnsi="宋体" w:eastAsia="宋体" w:cs="Times New Roman"/>
          <w:b/>
        </w:rPr>
        <w:t>五、商务标第二部分评审</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1、商务标第二部分实行暗标评审，综合单价评审结束前，只有在评标委员会确定需要询标时才能通过系统确认需要询标的投标人，其余未被列入询标的投标人名称评审过程中只体现该投标人的编号，投标人名称在其综合单价评审得分计算完成后由系统统一显示。评标委员会首先对进入商务标第二部分评审的投标文件进行初步评审，存在投标须知前附表10.5情形(商务标第二部分评审内容）的，评标委员会组织投标人询问核实后，情况属实的，商务标第二部分评审不予通过，否决其投标。</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2、确定各投标人的最终投标报价：</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投标报价评审应在各投标人投标报价内容和口径一致的基础上进行。因招标文件叙述不清楚引起各投标人投标报价内容和口径不一致时，应按有关规定统一调整投标报价的内容和口径后计算出各投标人的投标报价，但因投标人失误造成的报价差错、遗漏，不属于调整范围。评标专家组将对确定为实质上响应招标文件要求的投标文件进行校核，看其是否有计算上、累计上或表达上的错误，修正错误的原则如下：</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2.1用数字表示的金额和用文字表示的金额不一致时，应以文字表示的金额为准；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2.2当单价与数量的乘积与合价不一致时，以单价为准进行价格调整，除非评标专家组认为单价有明显的小数点错误，此时应以标明的合价为准，并修改单价；</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2.3单价漏报，但有单项合价的，按单项合价除以招标文件工程量清单相应栏目的数量所得的商，作为该项的单价；</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按上述修正错误的原则及方法调整或修正投标文件的投标报价，该投标报价作为投标人的最终投标报价（投标总报价调整值小于100元的，不作调整）。</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3、</w:t>
      </w:r>
      <w:r>
        <w:rPr>
          <w:rFonts w:hint="eastAsia" w:cs="宋体"/>
          <w:sz w:val="21"/>
          <w:szCs w:val="21"/>
        </w:rPr>
        <w:t>工程量清单综合单价评审</w:t>
      </w:r>
      <w:r>
        <w:rPr>
          <w:rFonts w:hint="eastAsia" w:cs="宋体"/>
          <w:sz w:val="21"/>
          <w:szCs w:val="21"/>
          <w:lang w:val="en-US"/>
        </w:rPr>
        <w:t>（满分5分）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评标专家组对通过以上评审的投标文件进行详细评审，在评审过程中，</w:t>
      </w:r>
      <w:r>
        <w:rPr>
          <w:rFonts w:hint="eastAsia" w:cs="宋体"/>
          <w:color w:val="auto"/>
          <w:sz w:val="21"/>
          <w:szCs w:val="21"/>
          <w:lang w:val="en-US"/>
        </w:rPr>
        <w:t>评标专家应在去除上述评审已确定不列入评审范围的投标报价后再计算投标平均价。各投标人</w:t>
      </w:r>
      <w:r>
        <w:rPr>
          <w:rFonts w:hint="eastAsia" w:cs="宋体"/>
          <w:sz w:val="21"/>
          <w:szCs w:val="21"/>
          <w:lang w:val="en-US"/>
        </w:rPr>
        <w:t>的工程量清单综合评价分公布后，无论任何原因引起有效投标人个数发生变化时，所计算的各项投标平均价也不再进行调整。</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评标专家组在确定各投标人最终投标报价的同时，应对投标人的</w:t>
      </w:r>
      <w:r>
        <w:rPr>
          <w:rFonts w:hint="eastAsia" w:cs="宋体"/>
          <w:sz w:val="21"/>
          <w:szCs w:val="21"/>
        </w:rPr>
        <w:t>工程量清单综合单价</w:t>
      </w:r>
      <w:r>
        <w:rPr>
          <w:rFonts w:hint="eastAsia" w:cs="宋体"/>
          <w:sz w:val="21"/>
          <w:szCs w:val="21"/>
          <w:lang w:val="en-US"/>
        </w:rPr>
        <w:t>进行评审,</w:t>
      </w:r>
      <w:r>
        <w:rPr>
          <w:rFonts w:hint="eastAsia" w:cs="宋体"/>
          <w:sz w:val="21"/>
          <w:szCs w:val="21"/>
        </w:rPr>
        <w:t>工程量清单综合单价</w:t>
      </w:r>
      <w:r>
        <w:rPr>
          <w:rFonts w:hint="eastAsia" w:cs="宋体"/>
          <w:sz w:val="21"/>
          <w:szCs w:val="21"/>
          <w:lang w:val="en-US"/>
        </w:rPr>
        <w:t>评审的原则和方法如下：</w:t>
      </w:r>
    </w:p>
    <w:p>
      <w:pPr>
        <w:pStyle w:val="12"/>
        <w:tabs>
          <w:tab w:val="left" w:pos="9360"/>
        </w:tabs>
        <w:spacing w:line="360" w:lineRule="auto"/>
        <w:ind w:firstLine="420" w:firstLineChars="200"/>
        <w:rPr>
          <w:rFonts w:cs="宋体"/>
          <w:sz w:val="21"/>
          <w:szCs w:val="21"/>
          <w:highlight w:val="none"/>
          <w:lang w:val="en-US"/>
        </w:rPr>
      </w:pPr>
      <w:r>
        <w:rPr>
          <w:rFonts w:hint="eastAsia" w:cs="宋体"/>
          <w:sz w:val="21"/>
          <w:szCs w:val="21"/>
          <w:lang w:val="en-US"/>
        </w:rPr>
        <w:t>按工程量清单</w:t>
      </w:r>
      <w:r>
        <w:rPr>
          <w:rFonts w:hint="eastAsia" w:cs="宋体"/>
          <w:sz w:val="21"/>
          <w:szCs w:val="21"/>
          <w:highlight w:val="none"/>
          <w:lang w:val="en-US"/>
        </w:rPr>
        <w:t>项目（含措施项目）总数的（   ）%随机选择评审项目（</w:t>
      </w:r>
      <w:r>
        <w:rPr>
          <w:rFonts w:hint="eastAsia" w:cs="宋体"/>
          <w:sz w:val="21"/>
          <w:szCs w:val="21"/>
          <w:highlight w:val="none"/>
          <w:lang w:val="en-US" w:eastAsia="zh-CN"/>
        </w:rPr>
        <w:t>抽取比例不建议为100%</w:t>
      </w:r>
      <w:r>
        <w:rPr>
          <w:rFonts w:hint="eastAsia" w:cs="宋体"/>
          <w:sz w:val="21"/>
          <w:szCs w:val="21"/>
          <w:highlight w:val="none"/>
          <w:lang w:val="en-US"/>
        </w:rPr>
        <w:t>）。</w:t>
      </w:r>
    </w:p>
    <w:p>
      <w:pPr>
        <w:pStyle w:val="12"/>
        <w:tabs>
          <w:tab w:val="left" w:pos="9360"/>
        </w:tabs>
        <w:spacing w:line="360" w:lineRule="auto"/>
        <w:ind w:firstLine="420" w:firstLineChars="200"/>
        <w:rPr>
          <w:rFonts w:cs="宋体"/>
          <w:sz w:val="21"/>
          <w:szCs w:val="21"/>
          <w:lang w:val="en-US"/>
        </w:rPr>
      </w:pPr>
      <w:r>
        <w:rPr>
          <w:rFonts w:hint="eastAsia" w:cs="宋体"/>
          <w:sz w:val="21"/>
          <w:szCs w:val="21"/>
          <w:highlight w:val="none"/>
          <w:lang w:val="en-US"/>
        </w:rPr>
        <w:t>对投标人列入评审</w:t>
      </w:r>
      <w:r>
        <w:rPr>
          <w:rFonts w:hint="eastAsia" w:cs="宋体"/>
          <w:sz w:val="21"/>
          <w:szCs w:val="21"/>
          <w:highlight w:val="none"/>
          <w:lang w:val="en-US" w:eastAsia="zh-CN"/>
        </w:rPr>
        <w:t>项目</w:t>
      </w:r>
      <w:r>
        <w:rPr>
          <w:rFonts w:hint="eastAsia" w:cs="宋体"/>
          <w:sz w:val="21"/>
          <w:szCs w:val="21"/>
          <w:highlight w:val="none"/>
          <w:lang w:val="en-US"/>
        </w:rPr>
        <w:t>的工程量的报价（指每一项目的综合单价与工程量的乘积）进行评审：（</w:t>
      </w:r>
      <w:r>
        <w:rPr>
          <w:rFonts w:hint="eastAsia" w:cs="宋体"/>
          <w:sz w:val="21"/>
          <w:szCs w:val="21"/>
          <w:highlight w:val="none"/>
          <w:lang w:val="en-US" w:eastAsia="zh-CN"/>
        </w:rPr>
        <w:t>1</w:t>
      </w:r>
      <w:r>
        <w:rPr>
          <w:rFonts w:hint="eastAsia" w:cs="宋体"/>
          <w:sz w:val="21"/>
          <w:szCs w:val="21"/>
          <w:highlight w:val="none"/>
          <w:lang w:val="en-US"/>
        </w:rPr>
        <w:t>）在每一</w:t>
      </w:r>
      <w:r>
        <w:rPr>
          <w:rFonts w:hint="eastAsia" w:cs="宋体"/>
          <w:sz w:val="21"/>
          <w:szCs w:val="21"/>
          <w:highlight w:val="none"/>
          <w:lang w:val="en-US" w:eastAsia="zh-CN"/>
        </w:rPr>
        <w:t>评审</w:t>
      </w:r>
      <w:r>
        <w:rPr>
          <w:rFonts w:hint="eastAsia" w:cs="宋体"/>
          <w:sz w:val="21"/>
          <w:szCs w:val="21"/>
          <w:highlight w:val="none"/>
          <w:lang w:val="en-US"/>
        </w:rPr>
        <w:t>项目中，如投标人该项目报价</w:t>
      </w:r>
      <w:r>
        <w:rPr>
          <w:rFonts w:hint="eastAsia" w:cs="宋体"/>
          <w:sz w:val="21"/>
          <w:szCs w:val="21"/>
          <w:highlight w:val="none"/>
          <w:lang w:val="en-US" w:eastAsia="zh-CN"/>
        </w:rPr>
        <w:t>与招标控制价</w:t>
      </w:r>
      <w:r>
        <w:rPr>
          <w:rFonts w:hint="eastAsia" w:cs="宋体"/>
          <w:sz w:val="21"/>
          <w:szCs w:val="21"/>
          <w:highlight w:val="none"/>
          <w:lang w:val="en-US"/>
        </w:rPr>
        <w:t>离差大于或等于</w:t>
      </w:r>
      <w:r>
        <w:rPr>
          <w:rFonts w:hint="eastAsia" w:cs="宋体"/>
          <w:sz w:val="21"/>
          <w:szCs w:val="21"/>
          <w:highlight w:val="none"/>
          <w:lang w:val="en-US" w:eastAsia="zh-CN"/>
        </w:rPr>
        <w:t>20</w:t>
      </w:r>
      <w:r>
        <w:rPr>
          <w:rFonts w:hint="eastAsia" w:cs="宋体"/>
          <w:sz w:val="21"/>
          <w:szCs w:val="21"/>
          <w:highlight w:val="none"/>
          <w:lang w:val="en-US"/>
        </w:rPr>
        <w:t>%时，该投标人的报价不参与该项目评审基准价的计算（如某项目所有投标人均不满足参与评审基准价计算要求时，该项目不再评审）</w:t>
      </w:r>
      <w:r>
        <w:rPr>
          <w:rFonts w:hint="eastAsia" w:cs="宋体"/>
          <w:sz w:val="21"/>
          <w:szCs w:val="21"/>
          <w:highlight w:val="none"/>
          <w:lang w:val="en-US" w:eastAsia="zh-CN"/>
        </w:rPr>
        <w:t>；</w:t>
      </w:r>
      <w:r>
        <w:rPr>
          <w:rFonts w:hint="eastAsia" w:cs="宋体"/>
          <w:sz w:val="21"/>
          <w:szCs w:val="21"/>
          <w:highlight w:val="none"/>
          <w:lang w:val="en-US"/>
        </w:rPr>
        <w:t>（</w:t>
      </w:r>
      <w:r>
        <w:rPr>
          <w:rFonts w:hint="eastAsia" w:cs="宋体"/>
          <w:sz w:val="21"/>
          <w:szCs w:val="21"/>
          <w:highlight w:val="none"/>
          <w:lang w:val="en-US" w:eastAsia="zh-CN"/>
        </w:rPr>
        <w:t>2</w:t>
      </w:r>
      <w:r>
        <w:rPr>
          <w:rFonts w:hint="eastAsia" w:cs="宋体"/>
          <w:sz w:val="21"/>
          <w:szCs w:val="21"/>
          <w:highlight w:val="none"/>
          <w:lang w:val="en-US"/>
        </w:rPr>
        <w:t>）以所</w:t>
      </w:r>
      <w:r>
        <w:rPr>
          <w:rFonts w:hint="eastAsia" w:cs="宋体"/>
          <w:sz w:val="21"/>
          <w:szCs w:val="21"/>
          <w:lang w:val="en-US"/>
        </w:rPr>
        <w:t>有参与评审基准价计算的投标人报价的平均价为该项目评审基准价（评审基准价低于500元的项目不再进行评审）。</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投标人每个清单项目报价与相同编码项目的评审基准价</w:t>
      </w:r>
      <w:r>
        <w:rPr>
          <w:rFonts w:hint="eastAsia" w:cs="宋体"/>
          <w:sz w:val="21"/>
          <w:szCs w:val="21"/>
          <w:highlight w:val="none"/>
          <w:lang w:val="en-US"/>
        </w:rPr>
        <w:t>相比，浮动率超过或等于±</w:t>
      </w:r>
      <w:r>
        <w:rPr>
          <w:rFonts w:hint="eastAsia" w:cs="宋体"/>
          <w:sz w:val="21"/>
          <w:szCs w:val="21"/>
          <w:highlight w:val="none"/>
          <w:lang w:val="en-US" w:eastAsia="zh-CN"/>
        </w:rPr>
        <w:t>1</w:t>
      </w:r>
      <w:r>
        <w:rPr>
          <w:rFonts w:hint="eastAsia" w:cs="宋体"/>
          <w:sz w:val="21"/>
          <w:szCs w:val="21"/>
          <w:highlight w:val="none"/>
          <w:lang w:val="en-US"/>
        </w:rPr>
        <w:t>0%时，每项</w:t>
      </w:r>
      <w:r>
        <w:rPr>
          <w:rFonts w:hint="eastAsia" w:cs="宋体"/>
          <w:sz w:val="21"/>
          <w:szCs w:val="21"/>
          <w:lang w:val="en-US"/>
        </w:rPr>
        <w:t>扣0.05分。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按上述原则,评标专家组对各家投标人的报价进行评审，并按以上规定进行扣分，最高扣分5分，扣完为止。</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投标人的工程量清单综合单价评审得分=5分-上述扣分值</w:t>
      </w:r>
    </w:p>
    <w:p>
      <w:pPr>
        <w:pStyle w:val="12"/>
        <w:tabs>
          <w:tab w:val="left" w:pos="9360"/>
        </w:tabs>
        <w:spacing w:line="360" w:lineRule="auto"/>
        <w:ind w:firstLine="420" w:firstLineChars="200"/>
        <w:rPr>
          <w:rFonts w:hint="eastAsia" w:cs="宋体"/>
          <w:sz w:val="21"/>
          <w:szCs w:val="21"/>
          <w:highlight w:val="none"/>
          <w:lang w:val="en-US"/>
        </w:rPr>
      </w:pPr>
      <w:r>
        <w:rPr>
          <w:rFonts w:hint="eastAsia" w:cs="宋体"/>
          <w:sz w:val="21"/>
          <w:szCs w:val="21"/>
          <w:highlight w:val="none"/>
          <w:lang w:val="en-US"/>
        </w:rPr>
        <w:t>4、投标人投标报价分（</w:t>
      </w:r>
      <w:r>
        <w:rPr>
          <w:rFonts w:hint="eastAsia" w:cs="宋体"/>
          <w:sz w:val="21"/>
          <w:szCs w:val="21"/>
          <w:highlight w:val="none"/>
          <w:lang w:val="en-US" w:eastAsia="zh-CN"/>
        </w:rPr>
        <w:t>90分</w:t>
      </w:r>
      <w:r>
        <w:rPr>
          <w:rFonts w:hint="eastAsia" w:cs="宋体"/>
          <w:sz w:val="21"/>
          <w:szCs w:val="21"/>
          <w:highlight w:val="none"/>
          <w:lang w:val="en-US"/>
        </w:rPr>
        <w:t>）</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4.1 按上述第2点修正错误的原则及方法调整或修正投标文件的投标报价，该投标报价作为投标人的最终投标报价，经投标人确认同意后，该投标报价对投标人起约束作用，如果投标人不接受该投标报价的，则其投标将被拒绝并且其投标担保也将被没收。</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4.2计算评标基准价</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4.2.1当参与基准价计算的投标人少于等于3家时，参与评标基准价的计算的投标人的最低最终投标报价即为评标基准价。</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4.2.2 当参与基准价计算的投标人多于3家少于等于5家时，在参与评标基准价计算的投标人中去掉一个最高报价后的算术平均值即为评标基准价。</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4.2.3 当参与基准价计算的投标人多于5家时，评标基准价按如下程序计算确定：</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本评标办法中，评标基准价的计算只进行一次性计算，除计算差错外，评标过程中评标基准价均保持不变。计算差错，仅限于以下两种情况：（1）纯算术性四则运算差错；（2）未按约定的计算方法，多计或者少计投标人报价的。由于评标差错，导致否决投标错误，重新评标纠正等其他情况，不属于计算差错。（3）凡涉及报价金额计算的均以元为单位，保留二位小数，第三位四舍五入。</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由招标人代表从以下Ⅰ，Ⅱ，Ⅲ基准价计算方案，随机抽取一种作为本项目的基准价计算办法。</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Ⅰ基准价计算方案：</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rPr>
        <w:t>评标基准价:P=k*</w:t>
      </w:r>
      <w:r>
        <w:rPr>
          <w:rFonts w:hint="eastAsia" w:cs="宋体"/>
          <w:color w:val="auto"/>
          <w:sz w:val="21"/>
          <w:szCs w:val="21"/>
          <w:lang w:val="en-US" w:eastAsia="zh-CN"/>
        </w:rPr>
        <w:t>d</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P:评标基准价；</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d:在参与基准价计算的所有投标人投标报价的算术平均值。</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 xml:space="preserve"> k:随机系数（由招标人在0.</w:t>
      </w:r>
      <w:r>
        <w:rPr>
          <w:rFonts w:hint="eastAsia" w:cs="宋体"/>
          <w:color w:val="auto"/>
          <w:sz w:val="21"/>
          <w:szCs w:val="21"/>
          <w:lang w:val="en-US" w:eastAsia="zh-CN"/>
        </w:rPr>
        <w:t>9900、0.9925、0.9950、0.9975、1.0000、1.0025、1.0050、1.0075八</w:t>
      </w:r>
      <w:r>
        <w:rPr>
          <w:rFonts w:hint="eastAsia" w:cs="宋体"/>
          <w:color w:val="auto"/>
          <w:sz w:val="21"/>
          <w:szCs w:val="21"/>
          <w:lang w:val="en-US"/>
        </w:rPr>
        <w:t>个数据中随机抽取）</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若计算所得的评标基准价超过评审区间的范围，则以评审区间的上限或者下限作为评标基准价。</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Ⅱ基准价计算方案：</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在参与基准价评审的投标人中，随机抽取三家单位。</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评标基准价：P=d。</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d:随机抽中三家单位投标报价的算术平均值。</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Ⅲ基准价计算方案：</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Ⅲ基准价计算方案：</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评标基准价:P=d*B+Y*（1-A%）*（1-B）</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d:在参与基准价计算的所有投标人投标报价的算术平均值。</w:t>
      </w:r>
    </w:p>
    <w:p>
      <w:pPr>
        <w:pStyle w:val="12"/>
        <w:tabs>
          <w:tab w:val="left" w:pos="9360"/>
        </w:tabs>
        <w:spacing w:line="360" w:lineRule="auto"/>
        <w:ind w:firstLine="420" w:firstLineChars="200"/>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Y:招标控制价</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权重B：在（40%、42%、44%、46%、48%、50%、52%、54%、56%、58%、60%）十一档数值中抽取。</w:t>
      </w:r>
    </w:p>
    <w:p>
      <w:pPr>
        <w:pStyle w:val="12"/>
        <w:tabs>
          <w:tab w:val="left" w:pos="9360"/>
        </w:tabs>
        <w:spacing w:line="360" w:lineRule="auto"/>
        <w:ind w:firstLine="420" w:firstLineChars="200"/>
        <w:rPr>
          <w:rFonts w:hint="eastAsia" w:cs="宋体"/>
          <w:color w:val="auto"/>
          <w:sz w:val="21"/>
          <w:szCs w:val="21"/>
          <w:highlight w:val="none"/>
          <w:lang w:val="en-US"/>
        </w:rPr>
      </w:pPr>
      <w:r>
        <w:rPr>
          <w:rFonts w:hint="eastAsia" w:cs="宋体"/>
          <w:color w:val="auto"/>
          <w:sz w:val="21"/>
          <w:szCs w:val="21"/>
          <w:highlight w:val="none"/>
          <w:lang w:val="en-US" w:eastAsia="zh-CN"/>
        </w:rPr>
        <w:t>浮动率A%：A在n～(100-m)之间随机抽取（包含n,m），取整数档，间隔为1;n,m为异常报价环节招标人确定的值。</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4.4 计算各投标人投标报价得分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各投标人的最终投标报价与评标基准价进行比较,相等时得</w:t>
      </w:r>
      <w:r>
        <w:rPr>
          <w:rFonts w:hint="eastAsia" w:cs="宋体"/>
          <w:sz w:val="21"/>
          <w:szCs w:val="21"/>
          <w:lang w:val="en-US" w:eastAsia="zh-CN"/>
        </w:rPr>
        <w:t>满</w:t>
      </w:r>
      <w:r>
        <w:rPr>
          <w:rFonts w:hint="eastAsia" w:cs="宋体"/>
          <w:sz w:val="21"/>
          <w:szCs w:val="21"/>
          <w:lang w:val="en-US"/>
        </w:rPr>
        <w:t>分,每下浮1％时扣</w:t>
      </w:r>
      <w:r>
        <w:rPr>
          <w:rFonts w:hint="eastAsia" w:cs="宋体"/>
          <w:sz w:val="21"/>
          <w:szCs w:val="21"/>
          <w:lang w:val="en-US" w:eastAsia="zh-CN"/>
        </w:rPr>
        <w:t>2</w:t>
      </w:r>
      <w:r>
        <w:rPr>
          <w:rFonts w:hint="eastAsia" w:cs="宋体"/>
          <w:sz w:val="21"/>
          <w:szCs w:val="21"/>
          <w:lang w:val="en-US"/>
        </w:rPr>
        <w:t>.0分,每上浮1%时扣</w:t>
      </w:r>
      <w:r>
        <w:rPr>
          <w:rFonts w:hint="eastAsia" w:cs="宋体"/>
          <w:sz w:val="21"/>
          <w:szCs w:val="21"/>
          <w:lang w:val="en-US" w:eastAsia="zh-CN"/>
        </w:rPr>
        <w:t>4</w:t>
      </w:r>
      <w:r>
        <w:rPr>
          <w:rFonts w:hint="eastAsia" w:cs="宋体"/>
          <w:sz w:val="21"/>
          <w:szCs w:val="21"/>
          <w:lang w:val="en-US"/>
        </w:rPr>
        <w:t>.0分，分值扣完为止（当出现百分点为非整数时, 保留小数点后二位,第三位四舍五入，采用直线插入法计算分值；分值计算时保留小数点后二位,第三位四舍五入。）</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4.5 计算投标人商务标得分</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商务标得分=投标报价得分+</w:t>
      </w:r>
      <w:r>
        <w:rPr>
          <w:rFonts w:hint="eastAsia" w:cs="宋体"/>
          <w:sz w:val="21"/>
          <w:szCs w:val="21"/>
        </w:rPr>
        <w:t>工程量清单综合单价评审</w:t>
      </w:r>
      <w:r>
        <w:rPr>
          <w:rFonts w:hint="eastAsia" w:cs="宋体"/>
          <w:sz w:val="21"/>
          <w:szCs w:val="21"/>
          <w:lang w:val="en-US"/>
        </w:rPr>
        <w:t>得分</w:t>
      </w:r>
    </w:p>
    <w:p>
      <w:pPr>
        <w:snapToGrid w:val="0"/>
        <w:spacing w:line="360" w:lineRule="auto"/>
        <w:ind w:firstLine="421" w:firstLineChars="200"/>
        <w:outlineLvl w:val="2"/>
        <w:rPr>
          <w:rFonts w:hint="eastAsia" w:ascii="宋体" w:hAnsi="宋体" w:eastAsia="宋体" w:cs="Times New Roman"/>
          <w:b/>
          <w:highlight w:val="none"/>
          <w:lang w:val="en-US"/>
        </w:rPr>
      </w:pPr>
      <w:r>
        <w:rPr>
          <w:rFonts w:hint="eastAsia" w:ascii="宋体" w:hAnsi="宋体" w:eastAsia="宋体" w:cs="Times New Roman"/>
          <w:b/>
          <w:highlight w:val="none"/>
          <w:lang w:val="en-US"/>
        </w:rPr>
        <w:t>六</w:t>
      </w:r>
      <w:r>
        <w:rPr>
          <w:rFonts w:hint="eastAsia" w:ascii="宋体" w:hAnsi="宋体" w:eastAsia="宋体" w:cs="Times New Roman"/>
          <w:b/>
          <w:highlight w:val="none"/>
        </w:rPr>
        <w:t>、</w:t>
      </w:r>
      <w:r>
        <w:rPr>
          <w:rFonts w:hint="eastAsia" w:ascii="宋体" w:hAnsi="宋体" w:eastAsia="宋体" w:cs="Times New Roman"/>
          <w:b/>
          <w:highlight w:val="none"/>
          <w:lang w:val="en-US"/>
        </w:rPr>
        <w:t>投标人</w:t>
      </w:r>
      <w:r>
        <w:rPr>
          <w:rFonts w:hint="eastAsia" w:ascii="宋体" w:hAnsi="宋体" w:cs="Times New Roman"/>
          <w:b/>
          <w:highlight w:val="none"/>
          <w:lang w:val="en-US" w:eastAsia="zh-CN"/>
        </w:rPr>
        <w:t>资信</w:t>
      </w:r>
      <w:r>
        <w:rPr>
          <w:rFonts w:hint="eastAsia" w:ascii="宋体" w:hAnsi="宋体" w:eastAsia="宋体" w:cs="Times New Roman"/>
          <w:b/>
          <w:highlight w:val="none"/>
          <w:lang w:val="en-US"/>
        </w:rPr>
        <w:t>评分（满分</w:t>
      </w:r>
      <w:r>
        <w:rPr>
          <w:rFonts w:hint="eastAsia" w:ascii="宋体" w:hAnsi="宋体" w:cs="Times New Roman"/>
          <w:b/>
          <w:highlight w:val="none"/>
          <w:lang w:val="en-US" w:eastAsia="zh-CN"/>
        </w:rPr>
        <w:t>5</w:t>
      </w:r>
      <w:r>
        <w:rPr>
          <w:rFonts w:hint="eastAsia" w:ascii="宋体" w:hAnsi="宋体" w:eastAsia="宋体" w:cs="Times New Roman"/>
          <w:b/>
          <w:highlight w:val="none"/>
          <w:lang w:val="en-US"/>
        </w:rPr>
        <w:t>分）</w:t>
      </w:r>
    </w:p>
    <w:p>
      <w:pPr>
        <w:pStyle w:val="12"/>
        <w:tabs>
          <w:tab w:val="left" w:pos="453"/>
        </w:tabs>
        <w:spacing w:line="360" w:lineRule="auto"/>
        <w:ind w:firstLine="420" w:firstLineChars="200"/>
        <w:rPr>
          <w:rFonts w:hint="eastAsia" w:cs="宋体"/>
          <w:color w:val="auto"/>
          <w:sz w:val="21"/>
          <w:szCs w:val="21"/>
          <w:highlight w:val="none"/>
          <w:lang w:val="en-US"/>
        </w:rPr>
      </w:pPr>
      <w:r>
        <w:rPr>
          <w:rFonts w:hint="eastAsia" w:cs="宋体"/>
          <w:color w:val="auto"/>
          <w:sz w:val="21"/>
          <w:szCs w:val="21"/>
          <w:highlight w:val="none"/>
          <w:lang w:val="en-US" w:eastAsia="zh-CN"/>
        </w:rPr>
        <w:t>1.</w:t>
      </w:r>
      <w:r>
        <w:rPr>
          <w:rFonts w:hint="eastAsia" w:cs="宋体"/>
          <w:color w:val="auto"/>
          <w:sz w:val="21"/>
          <w:szCs w:val="21"/>
          <w:highlight w:val="none"/>
          <w:lang w:val="en-US"/>
        </w:rPr>
        <w:t>投标人及项目负责人不良信用信息扣分（</w:t>
      </w:r>
      <w:r>
        <w:rPr>
          <w:rFonts w:hint="eastAsia" w:cs="宋体"/>
          <w:color w:val="auto"/>
          <w:sz w:val="21"/>
          <w:szCs w:val="21"/>
          <w:highlight w:val="none"/>
          <w:lang w:val="en-US" w:eastAsia="zh-CN"/>
        </w:rPr>
        <w:t>1分</w:t>
      </w:r>
      <w:r>
        <w:rPr>
          <w:rFonts w:hint="eastAsia" w:cs="宋体"/>
          <w:color w:val="auto"/>
          <w:sz w:val="21"/>
          <w:szCs w:val="21"/>
          <w:highlight w:val="none"/>
          <w:lang w:val="en-US"/>
        </w:rPr>
        <w:t>）。</w:t>
      </w:r>
    </w:p>
    <w:p>
      <w:pPr>
        <w:pStyle w:val="12"/>
        <w:tabs>
          <w:tab w:val="left" w:pos="9360"/>
        </w:tabs>
        <w:spacing w:line="360" w:lineRule="auto"/>
        <w:ind w:firstLine="420" w:firstLineChars="200"/>
        <w:rPr>
          <w:rFonts w:cs="宋体"/>
          <w:color w:val="auto"/>
          <w:sz w:val="21"/>
          <w:szCs w:val="21"/>
          <w:lang w:val="en-US"/>
        </w:rPr>
      </w:pPr>
      <w:r>
        <w:rPr>
          <w:rFonts w:hint="eastAsia" w:cs="宋体"/>
          <w:color w:val="auto"/>
          <w:sz w:val="21"/>
          <w:szCs w:val="21"/>
          <w:lang w:val="en-US"/>
        </w:rPr>
        <w:t>评标委员会通过审查投标人投标文件递交的材料对投标人进行信用打分：</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highlight w:val="none"/>
          <w:lang w:val="en-US"/>
        </w:rPr>
        <w:t>（a）投标人或参与本项目投标的项目负责人在投标截止时间有</w:t>
      </w:r>
      <w:r>
        <w:rPr>
          <w:rFonts w:hint="eastAsia" w:cs="宋体"/>
          <w:color w:val="auto"/>
          <w:sz w:val="21"/>
          <w:szCs w:val="21"/>
          <w:highlight w:val="none"/>
          <w:lang w:val="en-US" w:eastAsia="zh-CN"/>
        </w:rPr>
        <w:t>公布期</w:t>
      </w:r>
      <w:r>
        <w:rPr>
          <w:rFonts w:hint="eastAsia" w:cs="宋体"/>
          <w:color w:val="auto"/>
          <w:sz w:val="21"/>
          <w:szCs w:val="21"/>
          <w:highlight w:val="none"/>
          <w:lang w:val="en-US"/>
        </w:rPr>
        <w:t>的建筑市场不良信用信息的扣</w:t>
      </w:r>
      <w:r>
        <w:rPr>
          <w:rFonts w:hint="eastAsia" w:cs="宋体"/>
          <w:color w:val="auto"/>
          <w:sz w:val="21"/>
          <w:szCs w:val="21"/>
          <w:highlight w:val="none"/>
          <w:lang w:val="en-US" w:eastAsia="zh-CN"/>
        </w:rPr>
        <w:t>1</w:t>
      </w:r>
      <w:r>
        <w:rPr>
          <w:rFonts w:hint="eastAsia" w:cs="宋体"/>
          <w:color w:val="auto"/>
          <w:sz w:val="21"/>
          <w:szCs w:val="21"/>
          <w:highlight w:val="none"/>
          <w:lang w:val="en-US"/>
        </w:rPr>
        <w:t>分。（建筑</w:t>
      </w:r>
      <w:r>
        <w:rPr>
          <w:rFonts w:hint="eastAsia" w:cs="宋体"/>
          <w:color w:val="auto"/>
          <w:sz w:val="21"/>
          <w:szCs w:val="21"/>
          <w:lang w:val="en-US"/>
        </w:rPr>
        <w:t>市场不良信用信息以县（区）级及以上建设行政管理部门发布的信息为准）</w:t>
      </w:r>
    </w:p>
    <w:p>
      <w:pPr>
        <w:pStyle w:val="12"/>
        <w:tabs>
          <w:tab w:val="left" w:pos="9360"/>
        </w:tabs>
        <w:spacing w:line="360" w:lineRule="auto"/>
        <w:ind w:firstLine="420" w:firstLineChars="200"/>
        <w:rPr>
          <w:rFonts w:hint="default" w:cs="宋体"/>
          <w:color w:val="auto"/>
          <w:sz w:val="21"/>
          <w:szCs w:val="21"/>
          <w:lang w:val="en-US" w:eastAsia="zh-CN"/>
        </w:rPr>
      </w:pPr>
      <w:r>
        <w:rPr>
          <w:rFonts w:hint="eastAsia" w:cs="宋体"/>
          <w:color w:val="auto"/>
          <w:sz w:val="21"/>
          <w:szCs w:val="21"/>
          <w:lang w:val="en-US"/>
        </w:rPr>
        <w:t>（b）投标人或参与本项目投标的项目负责人</w:t>
      </w:r>
      <w:r>
        <w:rPr>
          <w:rFonts w:hint="eastAsia" w:cs="宋体"/>
          <w:color w:val="auto"/>
          <w:sz w:val="21"/>
          <w:szCs w:val="21"/>
          <w:lang w:val="en-US" w:eastAsia="zh-CN"/>
        </w:rPr>
        <w:t>半年</w:t>
      </w:r>
      <w:r>
        <w:rPr>
          <w:rFonts w:hint="eastAsia" w:ascii="Times New Roman"/>
          <w:color w:val="auto"/>
          <w:sz w:val="21"/>
          <w:szCs w:val="21"/>
          <w:lang w:val="en-US"/>
        </w:rPr>
        <w:t>内</w:t>
      </w:r>
      <w:r>
        <w:rPr>
          <w:rFonts w:hint="eastAsia" w:cs="宋体"/>
          <w:color w:val="auto"/>
          <w:sz w:val="21"/>
          <w:szCs w:val="21"/>
          <w:lang w:val="en-US"/>
        </w:rPr>
        <w:t>被县（区）级及以上建设行政管理部门行政处罚的扣</w:t>
      </w:r>
      <w:r>
        <w:rPr>
          <w:rFonts w:hint="eastAsia" w:cs="宋体"/>
          <w:color w:val="auto"/>
          <w:sz w:val="21"/>
          <w:szCs w:val="21"/>
          <w:lang w:val="en-US" w:eastAsia="zh-CN"/>
        </w:rPr>
        <w:t>1</w:t>
      </w:r>
      <w:r>
        <w:rPr>
          <w:rFonts w:hint="eastAsia" w:cs="宋体"/>
          <w:color w:val="auto"/>
          <w:sz w:val="21"/>
          <w:szCs w:val="21"/>
          <w:lang w:val="en-US"/>
        </w:rPr>
        <w:t>分。</w:t>
      </w:r>
      <w:r>
        <w:rPr>
          <w:rFonts w:hint="eastAsia" w:ascii="Times New Roman"/>
          <w:color w:val="auto"/>
          <w:sz w:val="21"/>
          <w:szCs w:val="21"/>
          <w:lang w:val="en-US"/>
        </w:rPr>
        <w:t>（自投标截止</w:t>
      </w:r>
      <w:r>
        <w:rPr>
          <w:rFonts w:hint="eastAsia" w:ascii="Times New Roman"/>
          <w:color w:val="auto"/>
          <w:sz w:val="21"/>
          <w:szCs w:val="21"/>
          <w:highlight w:val="none"/>
          <w:lang w:val="en-US"/>
        </w:rPr>
        <w:t>日起上溯</w:t>
      </w:r>
      <w:r>
        <w:rPr>
          <w:rFonts w:hint="eastAsia" w:ascii="Times New Roman"/>
          <w:color w:val="auto"/>
          <w:sz w:val="21"/>
          <w:szCs w:val="21"/>
          <w:highlight w:val="none"/>
          <w:lang w:val="en-US" w:eastAsia="zh-CN"/>
        </w:rPr>
        <w:t>半年</w:t>
      </w:r>
      <w:r>
        <w:rPr>
          <w:rFonts w:hint="eastAsia" w:ascii="Times New Roman"/>
          <w:color w:val="auto"/>
          <w:sz w:val="21"/>
          <w:szCs w:val="21"/>
          <w:highlight w:val="none"/>
          <w:lang w:val="en-US"/>
        </w:rPr>
        <w:t>，以</w:t>
      </w:r>
      <w:r>
        <w:rPr>
          <w:rFonts w:hint="eastAsia" w:ascii="Times New Roman"/>
          <w:color w:val="auto"/>
          <w:sz w:val="21"/>
          <w:szCs w:val="21"/>
          <w:lang w:val="en-US"/>
        </w:rPr>
        <w:t>处罚文件发文时间为准</w:t>
      </w:r>
      <w:r>
        <w:rPr>
          <w:rFonts w:hint="eastAsia" w:ascii="Times New Roman"/>
          <w:color w:val="auto"/>
          <w:sz w:val="21"/>
          <w:szCs w:val="21"/>
          <w:lang w:val="en-US" w:eastAsia="zh-CN"/>
        </w:rPr>
        <w:t>。同一事件如已被建设行政管理部门列入不良信用信息进行公示的，以不良信用信息公布的公示期限为准</w:t>
      </w:r>
      <w:r>
        <w:rPr>
          <w:rFonts w:hint="eastAsia" w:ascii="Times New Roman"/>
          <w:color w:val="auto"/>
          <w:sz w:val="21"/>
          <w:szCs w:val="21"/>
          <w:lang w:val="en-US"/>
        </w:rPr>
        <w:t>）</w:t>
      </w:r>
    </w:p>
    <w:p>
      <w:pPr>
        <w:pStyle w:val="12"/>
        <w:tabs>
          <w:tab w:val="left" w:pos="9360"/>
        </w:tabs>
        <w:spacing w:line="360" w:lineRule="auto"/>
        <w:ind w:firstLine="480"/>
        <w:rPr>
          <w:rFonts w:hint="eastAsia" w:cs="宋体"/>
          <w:color w:val="auto"/>
          <w:sz w:val="21"/>
          <w:szCs w:val="21"/>
          <w:highlight w:val="none"/>
          <w:lang w:val="en-US" w:eastAsia="zh-CN"/>
        </w:rPr>
      </w:pPr>
      <w:r>
        <w:rPr>
          <w:rFonts w:hint="eastAsia" w:cs="宋体"/>
          <w:color w:val="auto"/>
          <w:sz w:val="21"/>
          <w:szCs w:val="21"/>
          <w:highlight w:val="none"/>
          <w:lang w:val="en-US" w:eastAsia="zh-CN"/>
        </w:rPr>
        <w:t>2.项目负责人信用分（2分）</w:t>
      </w:r>
    </w:p>
    <w:p>
      <w:pPr>
        <w:pStyle w:val="12"/>
        <w:tabs>
          <w:tab w:val="left" w:pos="9360"/>
        </w:tabs>
        <w:spacing w:line="360" w:lineRule="auto"/>
        <w:ind w:firstLine="480"/>
        <w:rPr>
          <w:rFonts w:hint="eastAsia" w:cs="宋体"/>
          <w:color w:val="auto"/>
          <w:sz w:val="21"/>
          <w:szCs w:val="21"/>
          <w:highlight w:val="none"/>
          <w:lang w:val="en-US" w:eastAsia="zh-CN"/>
        </w:rPr>
      </w:pPr>
      <w:r>
        <w:rPr>
          <w:rFonts w:hint="eastAsia" w:cs="宋体"/>
          <w:color w:val="auto"/>
          <w:sz w:val="21"/>
          <w:szCs w:val="21"/>
          <w:highlight w:val="none"/>
          <w:lang w:val="en-US" w:eastAsia="zh-CN"/>
        </w:rPr>
        <w:t>根据项目负责人的信用等级进行打分（此项待项目负责人信用评价细则出台后实施，未实施前均得满分）。</w:t>
      </w:r>
    </w:p>
    <w:p>
      <w:pPr>
        <w:pStyle w:val="12"/>
        <w:tabs>
          <w:tab w:val="left" w:pos="9360"/>
        </w:tabs>
        <w:spacing w:line="360" w:lineRule="auto"/>
        <w:ind w:firstLine="480"/>
        <w:rPr>
          <w:rFonts w:hint="eastAsia" w:cs="宋体"/>
          <w:color w:val="auto"/>
          <w:sz w:val="21"/>
          <w:szCs w:val="21"/>
          <w:highlight w:val="yellow"/>
          <w:lang w:val="en-US" w:eastAsia="zh-CN"/>
        </w:rPr>
      </w:pPr>
      <w:r>
        <w:rPr>
          <w:rFonts w:hint="eastAsia" w:cs="宋体"/>
          <w:color w:val="auto"/>
          <w:sz w:val="21"/>
          <w:szCs w:val="21"/>
          <w:highlight w:val="none"/>
          <w:lang w:val="en-US" w:eastAsia="zh-CN"/>
        </w:rPr>
        <w:t>3.投标人类似项目经验（2分）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3845"/>
        <w:gridCol w:w="3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044" w:type="dxa"/>
            <w:vMerge w:val="restart"/>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投标人类似项目程经验</w:t>
            </w:r>
          </w:p>
        </w:tc>
        <w:tc>
          <w:tcPr>
            <w:tcW w:w="3845" w:type="dxa"/>
            <w:vMerge w:val="restart"/>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u w:val="single"/>
                <w:vertAlign w:val="baseline"/>
                <w:lang w:val="en-US" w:eastAsia="zh-CN"/>
              </w:rPr>
              <w:t xml:space="preserve"> </w:t>
            </w:r>
            <w:r>
              <w:rPr>
                <w:rFonts w:hint="eastAsia" w:cs="宋体"/>
                <w:color w:val="auto"/>
                <w:sz w:val="21"/>
                <w:szCs w:val="21"/>
                <w:highlight w:val="none"/>
                <w:u w:val="single"/>
                <w:vertAlign w:val="baseline"/>
                <w:lang w:val="en-US" w:eastAsia="zh-CN"/>
              </w:rPr>
              <w:t xml:space="preserve">  </w:t>
            </w:r>
            <w:r>
              <w:rPr>
                <w:rFonts w:hint="default" w:cs="宋体"/>
                <w:color w:val="auto"/>
                <w:sz w:val="21"/>
                <w:szCs w:val="21"/>
                <w:highlight w:val="none"/>
                <w:vertAlign w:val="baseline"/>
                <w:lang w:val="en-US" w:eastAsia="zh-CN"/>
              </w:rPr>
              <w:t>年</w:t>
            </w:r>
            <w:r>
              <w:rPr>
                <w:rFonts w:hint="default" w:cs="宋体"/>
                <w:color w:val="auto"/>
                <w:sz w:val="21"/>
                <w:szCs w:val="21"/>
                <w:highlight w:val="none"/>
                <w:u w:val="single"/>
                <w:vertAlign w:val="baseline"/>
                <w:lang w:val="en-US" w:eastAsia="zh-CN"/>
              </w:rPr>
              <w:t xml:space="preserve">   </w:t>
            </w:r>
            <w:r>
              <w:rPr>
                <w:rFonts w:hint="default" w:cs="宋体"/>
                <w:color w:val="auto"/>
                <w:sz w:val="21"/>
                <w:szCs w:val="21"/>
                <w:highlight w:val="none"/>
                <w:vertAlign w:val="baseline"/>
                <w:lang w:val="en-US" w:eastAsia="zh-CN"/>
              </w:rPr>
              <w:t>月</w:t>
            </w:r>
            <w:r>
              <w:rPr>
                <w:rFonts w:hint="eastAsia" w:cs="宋体"/>
                <w:color w:val="auto"/>
                <w:sz w:val="21"/>
                <w:szCs w:val="21"/>
                <w:highlight w:val="none"/>
                <w:u w:val="single"/>
                <w:vertAlign w:val="baseline"/>
                <w:lang w:val="en-US" w:eastAsia="zh-CN"/>
              </w:rPr>
              <w:t xml:space="preserve">   </w:t>
            </w:r>
            <w:r>
              <w:rPr>
                <w:rFonts w:hint="default" w:cs="宋体"/>
                <w:color w:val="auto"/>
                <w:sz w:val="21"/>
                <w:szCs w:val="21"/>
                <w:highlight w:val="none"/>
                <w:vertAlign w:val="baseline"/>
                <w:lang w:val="en-US" w:eastAsia="zh-CN"/>
              </w:rPr>
              <w:t>日至今，</w:t>
            </w:r>
            <w:r>
              <w:rPr>
                <w:rFonts w:hint="eastAsia" w:cs="宋体"/>
                <w:color w:val="auto"/>
                <w:sz w:val="21"/>
                <w:szCs w:val="21"/>
                <w:highlight w:val="none"/>
                <w:vertAlign w:val="baseline"/>
                <w:lang w:val="en-US" w:eastAsia="zh-CN"/>
              </w:rPr>
              <w:t>投标人</w:t>
            </w:r>
            <w:r>
              <w:rPr>
                <w:rFonts w:hint="default" w:cs="宋体"/>
                <w:color w:val="auto"/>
                <w:sz w:val="21"/>
                <w:szCs w:val="21"/>
                <w:highlight w:val="none"/>
                <w:vertAlign w:val="baseline"/>
                <w:lang w:val="en-US" w:eastAsia="zh-CN"/>
              </w:rPr>
              <w:t>人完成过类似</w:t>
            </w:r>
            <w:r>
              <w:rPr>
                <w:rFonts w:hint="eastAsia" w:cs="宋体"/>
                <w:color w:val="auto"/>
                <w:sz w:val="21"/>
                <w:szCs w:val="21"/>
                <w:highlight w:val="none"/>
                <w:vertAlign w:val="baseline"/>
                <w:lang w:val="en-US" w:eastAsia="zh-CN"/>
              </w:rPr>
              <w:t>项目</w:t>
            </w:r>
            <w:r>
              <w:rPr>
                <w:rFonts w:hint="default" w:cs="宋体"/>
                <w:color w:val="auto"/>
                <w:sz w:val="21"/>
                <w:szCs w:val="21"/>
                <w:highlight w:val="none"/>
                <w:vertAlign w:val="baseline"/>
                <w:lang w:val="en-US" w:eastAsia="zh-CN"/>
              </w:rPr>
              <w:t>。</w:t>
            </w:r>
          </w:p>
          <w:p>
            <w:pPr>
              <w:pStyle w:val="12"/>
              <w:widowControl w:val="0"/>
              <w:numPr>
                <w:ilvl w:val="0"/>
                <w:numId w:val="0"/>
              </w:numPr>
              <w:tabs>
                <w:tab w:val="left" w:pos="9360"/>
              </w:tabs>
              <w:spacing w:line="240" w:lineRule="auto"/>
              <w:jc w:val="both"/>
              <w:rPr>
                <w:rFonts w:hint="default" w:cs="宋体"/>
                <w:color w:val="auto"/>
                <w:sz w:val="21"/>
                <w:szCs w:val="21"/>
                <w:highlight w:val="none"/>
                <w:u w:val="single"/>
                <w:vertAlign w:val="baseline"/>
                <w:lang w:val="en-US" w:eastAsia="zh-CN"/>
              </w:rPr>
            </w:pPr>
            <w:r>
              <w:rPr>
                <w:rFonts w:hint="eastAsia" w:cs="宋体"/>
                <w:color w:val="auto"/>
                <w:sz w:val="21"/>
                <w:szCs w:val="21"/>
                <w:highlight w:val="none"/>
                <w:vertAlign w:val="baseline"/>
                <w:lang w:val="en-US" w:eastAsia="zh-CN"/>
              </w:rPr>
              <w:t>类似项目指：</w:t>
            </w:r>
            <w:r>
              <w:rPr>
                <w:rFonts w:hint="eastAsia" w:cs="宋体"/>
                <w:color w:val="auto"/>
                <w:sz w:val="21"/>
                <w:szCs w:val="21"/>
                <w:highlight w:val="none"/>
                <w:u w:val="single"/>
                <w:vertAlign w:val="baseline"/>
                <w:lang w:val="en-US" w:eastAsia="zh-CN"/>
              </w:rPr>
              <w:t xml:space="preserve">         </w:t>
            </w:r>
          </w:p>
        </w:tc>
        <w:tc>
          <w:tcPr>
            <w:tcW w:w="3804" w:type="dxa"/>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vertAlign w:val="baseline"/>
                <w:lang w:val="en-US" w:eastAsia="zh-CN"/>
              </w:rPr>
              <w:t>达到招标项目相应规模</w:t>
            </w:r>
            <w:r>
              <w:rPr>
                <w:rFonts w:hint="eastAsia" w:cs="宋体"/>
                <w:color w:val="auto"/>
                <w:sz w:val="21"/>
                <w:szCs w:val="21"/>
                <w:highlight w:val="none"/>
                <w:vertAlign w:val="baseline"/>
                <w:lang w:val="en-US" w:eastAsia="zh-CN"/>
              </w:rPr>
              <w:t>50</w:t>
            </w:r>
            <w:r>
              <w:rPr>
                <w:rFonts w:hint="default" w:cs="宋体"/>
                <w:color w:val="auto"/>
                <w:sz w:val="21"/>
                <w:szCs w:val="21"/>
                <w:highlight w:val="none"/>
                <w:vertAlign w:val="baseline"/>
                <w:lang w:val="en-US" w:eastAsia="zh-CN"/>
              </w:rPr>
              <w:t>%，得</w:t>
            </w:r>
            <w:r>
              <w:rPr>
                <w:rFonts w:hint="eastAsia" w:cs="宋体"/>
                <w:color w:val="auto"/>
                <w:sz w:val="21"/>
                <w:szCs w:val="21"/>
                <w:highlight w:val="none"/>
                <w:vertAlign w:val="baseline"/>
                <w:lang w:val="en-US" w:eastAsia="zh-CN"/>
              </w:rPr>
              <w:t>2</w:t>
            </w:r>
            <w:r>
              <w:rPr>
                <w:rFonts w:hint="default" w:cs="宋体"/>
                <w:color w:val="auto"/>
                <w:sz w:val="21"/>
                <w:szCs w:val="21"/>
                <w:highlight w:val="none"/>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044" w:type="dxa"/>
            <w:vMerge w:val="continue"/>
          </w:tcPr>
          <w:p>
            <w:pPr>
              <w:pStyle w:val="12"/>
              <w:widowControl w:val="0"/>
              <w:tabs>
                <w:tab w:val="left" w:pos="9360"/>
              </w:tabs>
              <w:spacing w:line="240" w:lineRule="auto"/>
              <w:jc w:val="both"/>
              <w:rPr>
                <w:rFonts w:hint="default" w:cs="宋体"/>
                <w:color w:val="auto"/>
                <w:sz w:val="21"/>
                <w:szCs w:val="21"/>
                <w:highlight w:val="none"/>
                <w:vertAlign w:val="baseline"/>
                <w:lang w:val="en-US" w:eastAsia="zh-CN"/>
              </w:rPr>
            </w:pPr>
          </w:p>
        </w:tc>
        <w:tc>
          <w:tcPr>
            <w:tcW w:w="3845" w:type="dxa"/>
            <w:vMerge w:val="continue"/>
          </w:tcPr>
          <w:p>
            <w:pPr>
              <w:pStyle w:val="12"/>
              <w:widowControl w:val="0"/>
              <w:tabs>
                <w:tab w:val="left" w:pos="9360"/>
              </w:tabs>
              <w:spacing w:line="240" w:lineRule="auto"/>
              <w:jc w:val="both"/>
              <w:rPr>
                <w:rFonts w:hint="default" w:cs="宋体"/>
                <w:color w:val="auto"/>
                <w:sz w:val="21"/>
                <w:szCs w:val="21"/>
                <w:highlight w:val="none"/>
                <w:vertAlign w:val="baseline"/>
                <w:lang w:val="en-US" w:eastAsia="zh-CN"/>
              </w:rPr>
            </w:pPr>
          </w:p>
        </w:tc>
        <w:tc>
          <w:tcPr>
            <w:tcW w:w="3804" w:type="dxa"/>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vertAlign w:val="baseline"/>
                <w:lang w:val="en-US" w:eastAsia="zh-CN"/>
              </w:rPr>
              <w:t>达到招标项目相应规模</w:t>
            </w:r>
            <w:r>
              <w:rPr>
                <w:rFonts w:hint="eastAsia" w:cs="宋体"/>
                <w:color w:val="auto"/>
                <w:sz w:val="21"/>
                <w:szCs w:val="21"/>
                <w:highlight w:val="none"/>
                <w:vertAlign w:val="baseline"/>
                <w:lang w:val="en-US" w:eastAsia="zh-CN"/>
              </w:rPr>
              <w:t>2</w:t>
            </w:r>
            <w:r>
              <w:rPr>
                <w:rFonts w:hint="default" w:cs="宋体"/>
                <w:color w:val="auto"/>
                <w:sz w:val="21"/>
                <w:szCs w:val="21"/>
                <w:highlight w:val="none"/>
                <w:vertAlign w:val="baseline"/>
                <w:lang w:val="en-US" w:eastAsia="zh-CN"/>
              </w:rPr>
              <w:t>0%，得</w:t>
            </w:r>
            <w:r>
              <w:rPr>
                <w:rFonts w:hint="eastAsia" w:cs="宋体"/>
                <w:color w:val="auto"/>
                <w:sz w:val="21"/>
                <w:szCs w:val="21"/>
                <w:highlight w:val="none"/>
                <w:vertAlign w:val="baseline"/>
                <w:lang w:val="en-US" w:eastAsia="zh-CN"/>
              </w:rPr>
              <w:t>1.5</w:t>
            </w:r>
            <w:r>
              <w:rPr>
                <w:rFonts w:hint="default" w:cs="宋体"/>
                <w:color w:val="auto"/>
                <w:sz w:val="21"/>
                <w:szCs w:val="21"/>
                <w:highlight w:val="none"/>
                <w:vertAlign w:val="baseline"/>
                <w:lang w:val="en-US" w:eastAsia="zh-CN"/>
              </w:rPr>
              <w:t>分</w:t>
            </w:r>
          </w:p>
        </w:tc>
      </w:tr>
    </w:tbl>
    <w:p>
      <w:pPr>
        <w:pStyle w:val="12"/>
        <w:tabs>
          <w:tab w:val="left" w:pos="9360"/>
        </w:tabs>
        <w:spacing w:line="360" w:lineRule="auto"/>
        <w:rPr>
          <w:rFonts w:hint="default" w:cs="宋体"/>
          <w:color w:val="auto"/>
          <w:sz w:val="21"/>
          <w:szCs w:val="21"/>
          <w:lang w:val="en-US" w:eastAsia="zh-CN"/>
        </w:rPr>
      </w:pPr>
      <w:r>
        <w:rPr>
          <w:rFonts w:hint="eastAsia" w:cs="宋体"/>
          <w:color w:val="auto"/>
          <w:sz w:val="21"/>
          <w:szCs w:val="21"/>
          <w:lang w:val="en-US" w:eastAsia="zh-CN"/>
        </w:rPr>
        <w:t>注：①类似项目的证明材料：</w:t>
      </w:r>
      <w:r>
        <w:rPr>
          <w:rFonts w:hint="eastAsia" w:cs="宋体"/>
          <w:color w:val="auto"/>
          <w:sz w:val="21"/>
          <w:szCs w:val="21"/>
          <w:u w:val="single"/>
          <w:lang w:val="en-US" w:eastAsia="zh-CN"/>
        </w:rPr>
        <w:t xml:space="preserve">                  </w:t>
      </w:r>
      <w:r>
        <w:rPr>
          <w:rFonts w:hint="eastAsia" w:cs="宋体"/>
          <w:color w:val="auto"/>
          <w:sz w:val="21"/>
          <w:szCs w:val="21"/>
          <w:lang w:val="en-US" w:eastAsia="zh-CN"/>
        </w:rPr>
        <w:t xml:space="preserve">          </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②软土地基的认定标准：</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lang w:val="en-US" w:eastAsia="zh-CN"/>
        </w:rPr>
        <w:t xml:space="preserve">          </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③类似项目以全国和浙江省建筑市场监管公共服务平台查询的为准，平台上无法查询的项目业绩不作为评审依据。平台上的资料信息无法证明项目规模指标的，投标人应该在投标文件中主动提供相关资料，否则评审中不予认可。</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④招标人应当从招标项目的建设规模（建筑面积或造价）和所处自然环境条件界定类似项目。类似项目年限要求为近5年。</w:t>
      </w:r>
    </w:p>
    <w:p>
      <w:pPr>
        <w:pStyle w:val="12"/>
        <w:tabs>
          <w:tab w:val="left" w:pos="9360"/>
        </w:tabs>
        <w:spacing w:line="360" w:lineRule="auto"/>
        <w:ind w:firstLine="420" w:firstLineChars="200"/>
        <w:rPr>
          <w:rFonts w:hint="eastAsia" w:eastAsia="宋体" w:cs="宋体"/>
          <w:color w:val="auto"/>
          <w:sz w:val="21"/>
          <w:szCs w:val="21"/>
          <w:highlight w:val="yellow"/>
          <w:lang w:val="en-US" w:eastAsia="zh-CN"/>
        </w:rPr>
      </w:pPr>
      <w:r>
        <w:rPr>
          <w:rFonts w:hint="eastAsia" w:cs="宋体"/>
          <w:color w:val="auto"/>
          <w:sz w:val="21"/>
          <w:szCs w:val="21"/>
          <w:lang w:val="en-US"/>
        </w:rPr>
        <w:t>投标人总得</w:t>
      </w:r>
      <w:r>
        <w:rPr>
          <w:rFonts w:hint="eastAsia" w:cs="宋体"/>
          <w:color w:val="auto"/>
          <w:sz w:val="21"/>
          <w:szCs w:val="21"/>
        </w:rPr>
        <w:t>分=</w:t>
      </w:r>
      <w:r>
        <w:rPr>
          <w:rFonts w:hint="eastAsia" w:cs="宋体"/>
          <w:color w:val="auto"/>
          <w:sz w:val="21"/>
          <w:szCs w:val="21"/>
          <w:lang w:val="en-US"/>
        </w:rPr>
        <w:t>投标人商务标得分+投标人</w:t>
      </w:r>
      <w:r>
        <w:rPr>
          <w:rFonts w:hint="eastAsia" w:cs="宋体"/>
          <w:color w:val="auto"/>
          <w:sz w:val="21"/>
          <w:szCs w:val="21"/>
          <w:lang w:val="en-US" w:eastAsia="zh-CN"/>
        </w:rPr>
        <w:t>资信</w:t>
      </w:r>
      <w:r>
        <w:rPr>
          <w:rFonts w:hint="eastAsia" w:cs="宋体"/>
          <w:color w:val="auto"/>
          <w:sz w:val="21"/>
          <w:szCs w:val="21"/>
          <w:lang w:val="en-US"/>
        </w:rPr>
        <w:t>评分</w:t>
      </w:r>
    </w:p>
    <w:p>
      <w:pPr>
        <w:snapToGrid w:val="0"/>
        <w:spacing w:line="360" w:lineRule="auto"/>
        <w:ind w:firstLine="421" w:firstLineChars="200"/>
        <w:outlineLvl w:val="2"/>
        <w:rPr>
          <w:rFonts w:hint="eastAsia" w:ascii="宋体" w:hAnsi="宋体" w:eastAsia="宋体" w:cs="Times New Roman"/>
          <w:b/>
          <w:lang w:val="en-US"/>
        </w:rPr>
      </w:pPr>
      <w:r>
        <w:rPr>
          <w:rFonts w:hint="eastAsia" w:ascii="宋体" w:hAnsi="宋体" w:cs="Times New Roman"/>
          <w:b/>
          <w:lang w:val="en-US" w:eastAsia="zh-CN"/>
        </w:rPr>
        <w:t>七</w:t>
      </w:r>
      <w:r>
        <w:rPr>
          <w:rFonts w:hint="eastAsia" w:ascii="宋体" w:hAnsi="宋体" w:eastAsia="宋体" w:cs="Times New Roman"/>
          <w:b/>
          <w:lang w:val="en-US"/>
        </w:rPr>
        <w:t>、综合评审</w:t>
      </w:r>
    </w:p>
    <w:p>
      <w:pPr>
        <w:pStyle w:val="12"/>
        <w:tabs>
          <w:tab w:val="left" w:pos="9360"/>
        </w:tabs>
        <w:spacing w:line="360" w:lineRule="auto"/>
        <w:ind w:firstLine="420" w:firstLineChars="200"/>
        <w:jc w:val="both"/>
        <w:rPr>
          <w:rFonts w:hint="eastAsia" w:cs="宋体"/>
          <w:sz w:val="21"/>
          <w:szCs w:val="21"/>
          <w:highlight w:val="none"/>
          <w:lang w:val="en-US"/>
        </w:rPr>
      </w:pPr>
      <w:r>
        <w:rPr>
          <w:rFonts w:hint="eastAsia" w:cs="宋体"/>
          <w:sz w:val="21"/>
          <w:szCs w:val="21"/>
          <w:highlight w:val="none"/>
          <w:lang w:val="en-US"/>
        </w:rPr>
        <w:t>综合评审是对通过资格审查（平台系统核对）、商务标评审、信用评审的拟推荐为中标候选人的投标人进行其他内容的综合评审，投标人存在投标须知前附表10.5情形（其他）的，评标委员会组织投标人询问核实后，情况属实的，综合评审不予通过，否决其投标。</w:t>
      </w:r>
    </w:p>
    <w:p>
      <w:pPr>
        <w:snapToGrid w:val="0"/>
        <w:spacing w:line="360" w:lineRule="auto"/>
        <w:ind w:firstLine="420" w:firstLineChars="200"/>
        <w:outlineLvl w:val="2"/>
        <w:rPr>
          <w:rFonts w:hint="eastAsia" w:cs="宋体"/>
          <w:sz w:val="21"/>
          <w:szCs w:val="21"/>
          <w:highlight w:val="none"/>
          <w:lang w:val="en-US"/>
        </w:rPr>
      </w:pPr>
      <w:r>
        <w:rPr>
          <w:rFonts w:hint="eastAsia" w:cs="宋体"/>
          <w:sz w:val="21"/>
          <w:szCs w:val="21"/>
          <w:highlight w:val="none"/>
          <w:lang w:val="en-US"/>
        </w:rPr>
        <w:t>评标委员会对拟推荐中标候选人和其拟派项目负责人在投标文件中所申报的信用信息进行核对，如发现投标人递交投标文件中的信用信息的错、漏可能影响评审结果的，评标委员会应组织投标人核实，情况属实的取消其推荐为中标候选人的资格并书面报告招标人和招投标管理部门。</w:t>
      </w:r>
    </w:p>
    <w:p>
      <w:pPr>
        <w:snapToGrid w:val="0"/>
        <w:spacing w:line="360" w:lineRule="auto"/>
        <w:ind w:firstLine="421" w:firstLineChars="200"/>
        <w:outlineLvl w:val="2"/>
        <w:rPr>
          <w:rFonts w:hint="eastAsia" w:ascii="宋体" w:hAnsi="宋体" w:eastAsia="宋体" w:cs="Times New Roman"/>
          <w:b/>
          <w:lang w:val="zh-CN" w:eastAsia="zh-CN"/>
        </w:rPr>
      </w:pPr>
      <w:r>
        <w:rPr>
          <w:rFonts w:hint="eastAsia" w:ascii="宋体" w:hAnsi="宋体" w:cs="Times New Roman"/>
          <w:b/>
          <w:lang w:val="en-US" w:eastAsia="zh-CN"/>
        </w:rPr>
        <w:t>八</w:t>
      </w:r>
      <w:r>
        <w:rPr>
          <w:rFonts w:hint="eastAsia" w:ascii="宋体" w:hAnsi="宋体" w:eastAsia="宋体" w:cs="Times New Roman"/>
          <w:b/>
          <w:lang w:val="en-US" w:eastAsia="zh-CN"/>
        </w:rPr>
        <w:t>、</w:t>
      </w:r>
      <w:r>
        <w:rPr>
          <w:rFonts w:hint="eastAsia" w:ascii="宋体" w:hAnsi="宋体" w:eastAsia="宋体" w:cs="Times New Roman"/>
          <w:b/>
          <w:lang w:val="zh-CN" w:eastAsia="zh-CN"/>
        </w:rPr>
        <w:t>推荐中标候选人</w:t>
      </w:r>
    </w:p>
    <w:p>
      <w:pPr>
        <w:pStyle w:val="12"/>
        <w:tabs>
          <w:tab w:val="left" w:pos="9360"/>
        </w:tabs>
        <w:spacing w:line="360" w:lineRule="auto"/>
        <w:ind w:firstLine="420" w:firstLineChars="200"/>
        <w:jc w:val="both"/>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评标委员会对投标人按总分从高到低进行排序，并按照排序推荐中标候选人。如总分相同的，以投标报价低的优先；上述均相同的  (在招标文件中明确确定方式) 。</w:t>
      </w:r>
    </w:p>
    <w:p>
      <w:pPr>
        <w:pStyle w:val="12"/>
        <w:tabs>
          <w:tab w:val="left" w:pos="9360"/>
        </w:tabs>
        <w:spacing w:line="360" w:lineRule="auto"/>
        <w:ind w:firstLine="420" w:firstLineChars="200"/>
        <w:jc w:val="both"/>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评标委员会对拟确定的推荐中标候选人和其拟派项目负责人，是否列入失信被执行人名单及在本招标文件（招标公告）规定时间范围内是否有行贿犯罪记录的情形进行查验。如查实存在行贿犯罪记录情况（以行贿罪判决为准）、被列入失信被执行人名单的，则取消其中标候选人资格。</w:t>
      </w:r>
    </w:p>
    <w:p>
      <w:pPr>
        <w:pStyle w:val="12"/>
        <w:tabs>
          <w:tab w:val="left" w:pos="9360"/>
        </w:tabs>
        <w:spacing w:line="360" w:lineRule="auto"/>
        <w:ind w:firstLine="420" w:firstLineChars="200"/>
        <w:jc w:val="both"/>
        <w:rPr>
          <w:rFonts w:hint="eastAsia" w:ascii="宋体" w:hAnsi="宋体" w:cs="宋体"/>
          <w:color w:val="auto"/>
          <w:sz w:val="21"/>
          <w:szCs w:val="21"/>
          <w:highlight w:val="none"/>
          <w:lang w:val="en-US" w:eastAsia="zh-CN" w:bidi="ar-SA"/>
        </w:rPr>
        <w:sectPr>
          <w:pgSz w:w="12240" w:h="15840"/>
          <w:pgMar w:top="1400" w:right="1043" w:bottom="1120" w:left="1720" w:header="0" w:footer="921" w:gutter="0"/>
          <w:cols w:space="720" w:num="1"/>
        </w:sectPr>
      </w:pPr>
      <w:r>
        <w:rPr>
          <w:rFonts w:hint="eastAsia" w:ascii="宋体" w:hAnsi="宋体" w:cs="宋体"/>
          <w:color w:val="auto"/>
          <w:sz w:val="21"/>
          <w:szCs w:val="21"/>
          <w:highlight w:val="none"/>
          <w:lang w:val="en-US" w:eastAsia="zh-CN" w:bidi="ar-SA"/>
        </w:rPr>
        <w:t>当有效投标人＜3家时，评标委员会应判定本次投标是否具有竞争力。若评标委员会认为本次投标明显缺乏竞争的，可以否决全部投标。</w:t>
      </w:r>
    </w:p>
    <w:p>
      <w:pPr>
        <w:pStyle w:val="8"/>
        <w:rPr>
          <w:rFonts w:hint="eastAsia"/>
        </w:rPr>
      </w:pPr>
    </w:p>
    <w:p>
      <w:pPr>
        <w:spacing w:line="360" w:lineRule="auto"/>
        <w:ind w:firstLine="421" w:firstLineChars="200"/>
        <w:outlineLvl w:val="1"/>
        <w:rPr>
          <w:rFonts w:hint="eastAsia" w:ascii="宋体" w:hAnsi="宋体"/>
          <w:b/>
        </w:rPr>
      </w:pPr>
      <w:r>
        <w:rPr>
          <w:rFonts w:ascii="宋体" w:hAnsi="宋体"/>
          <w:b/>
        </w:rPr>
        <w:sym w:font="Wingdings 2" w:char="00A3"/>
      </w:r>
      <w:r>
        <w:rPr>
          <w:rFonts w:hint="eastAsia" w:ascii="宋体" w:hAnsi="宋体"/>
          <w:b/>
        </w:rPr>
        <w:t>评标办法（四）</w:t>
      </w:r>
    </w:p>
    <w:p>
      <w:pPr>
        <w:pStyle w:val="8"/>
      </w:pPr>
    </w:p>
    <w:p>
      <w:pPr>
        <w:spacing w:line="360" w:lineRule="auto"/>
        <w:ind w:firstLine="421" w:firstLineChars="200"/>
        <w:jc w:val="center"/>
        <w:outlineLvl w:val="1"/>
        <w:rPr>
          <w:rFonts w:hint="eastAsia" w:ascii="宋体" w:hAnsi="宋体" w:cs="宋体"/>
          <w:b/>
          <w:bCs/>
        </w:rPr>
      </w:pPr>
      <w:r>
        <w:rPr>
          <w:rFonts w:hint="eastAsia" w:ascii="宋体" w:hAnsi="宋体" w:cs="宋体"/>
          <w:b/>
          <w:bCs/>
        </w:rPr>
        <w:t>技术标打分制的综合评估法</w:t>
      </w:r>
    </w:p>
    <w:p>
      <w:pPr>
        <w:pStyle w:val="8"/>
        <w:rPr>
          <w:rFonts w:hint="eastAsia"/>
        </w:rPr>
      </w:pPr>
    </w:p>
    <w:p>
      <w:pPr>
        <w:spacing w:line="360" w:lineRule="auto"/>
        <w:ind w:firstLine="420" w:firstLineChars="200"/>
        <w:rPr>
          <w:rFonts w:hint="eastAsia" w:ascii="宋体" w:hAnsi="宋体" w:cs="宋体"/>
        </w:rPr>
      </w:pPr>
      <w:r>
        <w:rPr>
          <w:rFonts w:hint="eastAsia" w:ascii="宋体" w:hAnsi="宋体" w:cs="宋体"/>
        </w:rPr>
        <w:t>技术标打分制的综合评估法，适用于采用新工艺、技术特别复杂或具有特殊专业技术要求的房屋建筑和市政基础设施工程施工招</w:t>
      </w:r>
      <w:r>
        <w:rPr>
          <w:rFonts w:hint="eastAsia" w:ascii="宋体" w:hAnsi="宋体" w:cs="宋体"/>
          <w:highlight w:val="none"/>
        </w:rPr>
        <w:t>标</w:t>
      </w:r>
      <w:r>
        <w:rPr>
          <w:rFonts w:hint="eastAsia" w:ascii="宋体" w:hAnsi="宋体" w:cs="宋体"/>
          <w:highlight w:val="none"/>
          <w:lang w:eastAsia="zh-CN"/>
        </w:rPr>
        <w:t>（</w:t>
      </w:r>
      <w:r>
        <w:rPr>
          <w:rFonts w:hint="eastAsia" w:ascii="宋体" w:hAnsi="宋体" w:cs="宋体"/>
          <w:highlight w:val="none"/>
          <w:lang w:val="en-US" w:eastAsia="zh-CN"/>
        </w:rPr>
        <w:t>包括专业承包工程</w:t>
      </w:r>
      <w:r>
        <w:rPr>
          <w:rFonts w:hint="eastAsia" w:ascii="宋体" w:hAnsi="宋体" w:cs="宋体"/>
          <w:highlight w:val="none"/>
          <w:lang w:eastAsia="zh-CN"/>
        </w:rPr>
        <w:t>），</w:t>
      </w:r>
      <w:r>
        <w:rPr>
          <w:rFonts w:hint="eastAsia" w:ascii="宋体" w:hAnsi="宋体" w:cs="宋体"/>
          <w:highlight w:val="none"/>
          <w:lang w:val="en-US" w:eastAsia="zh-CN"/>
        </w:rPr>
        <w:t>须满足使用指南中技术标打分制综合评估法要求的项目规模标准</w:t>
      </w:r>
      <w:r>
        <w:rPr>
          <w:rFonts w:hint="eastAsia" w:ascii="宋体" w:hAnsi="宋体" w:cs="宋体"/>
          <w:highlight w:val="none"/>
        </w:rPr>
        <w:t>。评标应遵循公平、公</w:t>
      </w:r>
      <w:r>
        <w:rPr>
          <w:rFonts w:hint="eastAsia" w:ascii="宋体" w:hAnsi="宋体" w:cs="宋体"/>
        </w:rPr>
        <w:t>正、科学、择优的原则。</w:t>
      </w:r>
    </w:p>
    <w:p>
      <w:pPr>
        <w:spacing w:line="360" w:lineRule="auto"/>
        <w:ind w:firstLine="420" w:firstLineChars="200"/>
        <w:rPr>
          <w:rFonts w:hint="eastAsia" w:ascii="宋体" w:hAnsi="宋体" w:cs="宋体"/>
        </w:rPr>
      </w:pPr>
      <w:r>
        <w:rPr>
          <w:rFonts w:hint="eastAsia" w:ascii="宋体" w:hAnsi="宋体" w:cs="宋体"/>
        </w:rPr>
        <w:t xml:space="preserve"> 技术标打分制的综合评估法应先对投标人进行资格审查，</w:t>
      </w:r>
      <w:r>
        <w:rPr>
          <w:rFonts w:hint="eastAsia" w:ascii="宋体" w:hAnsi="宋体"/>
          <w:bCs/>
          <w:lang w:val="en-US" w:eastAsia="zh-CN"/>
        </w:rPr>
        <w:t>已通过资格审查的投标人报价按规定的方法进入评审区间，</w:t>
      </w:r>
      <w:r>
        <w:rPr>
          <w:rFonts w:hint="eastAsia" w:ascii="宋体" w:hAnsi="宋体" w:cs="宋体"/>
        </w:rPr>
        <w:t>对</w:t>
      </w:r>
      <w:r>
        <w:rPr>
          <w:rFonts w:hint="eastAsia" w:ascii="宋体" w:hAnsi="宋体" w:cs="宋体"/>
          <w:lang w:eastAsia="zh-CN"/>
        </w:rPr>
        <w:t>进入评审区间的</w:t>
      </w:r>
      <w:r>
        <w:rPr>
          <w:rFonts w:hint="eastAsia" w:ascii="宋体" w:hAnsi="宋体" w:cs="宋体"/>
        </w:rPr>
        <w:t>投标人分别进行资信、商务、技术标评</w:t>
      </w:r>
      <w:r>
        <w:rPr>
          <w:rFonts w:hint="eastAsia" w:ascii="宋体" w:hAnsi="宋体" w:cs="宋体"/>
          <w:lang w:eastAsia="zh-CN"/>
        </w:rPr>
        <w:t>审</w:t>
      </w:r>
      <w:r>
        <w:rPr>
          <w:rFonts w:hint="eastAsia" w:ascii="宋体" w:hAnsi="宋体" w:cs="宋体"/>
        </w:rPr>
        <w:t>，总分最高的投标人推荐为中标候选人。</w:t>
      </w:r>
    </w:p>
    <w:p>
      <w:pPr>
        <w:spacing w:line="360" w:lineRule="auto"/>
        <w:ind w:firstLine="420" w:firstLineChars="200"/>
        <w:rPr>
          <w:rFonts w:hint="eastAsia" w:ascii="宋体" w:hAnsi="宋体" w:cs="宋体"/>
          <w:color w:val="C00000"/>
        </w:rPr>
      </w:pPr>
      <w:r>
        <w:rPr>
          <w:rFonts w:hint="eastAsia" w:ascii="宋体" w:hAnsi="宋体" w:cs="宋体"/>
        </w:rPr>
        <w:t>总分=技术标评分</w:t>
      </w:r>
      <w:r>
        <w:rPr>
          <w:rFonts w:hint="eastAsia" w:ascii="宋体" w:hAnsi="宋体" w:cs="宋体"/>
          <w:u w:val="none"/>
        </w:rPr>
        <w:t>30</w:t>
      </w:r>
      <w:r>
        <w:rPr>
          <w:rFonts w:hint="eastAsia" w:ascii="宋体" w:hAnsi="宋体" w:cs="宋体"/>
        </w:rPr>
        <w:t>分</w:t>
      </w:r>
      <w:r>
        <w:rPr>
          <w:rFonts w:hint="eastAsia" w:ascii="宋体" w:hAnsi="宋体" w:cs="宋体"/>
          <w:lang w:val="en-US" w:eastAsia="zh-CN"/>
        </w:rPr>
        <w:t>(含陈述答辩分)</w:t>
      </w:r>
      <w:r>
        <w:rPr>
          <w:rFonts w:hint="eastAsia" w:ascii="宋体" w:hAnsi="宋体" w:cs="宋体"/>
        </w:rPr>
        <w:t>+商务标评分</w:t>
      </w:r>
      <w:r>
        <w:rPr>
          <w:rFonts w:hint="eastAsia" w:ascii="宋体" w:hAnsi="宋体" w:cs="宋体"/>
          <w:u w:val="none"/>
        </w:rPr>
        <w:t>6</w:t>
      </w:r>
      <w:r>
        <w:rPr>
          <w:rFonts w:hint="eastAsia" w:ascii="宋体" w:hAnsi="宋体" w:cs="宋体"/>
          <w:u w:val="none"/>
          <w:lang w:val="en-US" w:eastAsia="zh-CN"/>
        </w:rPr>
        <w:t>4</w:t>
      </w:r>
      <w:r>
        <w:rPr>
          <w:rFonts w:hint="eastAsia" w:ascii="宋体" w:hAnsi="宋体" w:cs="宋体"/>
          <w:highlight w:val="none"/>
        </w:rPr>
        <w:t>分+</w:t>
      </w:r>
      <w:r>
        <w:rPr>
          <w:rFonts w:hint="eastAsia" w:ascii="宋体" w:hAnsi="宋体" w:cs="宋体"/>
          <w:highlight w:val="none"/>
          <w:lang w:val="en-US" w:eastAsia="zh-CN"/>
        </w:rPr>
        <w:t>资</w:t>
      </w:r>
      <w:r>
        <w:rPr>
          <w:rFonts w:hint="eastAsia" w:ascii="宋体" w:hAnsi="宋体" w:cs="宋体"/>
          <w:highlight w:val="none"/>
        </w:rPr>
        <w:t>信评分</w:t>
      </w:r>
      <w:r>
        <w:rPr>
          <w:rFonts w:hint="eastAsia" w:ascii="宋体" w:hAnsi="宋体" w:cs="宋体"/>
          <w:highlight w:val="none"/>
          <w:u w:val="none"/>
          <w:lang w:val="en-US" w:eastAsia="zh-CN"/>
        </w:rPr>
        <w:t>6</w:t>
      </w:r>
      <w:r>
        <w:rPr>
          <w:rFonts w:hint="eastAsia" w:ascii="宋体" w:hAnsi="宋体" w:cs="宋体"/>
          <w:highlight w:val="none"/>
        </w:rPr>
        <w:t>分。</w:t>
      </w:r>
    </w:p>
    <w:p>
      <w:pPr>
        <w:spacing w:line="360" w:lineRule="auto"/>
        <w:ind w:firstLine="420" w:firstLineChars="200"/>
        <w:rPr>
          <w:rFonts w:hint="eastAsia" w:ascii="宋体" w:hAnsi="宋体" w:cs="宋体"/>
          <w:color w:val="auto"/>
        </w:rPr>
      </w:pPr>
      <w:r>
        <w:rPr>
          <w:rFonts w:hint="eastAsia" w:ascii="宋体" w:hAnsi="宋体" w:cs="宋体"/>
        </w:rPr>
        <w:t>评标工作由招标人依法组建的评标委员会负责，</w:t>
      </w:r>
      <w:r>
        <w:rPr>
          <w:rFonts w:hint="eastAsia" w:ascii="宋体" w:hAnsi="宋体" w:cs="宋体"/>
          <w:b/>
          <w:bCs/>
          <w:color w:val="auto"/>
        </w:rPr>
        <w:t>评标委员会设商务专家组和技术专家组</w:t>
      </w:r>
      <w:r>
        <w:rPr>
          <w:rFonts w:hint="eastAsia" w:ascii="宋体" w:hAnsi="宋体" w:cs="宋体"/>
          <w:b/>
          <w:bCs/>
          <w:color w:val="auto"/>
          <w:highlight w:val="none"/>
        </w:rPr>
        <w:t>，</w:t>
      </w:r>
      <w:r>
        <w:rPr>
          <w:rFonts w:hint="eastAsia" w:ascii="宋体" w:hAnsi="宋体"/>
          <w:bCs/>
          <w:highlight w:val="none"/>
          <w:lang w:eastAsia="zh-CN"/>
        </w:rPr>
        <w:t>技术标评审和陈述答辩环节</w:t>
      </w:r>
      <w:r>
        <w:rPr>
          <w:rFonts w:hint="eastAsia" w:ascii="宋体" w:hAnsi="宋体"/>
          <w:bCs/>
          <w:highlight w:val="none"/>
          <w:lang w:val="en-US" w:eastAsia="zh-CN"/>
        </w:rPr>
        <w:t>由技术专家组负责评审</w:t>
      </w:r>
      <w:r>
        <w:rPr>
          <w:rFonts w:hint="eastAsia" w:ascii="宋体" w:hAnsi="宋体"/>
          <w:bCs/>
          <w:highlight w:val="none"/>
          <w:lang w:eastAsia="zh-CN"/>
        </w:rPr>
        <w:t>，</w:t>
      </w:r>
      <w:r>
        <w:rPr>
          <w:rFonts w:hint="eastAsia" w:ascii="宋体" w:hAnsi="宋体"/>
          <w:bCs/>
          <w:highlight w:val="none"/>
          <w:lang w:val="en-US" w:eastAsia="zh-CN"/>
        </w:rPr>
        <w:t>评审小组如遇到有争议性的内容时，由评标委员会集体讨论决定。</w:t>
      </w:r>
      <w:r>
        <w:rPr>
          <w:rFonts w:hint="eastAsia" w:ascii="宋体" w:hAnsi="宋体" w:cs="宋体"/>
          <w:color w:val="auto"/>
          <w:highlight w:val="none"/>
        </w:rPr>
        <w:t>评</w:t>
      </w:r>
      <w:r>
        <w:rPr>
          <w:rFonts w:hint="eastAsia" w:ascii="宋体" w:hAnsi="宋体" w:cs="宋体"/>
          <w:color w:val="auto"/>
        </w:rPr>
        <w:t>标委员会成员为</w:t>
      </w:r>
      <w:r>
        <w:rPr>
          <w:rFonts w:hint="eastAsia" w:ascii="宋体" w:hAnsi="宋体" w:cs="宋体"/>
          <w:color w:val="auto"/>
          <w:u w:val="single"/>
        </w:rPr>
        <w:t xml:space="preserve">  </w:t>
      </w:r>
      <w:r>
        <w:rPr>
          <w:rFonts w:hint="eastAsia" w:ascii="宋体" w:hAnsi="宋体" w:cs="宋体"/>
          <w:color w:val="auto"/>
        </w:rPr>
        <w:t>（应根据法律法规及相关文件要求填写）。</w:t>
      </w:r>
    </w:p>
    <w:p>
      <w:pPr>
        <w:spacing w:line="360" w:lineRule="auto"/>
        <w:ind w:firstLine="420" w:firstLineChars="200"/>
        <w:rPr>
          <w:rFonts w:hint="eastAsia" w:ascii="宋体" w:hAnsi="宋体" w:cs="宋体"/>
        </w:rPr>
      </w:pPr>
      <w:r>
        <w:rPr>
          <w:rFonts w:hint="eastAsia" w:ascii="宋体" w:hAnsi="宋体" w:cs="宋体"/>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snapToGrid w:val="0"/>
        <w:spacing w:line="360" w:lineRule="auto"/>
        <w:ind w:firstLine="421" w:firstLineChars="200"/>
        <w:outlineLvl w:val="2"/>
        <w:rPr>
          <w:rFonts w:ascii="宋体" w:hAnsi="宋体"/>
          <w:b/>
        </w:rPr>
      </w:pPr>
      <w:r>
        <w:rPr>
          <w:rFonts w:ascii="宋体" w:hAnsi="宋体"/>
          <w:b/>
        </w:rPr>
        <w:t>一、评标程序</w:t>
      </w:r>
    </w:p>
    <w:p>
      <w:pPr>
        <w:snapToGrid w:val="0"/>
        <w:spacing w:line="360" w:lineRule="auto"/>
        <w:ind w:firstLine="420" w:firstLineChars="200"/>
        <w:rPr>
          <w:rFonts w:ascii="宋体" w:hAnsi="宋体"/>
          <w:color w:val="auto"/>
        </w:rPr>
      </w:pPr>
      <w:r>
        <w:rPr>
          <w:rFonts w:ascii="宋体" w:hAnsi="宋体"/>
        </w:rPr>
        <w:t>（</w:t>
      </w:r>
      <w:r>
        <w:rPr>
          <w:rFonts w:ascii="宋体" w:hAnsi="宋体"/>
          <w:color w:val="auto"/>
        </w:rPr>
        <w:t>一）资格审查</w:t>
      </w:r>
    </w:p>
    <w:p>
      <w:pPr>
        <w:spacing w:line="360" w:lineRule="auto"/>
        <w:ind w:firstLine="420" w:firstLineChars="200"/>
        <w:jc w:val="both"/>
        <w:rPr>
          <w:color w:val="auto"/>
        </w:rPr>
      </w:pPr>
      <w:r>
        <w:rPr>
          <w:rFonts w:hint="eastAsia" w:ascii="宋体" w:hAnsi="宋体" w:cs="宋体"/>
          <w:color w:val="auto"/>
          <w:lang w:val="zh-CN"/>
        </w:rPr>
        <w:t>（二）</w:t>
      </w:r>
      <w:r>
        <w:rPr>
          <w:rFonts w:hint="eastAsia" w:ascii="宋体" w:hAnsi="宋体" w:cs="宋体"/>
          <w:color w:val="auto"/>
        </w:rPr>
        <w:t>评审区间确定</w:t>
      </w:r>
    </w:p>
    <w:p>
      <w:pPr>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三</w:t>
      </w:r>
      <w:r>
        <w:rPr>
          <w:rFonts w:ascii="宋体" w:hAnsi="宋体"/>
          <w:color w:val="auto"/>
        </w:rPr>
        <w:t>）</w:t>
      </w:r>
      <w:r>
        <w:rPr>
          <w:rFonts w:hint="eastAsia" w:ascii="宋体" w:hAnsi="宋体"/>
          <w:color w:val="auto"/>
        </w:rPr>
        <w:t>商务标第一部分评审</w:t>
      </w:r>
      <w:r>
        <w:rPr>
          <w:rFonts w:hint="eastAsia" w:ascii="宋体" w:hAnsi="宋体" w:cs="Times New Roman"/>
          <w:b w:val="0"/>
          <w:bCs/>
          <w:lang w:eastAsia="zh-CN"/>
        </w:rPr>
        <w:t>（</w:t>
      </w:r>
      <w:r>
        <w:rPr>
          <w:rFonts w:hint="eastAsia" w:ascii="宋体" w:hAnsi="宋体" w:cs="Times New Roman"/>
          <w:b w:val="0"/>
          <w:bCs/>
          <w:lang w:val="en-US" w:eastAsia="zh-CN"/>
        </w:rPr>
        <w:t>商务专家组评审</w:t>
      </w:r>
      <w:r>
        <w:rPr>
          <w:rFonts w:hint="eastAsia" w:ascii="宋体" w:hAnsi="宋体" w:cs="Times New Roman"/>
          <w:b w:val="0"/>
          <w:bCs/>
          <w:lang w:eastAsia="zh-CN"/>
        </w:rPr>
        <w:t>）</w:t>
      </w:r>
    </w:p>
    <w:p>
      <w:pPr>
        <w:snapToGrid w:val="0"/>
        <w:spacing w:line="360" w:lineRule="auto"/>
        <w:ind w:firstLine="420" w:firstLineChars="200"/>
        <w:rPr>
          <w:rFonts w:hint="eastAsia" w:eastAsia="等线"/>
          <w:color w:val="auto"/>
        </w:rPr>
      </w:pPr>
      <w:r>
        <w:rPr>
          <w:rFonts w:ascii="宋体" w:hAnsi="宋体"/>
          <w:color w:val="auto"/>
        </w:rPr>
        <w:t>（</w:t>
      </w:r>
      <w:r>
        <w:rPr>
          <w:rFonts w:hint="eastAsia" w:ascii="宋体" w:hAnsi="宋体"/>
          <w:color w:val="auto"/>
        </w:rPr>
        <w:t>四</w:t>
      </w:r>
      <w:r>
        <w:rPr>
          <w:rFonts w:ascii="宋体" w:hAnsi="宋体"/>
          <w:color w:val="auto"/>
        </w:rPr>
        <w:t>）</w:t>
      </w:r>
      <w:r>
        <w:rPr>
          <w:rFonts w:hint="eastAsia" w:ascii="宋体" w:hAnsi="宋体"/>
          <w:color w:val="auto"/>
        </w:rPr>
        <w:t>商务标第二部分评审</w:t>
      </w:r>
      <w:r>
        <w:rPr>
          <w:rFonts w:hint="eastAsia" w:ascii="宋体" w:hAnsi="宋体" w:cs="Times New Roman"/>
          <w:b w:val="0"/>
          <w:bCs/>
          <w:lang w:eastAsia="zh-CN"/>
        </w:rPr>
        <w:t>（</w:t>
      </w:r>
      <w:r>
        <w:rPr>
          <w:rFonts w:hint="eastAsia" w:ascii="宋体" w:hAnsi="宋体" w:cs="Times New Roman"/>
          <w:b w:val="0"/>
          <w:bCs/>
          <w:lang w:val="en-US" w:eastAsia="zh-CN"/>
        </w:rPr>
        <w:t>商务专家组评审</w:t>
      </w:r>
      <w:r>
        <w:rPr>
          <w:rFonts w:hint="eastAsia" w:ascii="宋体" w:hAnsi="宋体" w:cs="Times New Roman"/>
          <w:b w:val="0"/>
          <w:bCs/>
          <w:lang w:eastAsia="zh-CN"/>
        </w:rPr>
        <w:t>）</w:t>
      </w:r>
    </w:p>
    <w:p>
      <w:pPr>
        <w:snapToGrid w:val="0"/>
        <w:spacing w:line="360" w:lineRule="auto"/>
        <w:ind w:firstLine="420" w:firstLineChars="200"/>
        <w:rPr>
          <w:rFonts w:hint="eastAsia" w:ascii="宋体" w:hAnsi="宋体" w:eastAsia="宋体"/>
          <w:color w:val="auto"/>
          <w:lang w:eastAsia="zh-CN"/>
        </w:rPr>
      </w:pPr>
      <w:r>
        <w:rPr>
          <w:rFonts w:ascii="宋体" w:hAnsi="宋体"/>
          <w:color w:val="auto"/>
        </w:rPr>
        <w:t>（</w:t>
      </w:r>
      <w:r>
        <w:rPr>
          <w:rFonts w:hint="eastAsia" w:ascii="宋体" w:hAnsi="宋体"/>
          <w:color w:val="auto"/>
        </w:rPr>
        <w:t>五</w:t>
      </w:r>
      <w:r>
        <w:rPr>
          <w:rFonts w:ascii="宋体" w:hAnsi="宋体"/>
          <w:color w:val="auto"/>
        </w:rPr>
        <w:t>）</w:t>
      </w:r>
      <w:r>
        <w:rPr>
          <w:rFonts w:hint="eastAsia" w:ascii="宋体" w:hAnsi="宋体"/>
          <w:color w:val="auto"/>
        </w:rPr>
        <w:t>技术</w:t>
      </w:r>
      <w:r>
        <w:rPr>
          <w:rFonts w:ascii="宋体" w:hAnsi="宋体"/>
          <w:color w:val="auto"/>
        </w:rPr>
        <w:t>评</w:t>
      </w:r>
      <w:r>
        <w:rPr>
          <w:rFonts w:ascii="宋体" w:hAnsi="宋体"/>
          <w:color w:val="auto"/>
          <w:highlight w:val="none"/>
        </w:rPr>
        <w:t>审</w:t>
      </w:r>
      <w:r>
        <w:rPr>
          <w:rFonts w:hint="eastAsia" w:ascii="宋体" w:hAnsi="宋体" w:eastAsia="宋体" w:cs="Times New Roman"/>
          <w:b w:val="0"/>
          <w:bCs/>
          <w:highlight w:val="none"/>
          <w:lang w:val="en-US" w:eastAsia="zh-CN"/>
        </w:rPr>
        <w:t>(与商务标同步进行评审</w:t>
      </w:r>
      <w:r>
        <w:rPr>
          <w:rFonts w:hint="eastAsia" w:ascii="宋体" w:hAnsi="宋体" w:cs="Times New Roman"/>
          <w:b w:val="0"/>
          <w:bCs/>
          <w:highlight w:val="none"/>
          <w:lang w:val="en-US" w:eastAsia="zh-CN"/>
        </w:rPr>
        <w:t>，技术专家组评审</w:t>
      </w:r>
      <w:r>
        <w:rPr>
          <w:rFonts w:hint="eastAsia" w:ascii="宋体" w:hAnsi="宋体" w:eastAsia="宋体" w:cs="Times New Roman"/>
          <w:b w:val="0"/>
          <w:bCs/>
          <w:highlight w:val="none"/>
          <w:lang w:val="en-US" w:eastAsia="zh-CN"/>
        </w:rPr>
        <w:t>)</w:t>
      </w:r>
    </w:p>
    <w:p>
      <w:pPr>
        <w:snapToGrid w:val="0"/>
        <w:spacing w:line="360" w:lineRule="auto"/>
        <w:ind w:firstLine="420" w:firstLineChars="200"/>
        <w:rPr>
          <w:rFonts w:ascii="宋体" w:hAnsi="宋体"/>
          <w:color w:val="auto"/>
        </w:rPr>
      </w:pPr>
      <w:r>
        <w:rPr>
          <w:rFonts w:hint="eastAsia" w:ascii="宋体" w:hAnsi="宋体"/>
          <w:color w:val="auto"/>
        </w:rPr>
        <w:t>（六）投标人</w:t>
      </w:r>
      <w:r>
        <w:rPr>
          <w:rFonts w:hint="eastAsia" w:ascii="宋体" w:hAnsi="宋体"/>
          <w:color w:val="auto"/>
          <w:lang w:val="en-US" w:eastAsia="zh-CN"/>
        </w:rPr>
        <w:t>资信</w:t>
      </w:r>
      <w:r>
        <w:rPr>
          <w:rFonts w:hint="eastAsia" w:ascii="宋体" w:hAnsi="宋体"/>
          <w:color w:val="auto"/>
        </w:rPr>
        <w:t>评审</w:t>
      </w:r>
    </w:p>
    <w:p>
      <w:pPr>
        <w:snapToGrid w:val="0"/>
        <w:spacing w:line="360" w:lineRule="auto"/>
        <w:ind w:firstLine="420" w:firstLineChars="200"/>
        <w:rPr>
          <w:rFonts w:ascii="宋体" w:hAnsi="宋体"/>
          <w:color w:val="auto"/>
        </w:rPr>
      </w:pPr>
      <w:r>
        <w:rPr>
          <w:rFonts w:hint="eastAsia" w:ascii="宋体" w:hAnsi="宋体"/>
          <w:color w:val="auto"/>
        </w:rPr>
        <w:t>（七）综合评审</w:t>
      </w:r>
    </w:p>
    <w:p>
      <w:pPr>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八</w:t>
      </w:r>
      <w:r>
        <w:rPr>
          <w:rFonts w:ascii="宋体" w:hAnsi="宋体"/>
          <w:color w:val="auto"/>
        </w:rPr>
        <w:t>）</w:t>
      </w:r>
      <w:r>
        <w:rPr>
          <w:rFonts w:hint="eastAsia" w:ascii="宋体" w:hAnsi="宋体"/>
          <w:color w:val="auto"/>
        </w:rPr>
        <w:t>推荐中标候选人</w:t>
      </w:r>
    </w:p>
    <w:p>
      <w:pPr>
        <w:snapToGrid w:val="0"/>
        <w:spacing w:line="360" w:lineRule="auto"/>
        <w:ind w:firstLine="421" w:firstLineChars="200"/>
        <w:outlineLvl w:val="2"/>
        <w:rPr>
          <w:rFonts w:hint="eastAsia" w:ascii="宋体" w:hAnsi="宋体" w:eastAsia="宋体" w:cs="Times New Roman"/>
          <w:b/>
        </w:rPr>
      </w:pPr>
      <w:r>
        <w:rPr>
          <w:rFonts w:hint="eastAsia" w:ascii="宋体" w:hAnsi="宋体" w:eastAsia="宋体" w:cs="Times New Roman"/>
          <w:b/>
        </w:rPr>
        <w:t>二、资格审查</w:t>
      </w:r>
    </w:p>
    <w:p>
      <w:pPr>
        <w:snapToGrid w:val="0"/>
        <w:spacing w:line="360" w:lineRule="auto"/>
        <w:ind w:firstLine="420" w:firstLineChars="200"/>
        <w:outlineLvl w:val="2"/>
        <w:rPr>
          <w:rFonts w:hint="eastAsia" w:ascii="宋体" w:hAnsi="宋体" w:eastAsia="宋体" w:cs="Times New Roman"/>
          <w:b w:val="0"/>
          <w:bCs/>
          <w:lang w:val="en-US"/>
        </w:rPr>
      </w:pPr>
      <w:r>
        <w:rPr>
          <w:rFonts w:hint="eastAsia" w:ascii="宋体" w:hAnsi="宋体" w:eastAsia="宋体" w:cs="Times New Roman"/>
          <w:b w:val="0"/>
          <w:bCs/>
          <w:lang w:val="en-US"/>
        </w:rPr>
        <w:t>评标委员会通过招投标平台系统对投标人的资格审查资料中涉及“企业营业执照、资质证书、安全许可证”进行核对，投标人投标文件中上述资料未通过系统平台企业诚信库导入或存在投标须知前附表10.5情形(资格审查内容)的，评标委员会组织投标人询问核实后，情况属实的，资格审查不予通过，否决其投标。评标委员会核查投标人投标保证金递交情况，投标人未按招标文件要求递交投标保证金的，评标委员会组织投标人询问核实后，情况属实的，资格审查不予通过，否决其投标。</w:t>
      </w:r>
    </w:p>
    <w:p>
      <w:pPr>
        <w:snapToGrid w:val="0"/>
        <w:spacing w:line="360" w:lineRule="auto"/>
        <w:ind w:firstLine="421" w:firstLineChars="200"/>
        <w:outlineLvl w:val="2"/>
        <w:rPr>
          <w:rFonts w:ascii="宋体" w:hAnsi="宋体" w:eastAsia="宋体" w:cs="Times New Roman"/>
          <w:b/>
          <w:lang w:val="en-US"/>
        </w:rPr>
      </w:pPr>
      <w:r>
        <w:rPr>
          <w:rFonts w:hint="eastAsia" w:ascii="宋体" w:hAnsi="宋体" w:eastAsia="宋体" w:cs="Times New Roman"/>
          <w:b/>
          <w:lang w:val="en-US"/>
        </w:rPr>
        <w:t>三、评审区间确定</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1、异常报价的确定</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1.1投标报价高于招标控制价</w:t>
      </w:r>
      <w:r>
        <w:rPr>
          <w:rFonts w:hint="eastAsia" w:cs="宋体"/>
          <w:color w:val="auto"/>
          <w:sz w:val="21"/>
          <w:szCs w:val="21"/>
          <w:lang w:val="en-US" w:eastAsia="zh-CN"/>
        </w:rPr>
        <w:t>（1-n%）</w:t>
      </w:r>
      <w:r>
        <w:rPr>
          <w:rFonts w:hint="eastAsia" w:cs="宋体"/>
          <w:color w:val="auto"/>
          <w:sz w:val="21"/>
          <w:szCs w:val="21"/>
          <w:lang w:val="en-US"/>
        </w:rPr>
        <w:t>的报价为异常报价</w:t>
      </w:r>
      <w:r>
        <w:rPr>
          <w:rFonts w:hint="eastAsia" w:cs="宋体"/>
          <w:color w:val="auto"/>
          <w:sz w:val="21"/>
          <w:szCs w:val="21"/>
          <w:lang w:val="en-US" w:eastAsia="zh-CN"/>
        </w:rPr>
        <w:t>，n值为</w:t>
      </w:r>
      <w:r>
        <w:rPr>
          <w:rFonts w:hint="eastAsia" w:cs="宋体"/>
          <w:color w:val="auto"/>
          <w:sz w:val="21"/>
          <w:szCs w:val="21"/>
          <w:lang w:val="en-US"/>
        </w:rPr>
        <w:t>（</w:t>
      </w:r>
      <w:r>
        <w:rPr>
          <w:rFonts w:hint="eastAsia" w:cs="宋体"/>
          <w:color w:val="auto"/>
          <w:sz w:val="21"/>
          <w:szCs w:val="21"/>
          <w:u w:val="single"/>
          <w:lang w:val="en-US"/>
        </w:rPr>
        <w:t xml:space="preserve">   </w:t>
      </w:r>
      <w:r>
        <w:rPr>
          <w:rFonts w:hint="eastAsia" w:cs="宋体"/>
          <w:color w:val="auto"/>
          <w:sz w:val="21"/>
          <w:szCs w:val="21"/>
          <w:lang w:val="en-US"/>
        </w:rPr>
        <w:t>）。</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1.2投标报价低</w:t>
      </w:r>
      <w:r>
        <w:rPr>
          <w:rFonts w:hint="eastAsia" w:cs="宋体"/>
          <w:color w:val="auto"/>
          <w:sz w:val="21"/>
          <w:szCs w:val="21"/>
          <w:highlight w:val="none"/>
          <w:lang w:val="en-US"/>
        </w:rPr>
        <w:t>于招标控制价m%</w:t>
      </w:r>
      <w:r>
        <w:rPr>
          <w:rFonts w:hint="eastAsia" w:cs="宋体"/>
          <w:color w:val="auto"/>
          <w:sz w:val="21"/>
          <w:szCs w:val="21"/>
          <w:lang w:val="en-US"/>
        </w:rPr>
        <w:t>的报价为异常报价，m值为（</w:t>
      </w:r>
      <w:r>
        <w:rPr>
          <w:rFonts w:hint="eastAsia" w:cs="宋体"/>
          <w:color w:val="auto"/>
          <w:sz w:val="21"/>
          <w:szCs w:val="21"/>
          <w:u w:val="single"/>
          <w:lang w:val="en-US"/>
        </w:rPr>
        <w:t xml:space="preserve">   </w:t>
      </w:r>
      <w:r>
        <w:rPr>
          <w:rFonts w:hint="eastAsia" w:cs="宋体"/>
          <w:color w:val="auto"/>
          <w:sz w:val="21"/>
          <w:szCs w:val="21"/>
          <w:lang w:val="en-US"/>
        </w:rPr>
        <w:t>）。</w:t>
      </w:r>
    </w:p>
    <w:p>
      <w:pPr>
        <w:pStyle w:val="12"/>
        <w:tabs>
          <w:tab w:val="left" w:pos="9360"/>
        </w:tabs>
        <w:spacing w:line="360" w:lineRule="auto"/>
        <w:ind w:firstLine="420" w:firstLineChars="200"/>
        <w:rPr>
          <w:rFonts w:hint="eastAsia" w:cs="宋体"/>
          <w:color w:val="auto"/>
          <w:szCs w:val="24"/>
          <w:lang w:val="en-US"/>
        </w:rPr>
      </w:pPr>
      <w:r>
        <w:rPr>
          <w:rFonts w:hint="eastAsia" w:cs="宋体"/>
          <w:color w:val="auto"/>
          <w:sz w:val="21"/>
          <w:szCs w:val="21"/>
          <w:lang w:val="en-US"/>
        </w:rPr>
        <w:t>（</w:t>
      </w:r>
      <w:r>
        <w:rPr>
          <w:rFonts w:hint="eastAsia" w:cs="宋体"/>
          <w:color w:val="auto"/>
          <w:sz w:val="21"/>
          <w:szCs w:val="21"/>
          <w:lang w:val="en-US" w:eastAsia="zh-CN"/>
        </w:rPr>
        <w:t>n值应为3-5的整数，</w:t>
      </w:r>
      <w:r>
        <w:rPr>
          <w:rFonts w:hint="eastAsia" w:cs="宋体"/>
          <w:color w:val="auto"/>
          <w:sz w:val="21"/>
          <w:szCs w:val="21"/>
          <w:lang w:val="en-US"/>
        </w:rPr>
        <w:t>m值应为</w:t>
      </w:r>
      <w:r>
        <w:rPr>
          <w:rFonts w:hint="eastAsia" w:cs="宋体"/>
          <w:color w:val="auto"/>
          <w:sz w:val="21"/>
          <w:szCs w:val="21"/>
          <w:highlight w:val="none"/>
          <w:lang w:val="en-US" w:eastAsia="zh-CN"/>
        </w:rPr>
        <w:t>80</w:t>
      </w:r>
      <w:r>
        <w:rPr>
          <w:rFonts w:hint="eastAsia" w:cs="宋体"/>
          <w:color w:val="auto"/>
          <w:sz w:val="21"/>
          <w:szCs w:val="21"/>
          <w:highlight w:val="none"/>
          <w:lang w:val="en-US"/>
        </w:rPr>
        <w:t>-</w:t>
      </w:r>
      <w:r>
        <w:rPr>
          <w:rFonts w:hint="eastAsia" w:cs="宋体"/>
          <w:color w:val="auto"/>
          <w:sz w:val="21"/>
          <w:szCs w:val="21"/>
          <w:highlight w:val="none"/>
          <w:lang w:val="en-US" w:eastAsia="zh-CN"/>
        </w:rPr>
        <w:t>85</w:t>
      </w:r>
      <w:r>
        <w:rPr>
          <w:rFonts w:hint="eastAsia" w:cs="宋体"/>
          <w:color w:val="auto"/>
          <w:sz w:val="21"/>
          <w:szCs w:val="21"/>
          <w:highlight w:val="none"/>
          <w:lang w:val="en-US"/>
        </w:rPr>
        <w:t>的</w:t>
      </w:r>
      <w:r>
        <w:rPr>
          <w:rFonts w:hint="eastAsia" w:cs="宋体"/>
          <w:color w:val="auto"/>
          <w:sz w:val="21"/>
          <w:szCs w:val="21"/>
          <w:lang w:val="en-US"/>
        </w:rPr>
        <w:t>整数，由招标人在编制招标文件时确定）。</w:t>
      </w:r>
    </w:p>
    <w:p>
      <w:pPr>
        <w:pStyle w:val="12"/>
        <w:tabs>
          <w:tab w:val="left" w:pos="9360"/>
        </w:tabs>
        <w:spacing w:line="360" w:lineRule="auto"/>
        <w:ind w:firstLine="421" w:firstLineChars="200"/>
        <w:rPr>
          <w:rFonts w:hint="eastAsia" w:cs="宋体"/>
          <w:b/>
          <w:bCs/>
          <w:color w:val="auto"/>
          <w:sz w:val="21"/>
          <w:szCs w:val="21"/>
          <w:lang w:val="en-US"/>
        </w:rPr>
      </w:pPr>
      <w:r>
        <w:rPr>
          <w:rFonts w:hint="eastAsia" w:cs="宋体"/>
          <w:b/>
          <w:bCs/>
          <w:color w:val="auto"/>
          <w:sz w:val="21"/>
          <w:szCs w:val="21"/>
          <w:lang w:val="en-US"/>
        </w:rPr>
        <w:t>异常报价</w:t>
      </w:r>
      <w:r>
        <w:rPr>
          <w:rFonts w:hint="eastAsia" w:cs="宋体"/>
          <w:b/>
          <w:bCs/>
          <w:color w:val="auto"/>
          <w:sz w:val="21"/>
          <w:szCs w:val="21"/>
          <w:lang w:val="en-US" w:eastAsia="zh-CN"/>
        </w:rPr>
        <w:t>的投标人</w:t>
      </w:r>
      <w:r>
        <w:rPr>
          <w:rFonts w:hint="eastAsia" w:cs="宋体"/>
          <w:b/>
          <w:bCs/>
          <w:color w:val="auto"/>
          <w:sz w:val="21"/>
          <w:szCs w:val="21"/>
          <w:lang w:val="en-US"/>
        </w:rPr>
        <w:t>不再参与后续评审。</w:t>
      </w:r>
    </w:p>
    <w:p>
      <w:pPr>
        <w:pStyle w:val="12"/>
        <w:tabs>
          <w:tab w:val="left" w:pos="9360"/>
        </w:tabs>
        <w:spacing w:line="360" w:lineRule="auto"/>
        <w:ind w:firstLine="420" w:firstLineChars="200"/>
        <w:rPr>
          <w:rFonts w:cs="宋体"/>
          <w:color w:val="auto"/>
          <w:sz w:val="21"/>
          <w:szCs w:val="21"/>
          <w:lang w:val="en-US"/>
        </w:rPr>
      </w:pPr>
      <w:r>
        <w:rPr>
          <w:rFonts w:hint="eastAsia" w:cs="宋体"/>
          <w:color w:val="auto"/>
          <w:sz w:val="21"/>
          <w:szCs w:val="21"/>
          <w:lang w:val="en-US"/>
        </w:rPr>
        <w:t>2、确定评审区间入围单位：</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rPr>
        <w:t>当通过上述评审的投标人家数小于、等于</w:t>
      </w:r>
      <w:r>
        <w:rPr>
          <w:rFonts w:hint="eastAsia" w:cs="宋体"/>
          <w:color w:val="auto"/>
          <w:sz w:val="21"/>
          <w:szCs w:val="21"/>
          <w:highlight w:val="none"/>
          <w:lang w:val="en-US" w:eastAsia="zh-CN"/>
        </w:rPr>
        <w:t>30</w:t>
      </w:r>
      <w:r>
        <w:rPr>
          <w:rFonts w:hint="eastAsia" w:cs="宋体"/>
          <w:color w:val="auto"/>
          <w:sz w:val="21"/>
          <w:szCs w:val="21"/>
          <w:highlight w:val="none"/>
          <w:lang w:val="en-US"/>
        </w:rPr>
        <w:t>家时，全部进入评审区间</w:t>
      </w:r>
      <w:r>
        <w:rPr>
          <w:rFonts w:hint="eastAsia" w:cs="宋体"/>
          <w:color w:val="auto"/>
          <w:sz w:val="21"/>
          <w:szCs w:val="21"/>
          <w:highlight w:val="none"/>
          <w:lang w:val="en-US" w:eastAsia="zh-CN"/>
        </w:rPr>
        <w:t>；</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rPr>
        <w:t>当通过上述评审的投标人大于</w:t>
      </w:r>
      <w:r>
        <w:rPr>
          <w:rFonts w:hint="eastAsia" w:cs="宋体"/>
          <w:color w:val="auto"/>
          <w:sz w:val="21"/>
          <w:szCs w:val="21"/>
          <w:highlight w:val="none"/>
          <w:lang w:val="en-US" w:eastAsia="zh-CN"/>
        </w:rPr>
        <w:t>30</w:t>
      </w:r>
      <w:r>
        <w:rPr>
          <w:rFonts w:hint="eastAsia" w:cs="宋体"/>
          <w:color w:val="auto"/>
          <w:sz w:val="21"/>
          <w:szCs w:val="21"/>
          <w:highlight w:val="none"/>
          <w:lang w:val="en-US"/>
        </w:rPr>
        <w:t>家</w:t>
      </w:r>
      <w:r>
        <w:rPr>
          <w:rFonts w:hint="eastAsia" w:cs="宋体"/>
          <w:color w:val="auto"/>
          <w:sz w:val="21"/>
          <w:szCs w:val="21"/>
          <w:highlight w:val="none"/>
          <w:lang w:val="en-US" w:eastAsia="zh-CN"/>
        </w:rPr>
        <w:t>，小于等于100家</w:t>
      </w:r>
      <w:r>
        <w:rPr>
          <w:rFonts w:hint="eastAsia" w:cs="宋体"/>
          <w:color w:val="auto"/>
          <w:sz w:val="21"/>
          <w:szCs w:val="21"/>
          <w:highlight w:val="none"/>
          <w:lang w:val="en-US"/>
        </w:rPr>
        <w:t>时，按下述</w:t>
      </w:r>
      <w:r>
        <w:rPr>
          <w:rFonts w:hint="eastAsia" w:cs="宋体"/>
          <w:color w:val="auto"/>
          <w:sz w:val="21"/>
          <w:szCs w:val="21"/>
          <w:highlight w:val="none"/>
          <w:lang w:val="en-US" w:eastAsia="zh-CN"/>
        </w:rPr>
        <w:t>2.1款</w:t>
      </w:r>
      <w:r>
        <w:rPr>
          <w:rFonts w:hint="eastAsia" w:cs="宋体"/>
          <w:color w:val="auto"/>
          <w:sz w:val="21"/>
          <w:szCs w:val="21"/>
          <w:highlight w:val="none"/>
          <w:lang w:val="en-US"/>
        </w:rPr>
        <w:t>确定评审区间入围单位</w:t>
      </w:r>
      <w:r>
        <w:rPr>
          <w:rFonts w:hint="eastAsia" w:cs="宋体"/>
          <w:color w:val="auto"/>
          <w:sz w:val="21"/>
          <w:szCs w:val="21"/>
          <w:highlight w:val="none"/>
          <w:lang w:val="en-US" w:eastAsia="zh-CN"/>
        </w:rPr>
        <w:t>（30家）；</w:t>
      </w:r>
    </w:p>
    <w:p>
      <w:pPr>
        <w:pStyle w:val="12"/>
        <w:tabs>
          <w:tab w:val="left" w:pos="9360"/>
        </w:tabs>
        <w:spacing w:line="360" w:lineRule="auto"/>
        <w:ind w:firstLine="420" w:firstLineChars="200"/>
        <w:rPr>
          <w:rFonts w:hint="eastAsia" w:cs="宋体"/>
          <w:color w:val="auto"/>
          <w:sz w:val="21"/>
          <w:szCs w:val="21"/>
          <w:highlight w:val="none"/>
          <w:lang w:val="en-US"/>
        </w:rPr>
      </w:pPr>
      <w:r>
        <w:rPr>
          <w:rFonts w:hint="eastAsia" w:cs="宋体"/>
          <w:color w:val="auto"/>
          <w:sz w:val="21"/>
          <w:szCs w:val="21"/>
          <w:highlight w:val="none"/>
          <w:lang w:val="en-US"/>
        </w:rPr>
        <w:t>当通过上述评审的投标人大于</w:t>
      </w:r>
      <w:r>
        <w:rPr>
          <w:rFonts w:hint="eastAsia" w:cs="宋体"/>
          <w:color w:val="auto"/>
          <w:sz w:val="21"/>
          <w:szCs w:val="21"/>
          <w:highlight w:val="none"/>
          <w:lang w:val="en-US" w:eastAsia="zh-CN"/>
        </w:rPr>
        <w:t>100家</w:t>
      </w:r>
      <w:r>
        <w:rPr>
          <w:rFonts w:hint="eastAsia" w:cs="宋体"/>
          <w:color w:val="auto"/>
          <w:sz w:val="21"/>
          <w:szCs w:val="21"/>
          <w:highlight w:val="none"/>
          <w:lang w:val="en-US"/>
        </w:rPr>
        <w:t>时</w:t>
      </w:r>
      <w:r>
        <w:rPr>
          <w:rFonts w:hint="eastAsia" w:cs="宋体"/>
          <w:color w:val="auto"/>
          <w:sz w:val="21"/>
          <w:szCs w:val="21"/>
          <w:highlight w:val="none"/>
          <w:lang w:val="en-US" w:eastAsia="zh-CN"/>
        </w:rPr>
        <w:t>，先按</w:t>
      </w:r>
      <w:r>
        <w:rPr>
          <w:rFonts w:hint="eastAsia" w:cs="宋体"/>
          <w:color w:val="auto"/>
          <w:sz w:val="21"/>
          <w:szCs w:val="21"/>
          <w:highlight w:val="none"/>
          <w:lang w:val="en-US"/>
        </w:rPr>
        <w:t>下述</w:t>
      </w:r>
      <w:r>
        <w:rPr>
          <w:rFonts w:hint="eastAsia" w:cs="宋体"/>
          <w:color w:val="auto"/>
          <w:sz w:val="21"/>
          <w:szCs w:val="21"/>
          <w:highlight w:val="none"/>
          <w:lang w:val="en-US" w:eastAsia="zh-CN"/>
        </w:rPr>
        <w:t>2.1款</w:t>
      </w:r>
      <w:r>
        <w:rPr>
          <w:rFonts w:hint="eastAsia" w:cs="宋体"/>
          <w:color w:val="auto"/>
          <w:sz w:val="21"/>
          <w:szCs w:val="21"/>
          <w:highlight w:val="none"/>
          <w:lang w:val="en-US"/>
        </w:rPr>
        <w:t>确定评审区间入围单位</w:t>
      </w:r>
      <w:r>
        <w:rPr>
          <w:rFonts w:hint="eastAsia" w:cs="宋体"/>
          <w:color w:val="auto"/>
          <w:sz w:val="21"/>
          <w:szCs w:val="21"/>
          <w:highlight w:val="none"/>
          <w:lang w:val="en-US" w:eastAsia="zh-CN"/>
        </w:rPr>
        <w:t>（30家），再按下述2.2款确定荣誉企业评审区间入围单位X家（X=</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lang w:val="en-US" w:eastAsia="zh-CN"/>
        </w:rPr>
        <w:t>，X的值由招标人从3，4，5范围中选取并在招标文件中明确）。</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eastAsia="zh-CN"/>
        </w:rPr>
        <w:t>通过上述评审的投标人以下称为“全部参与评审的投标人”。</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2.1确定评审区间入围</w:t>
      </w:r>
      <w:r>
        <w:rPr>
          <w:rFonts w:hint="eastAsia" w:cs="宋体"/>
          <w:color w:val="auto"/>
          <w:sz w:val="21"/>
          <w:szCs w:val="21"/>
          <w:highlight w:val="none"/>
          <w:lang w:val="en-US" w:eastAsia="zh-CN"/>
        </w:rPr>
        <w:t>名额30家。</w:t>
      </w:r>
      <w:r>
        <w:rPr>
          <w:rFonts w:hint="eastAsia" w:cs="宋体"/>
          <w:color w:val="auto"/>
          <w:sz w:val="21"/>
          <w:szCs w:val="21"/>
          <w:lang w:val="en-US" w:eastAsia="zh-CN"/>
        </w:rPr>
        <w:t>确定方式如下：</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15家评审区间入围单位在“全部参与评审的投标人”中抽取产生，抽取方式如下：</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开评标系统通过舟山市建筑市场信用信息网（https://jzscxyxx.zszjj.zhoushan.gov.cn:7007/）查询全部参与评审的投标人开标截止日期前一天下午17：00的信用等级，以这个时间点查询到的信用等级信息为准。（建筑工程或市政公用工程施工总承包企业信用等级，若因技术、系统等原因无法查询开标截止日期前一天下午17：00的信用等级信息，则以开标截止日期前二天下午17：00的信用等级信息为准，以此类推）。根据查询结果分三类，即A级、B级、C级及以下和无法查询其信用等级的。</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信用等级为E级的企业不作为评审区间入围单位。（不参与随机抽取）</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入围单位确定顺序：先确定信用等级C级及以下和无法查询其信用等级的入围企业，再确定信用等级B 级的入围企业，最后确定信用等级A 级的入围企业。</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在信用等级C级及以下和无法查询其信用等级的企业中随机选择c1家投标人为评审区间入围单位；（c1为全部参与评审的投标人中信用等级C级及以下和无法查询其信用等级企业数量的5%且不超过</w:t>
      </w:r>
      <w:r>
        <w:rPr>
          <w:rFonts w:hint="eastAsia" w:cs="宋体"/>
          <w:color w:val="auto"/>
          <w:sz w:val="21"/>
          <w:szCs w:val="21"/>
          <w:highlight w:val="none"/>
          <w:lang w:val="en-US" w:eastAsia="zh-CN"/>
        </w:rPr>
        <w:t>6家）</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在信用等级B 级的企业中随机选择b1家投标人为评审区间入围单位；（b1为全部参与评审的投标人中信用等级B 级企业数量的15%且不超</w:t>
      </w:r>
      <w:r>
        <w:rPr>
          <w:rFonts w:hint="eastAsia" w:cs="宋体"/>
          <w:color w:val="auto"/>
          <w:sz w:val="21"/>
          <w:szCs w:val="21"/>
          <w:highlight w:val="none"/>
          <w:lang w:val="en-US" w:eastAsia="zh-CN"/>
        </w:rPr>
        <w:t>过9家）</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在信用等级A 级的企业中随机选择a1家投标人为评审区间入围单</w:t>
      </w:r>
      <w:r>
        <w:rPr>
          <w:rFonts w:hint="eastAsia" w:cs="宋体"/>
          <w:color w:val="auto"/>
          <w:sz w:val="21"/>
          <w:szCs w:val="21"/>
          <w:highlight w:val="none"/>
          <w:lang w:val="en-US" w:eastAsia="zh-CN"/>
        </w:rPr>
        <w:t>位（a1=30-b1-c1）；</w:t>
      </w:r>
      <w:r>
        <w:rPr>
          <w:rFonts w:hint="eastAsia" w:cs="宋体"/>
          <w:color w:val="auto"/>
          <w:sz w:val="21"/>
          <w:szCs w:val="21"/>
          <w:lang w:val="en-US" w:eastAsia="zh-CN"/>
        </w:rPr>
        <w:t>如果a1大于全部参与评审的投标人中信用等级A级企业的数量，则信用等级A级的企业全部入围，剩余入围名额不再补抽。</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在评审区间入围家数计算过程中，非整数时，四舍五入。</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2.2确定荣誉企业评审区间入围单位X=</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lang w:val="en-US" w:eastAsia="zh-CN"/>
        </w:rPr>
        <w:t>家。确定方式如下：</w:t>
      </w:r>
    </w:p>
    <w:p>
      <w:pPr>
        <w:pStyle w:val="12"/>
        <w:tabs>
          <w:tab w:val="left" w:pos="9360"/>
        </w:tabs>
        <w:spacing w:line="360" w:lineRule="auto"/>
        <w:ind w:firstLine="420" w:firstLineChars="200"/>
        <w:rPr>
          <w:rFonts w:hint="eastAsia" w:cs="宋体"/>
          <w:color w:val="auto"/>
          <w:sz w:val="21"/>
          <w:szCs w:val="21"/>
          <w:highlight w:val="none"/>
          <w:u w:val="single"/>
          <w:lang w:val="en-US" w:eastAsia="zh-CN"/>
        </w:rPr>
      </w:pPr>
      <w:r>
        <w:rPr>
          <w:rFonts w:hint="eastAsia" w:cs="宋体"/>
          <w:color w:val="auto"/>
          <w:sz w:val="21"/>
          <w:szCs w:val="21"/>
          <w:highlight w:val="none"/>
          <w:lang w:val="en-US" w:eastAsia="zh-CN"/>
        </w:rPr>
        <w:t>荣誉企业是指：</w:t>
      </w:r>
      <w:r>
        <w:rPr>
          <w:rFonts w:hint="eastAsia" w:cs="宋体"/>
          <w:color w:val="auto"/>
          <w:sz w:val="21"/>
          <w:szCs w:val="21"/>
          <w:highlight w:val="none"/>
          <w:u w:val="single"/>
          <w:lang w:val="en-US" w:eastAsia="zh-CN"/>
        </w:rPr>
        <w:t xml:space="preserve">                                     （近2年内投标人获得过由设区市级及以上人民政府颁发的建设领域的龙头、骨干企业或相当于的企业荣誉）</w:t>
      </w:r>
    </w:p>
    <w:p>
      <w:pPr>
        <w:pStyle w:val="12"/>
        <w:tabs>
          <w:tab w:val="left" w:pos="9360"/>
        </w:tabs>
        <w:spacing w:line="360" w:lineRule="auto"/>
        <w:ind w:firstLine="420" w:firstLineChars="200"/>
        <w:rPr>
          <w:rFonts w:hint="eastAsia" w:cs="宋体"/>
          <w:color w:val="auto"/>
          <w:sz w:val="21"/>
          <w:szCs w:val="21"/>
          <w:highlight w:val="none"/>
          <w:u w:val="single"/>
          <w:lang w:val="en-US" w:eastAsia="zh-CN"/>
        </w:rPr>
      </w:pPr>
      <w:r>
        <w:rPr>
          <w:rFonts w:hint="eastAsia" w:cs="宋体"/>
          <w:color w:val="auto"/>
          <w:sz w:val="21"/>
          <w:szCs w:val="21"/>
          <w:highlight w:val="none"/>
          <w:u w:val="none"/>
          <w:lang w:val="en-US" w:eastAsia="zh-CN"/>
        </w:rPr>
        <w:t>证明材料及要求：</w:t>
      </w:r>
      <w:r>
        <w:rPr>
          <w:rFonts w:hint="eastAsia" w:cs="宋体"/>
          <w:color w:val="auto"/>
          <w:sz w:val="21"/>
          <w:szCs w:val="21"/>
          <w:highlight w:val="none"/>
          <w:u w:val="single"/>
          <w:lang w:val="en-US" w:eastAsia="zh-CN"/>
        </w:rPr>
        <w:t xml:space="preserve">                                           </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投标人在投标文件递交的时候勾选确认是否为招标文件要求的荣誉企业，若为招标文件要求的荣誉企业，在投标文件中附上相应的证明材料。荣誉企业的投标人未在投标文件递交环节进行勾选确认的或已勾选确认但未提供证明资料的，视为放弃抽取的权力，不再参与本环节的抽取。</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评标委员会对“所有确认荣誉企业”且信用等级为A级的投标人（除去上述2.1条款中确定的入围单位）进行荣誉企业资格核验。若提供的荣誉企业证明材料不符合招标文件要求的，不参与本环节的抽取。</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在通过上述核验的“荣誉企业”中，随机抽取X家作为评审区间入围的投标人。若通过上述核验的“荣誉企业”数量小于等于X家的，则全部入围，剩余名额不再替补。</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未进入评审区间的投标人的投标文件不再参与后续评审。</w:t>
      </w:r>
    </w:p>
    <w:p>
      <w:pPr>
        <w:snapToGrid w:val="0"/>
        <w:spacing w:line="360" w:lineRule="auto"/>
        <w:ind w:firstLine="421" w:firstLineChars="200"/>
        <w:outlineLvl w:val="2"/>
        <w:rPr>
          <w:rFonts w:ascii="宋体" w:hAnsi="宋体" w:eastAsia="宋体" w:cs="Times New Roman"/>
          <w:b/>
        </w:rPr>
      </w:pPr>
      <w:r>
        <w:rPr>
          <w:rFonts w:hint="eastAsia" w:ascii="宋体" w:hAnsi="宋体" w:eastAsia="宋体" w:cs="Times New Roman"/>
          <w:b/>
        </w:rPr>
        <w:t>四</w:t>
      </w:r>
      <w:r>
        <w:rPr>
          <w:rFonts w:ascii="宋体" w:hAnsi="宋体" w:eastAsia="宋体" w:cs="Times New Roman"/>
          <w:b/>
        </w:rPr>
        <w:t>、</w:t>
      </w:r>
      <w:r>
        <w:rPr>
          <w:rFonts w:hint="eastAsia" w:ascii="宋体" w:hAnsi="宋体" w:eastAsia="宋体" w:cs="Times New Roman"/>
          <w:b/>
        </w:rPr>
        <w:t>商务标第一部分评审</w:t>
      </w:r>
    </w:p>
    <w:p>
      <w:pPr>
        <w:snapToGrid w:val="0"/>
        <w:spacing w:line="360" w:lineRule="auto"/>
        <w:ind w:firstLine="421" w:firstLineChars="200"/>
        <w:outlineLvl w:val="2"/>
        <w:rPr>
          <w:rFonts w:hint="eastAsia" w:ascii="宋体" w:hAnsi="宋体" w:eastAsia="宋体" w:cs="Times New Roman"/>
          <w:b w:val="0"/>
          <w:bCs/>
        </w:rPr>
      </w:pPr>
      <w:r>
        <w:rPr>
          <w:rFonts w:hint="eastAsia" w:ascii="宋体" w:hAnsi="宋体" w:eastAsia="宋体" w:cs="Times New Roman"/>
          <w:b/>
          <w:bCs w:val="0"/>
        </w:rPr>
        <w:t>评标委员会商务专家组</w:t>
      </w:r>
      <w:r>
        <w:rPr>
          <w:rFonts w:hint="eastAsia" w:ascii="宋体" w:hAnsi="宋体" w:eastAsia="宋体" w:cs="Times New Roman"/>
          <w:b w:val="0"/>
          <w:bCs/>
        </w:rPr>
        <w:t>对进入评审区间的投标人的商务标第一部分进行审查，投标人存在投标须知前附表10.5情形(商务标第一部分评审内容）的，评标委员会组织投标人询问核实后，情况属实的，商务标第一部分审查不予通过，否决其投标。</w:t>
      </w:r>
    </w:p>
    <w:p>
      <w:pPr>
        <w:snapToGrid w:val="0"/>
        <w:spacing w:line="360" w:lineRule="auto"/>
        <w:ind w:firstLine="421" w:firstLineChars="200"/>
        <w:outlineLvl w:val="2"/>
        <w:rPr>
          <w:rFonts w:hint="eastAsia" w:ascii="宋体" w:hAnsi="宋体" w:eastAsia="宋体" w:cs="Times New Roman"/>
          <w:b/>
        </w:rPr>
      </w:pPr>
      <w:r>
        <w:rPr>
          <w:rFonts w:hint="eastAsia" w:ascii="宋体" w:hAnsi="宋体" w:eastAsia="宋体" w:cs="Times New Roman"/>
          <w:b/>
        </w:rPr>
        <w:t>五、商务标第二部分评审</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1、商务标第二部分实行暗标评审，综合单价评审结束</w:t>
      </w:r>
      <w:r>
        <w:rPr>
          <w:rFonts w:hint="eastAsia" w:cs="宋体"/>
          <w:sz w:val="21"/>
          <w:szCs w:val="21"/>
          <w:highlight w:val="none"/>
          <w:lang w:val="en-US"/>
        </w:rPr>
        <w:t>前，只有在</w:t>
      </w:r>
      <w:r>
        <w:rPr>
          <w:rFonts w:hint="eastAsia" w:cs="宋体"/>
          <w:b/>
          <w:bCs/>
          <w:sz w:val="21"/>
          <w:szCs w:val="21"/>
          <w:highlight w:val="none"/>
          <w:lang w:val="en-US"/>
        </w:rPr>
        <w:t>评标委员会商务专家组</w:t>
      </w:r>
      <w:r>
        <w:rPr>
          <w:rFonts w:hint="eastAsia" w:cs="宋体"/>
          <w:sz w:val="21"/>
          <w:szCs w:val="21"/>
          <w:highlight w:val="none"/>
          <w:lang w:val="en-US"/>
        </w:rPr>
        <w:t>确定需要询标时才能通过系统确认需要询标的投标人，其余未被列入询标的投标人名称评审过程中只体现该投标人的编号，投标人名称在其综合单价评审</w:t>
      </w:r>
      <w:r>
        <w:rPr>
          <w:rFonts w:hint="eastAsia" w:cs="宋体"/>
          <w:sz w:val="21"/>
          <w:szCs w:val="21"/>
          <w:lang w:val="en-US"/>
        </w:rPr>
        <w:t>得分计算完成后由系统统一显</w:t>
      </w:r>
      <w:r>
        <w:rPr>
          <w:rFonts w:hint="eastAsia" w:cs="宋体"/>
          <w:sz w:val="21"/>
          <w:szCs w:val="21"/>
          <w:highlight w:val="none"/>
          <w:lang w:val="en-US"/>
        </w:rPr>
        <w:t>示。</w:t>
      </w:r>
      <w:r>
        <w:rPr>
          <w:rFonts w:hint="eastAsia" w:cs="宋体"/>
          <w:b/>
          <w:bCs/>
          <w:sz w:val="21"/>
          <w:szCs w:val="21"/>
          <w:highlight w:val="none"/>
          <w:lang w:val="en-US"/>
        </w:rPr>
        <w:t>评标委员会商务专家组</w:t>
      </w:r>
      <w:r>
        <w:rPr>
          <w:rFonts w:hint="eastAsia" w:cs="宋体"/>
          <w:sz w:val="21"/>
          <w:szCs w:val="21"/>
          <w:highlight w:val="none"/>
          <w:lang w:val="en-US"/>
        </w:rPr>
        <w:t>首先</w:t>
      </w:r>
      <w:r>
        <w:rPr>
          <w:rFonts w:hint="eastAsia" w:cs="宋体"/>
          <w:sz w:val="21"/>
          <w:szCs w:val="21"/>
          <w:lang w:val="en-US"/>
        </w:rPr>
        <w:t>对进入商务标第二部分评审的投标文件进行初步评审，存在投标须知前附表10.5情形(商务标第二部分评审内容）的，评标委员会组织投标人询问核实后，情况属实的，商务标第二部分评审不予通过，否决其投标。</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2、确定各投标人的最终投标报价：</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投标报价评审应在各投标人投标报价内容和口径一致的基础上进行。因招标文件叙述不清楚引起各投标人投标报价内容和口径不一致时，应按有关规定统一调整投标报价的内容和口径后计算出各投标人的投标报价，但因投标人失误造成的报价差错、遗漏，不属于调整范围。评标专家组将对确定为实质上响应招标文件要求的投标文件进行校核，看其是否有计算上、累计上或表达上的错误，修正错误的原则如下：</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2.1用数字表示的金额和用文字表示的金额不一致时，应以文字表示的金额为准；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2.2当单价与数量的乘积与合价不一致时，以单价为准进行价格调整，除非评标专家组认为单价有明显的小数点错误，此时应以标明的合价为准，并修改单价；</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2.3单价漏报，但有单项合价的，按单项合价除以招标文件工程量清单相应栏目的数量所得的商，作为该项的单价；</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按上述修正错误的原则及方法调整或修正投标文件的投标报价，该投标报价作为投标人的最终投标报价（投标总报价调整值小于100元的，不作调整）。</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3、</w:t>
      </w:r>
      <w:r>
        <w:rPr>
          <w:rFonts w:hint="eastAsia" w:cs="宋体"/>
          <w:sz w:val="21"/>
          <w:szCs w:val="21"/>
        </w:rPr>
        <w:t>工程量清单综合单价评审</w:t>
      </w:r>
      <w:r>
        <w:rPr>
          <w:rFonts w:hint="eastAsia" w:cs="宋体"/>
          <w:sz w:val="21"/>
          <w:szCs w:val="21"/>
          <w:lang w:val="en-US"/>
        </w:rPr>
        <w:t>（满分5分）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评标专家组对通过以上评审的投标文件进行详细评审，在评审过程中，</w:t>
      </w:r>
      <w:r>
        <w:rPr>
          <w:rFonts w:hint="eastAsia" w:cs="宋体"/>
          <w:color w:val="auto"/>
          <w:sz w:val="21"/>
          <w:szCs w:val="21"/>
          <w:lang w:val="en-US"/>
        </w:rPr>
        <w:t>评标专家应在去除上述评审已确定不列入评审范围的投标报价后再计算投标平均价。各投标人</w:t>
      </w:r>
      <w:r>
        <w:rPr>
          <w:rFonts w:hint="eastAsia" w:cs="宋体"/>
          <w:sz w:val="21"/>
          <w:szCs w:val="21"/>
          <w:lang w:val="en-US"/>
        </w:rPr>
        <w:t>的工程量清单综合评价分公布后，无论任何原因引起有效投标人个数发生变化时，所计算的各项投标平均价也不再进行调整。</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评标专家组在确定各投标人最终投标报价的同时，应对投标人的</w:t>
      </w:r>
      <w:r>
        <w:rPr>
          <w:rFonts w:hint="eastAsia" w:cs="宋体"/>
          <w:sz w:val="21"/>
          <w:szCs w:val="21"/>
        </w:rPr>
        <w:t>工程量清单综合单价</w:t>
      </w:r>
      <w:r>
        <w:rPr>
          <w:rFonts w:hint="eastAsia" w:cs="宋体"/>
          <w:sz w:val="21"/>
          <w:szCs w:val="21"/>
          <w:lang w:val="en-US"/>
        </w:rPr>
        <w:t>进行评审,</w:t>
      </w:r>
      <w:r>
        <w:rPr>
          <w:rFonts w:hint="eastAsia" w:cs="宋体"/>
          <w:sz w:val="21"/>
          <w:szCs w:val="21"/>
        </w:rPr>
        <w:t>工程量清单综合单价</w:t>
      </w:r>
      <w:r>
        <w:rPr>
          <w:rFonts w:hint="eastAsia" w:cs="宋体"/>
          <w:sz w:val="21"/>
          <w:szCs w:val="21"/>
          <w:lang w:val="en-US"/>
        </w:rPr>
        <w:t>评审的原则和方法如下：</w:t>
      </w:r>
    </w:p>
    <w:p>
      <w:pPr>
        <w:pStyle w:val="12"/>
        <w:tabs>
          <w:tab w:val="left" w:pos="9360"/>
        </w:tabs>
        <w:spacing w:line="360" w:lineRule="auto"/>
        <w:ind w:firstLine="420" w:firstLineChars="200"/>
        <w:rPr>
          <w:rFonts w:cs="宋体"/>
          <w:sz w:val="21"/>
          <w:szCs w:val="21"/>
          <w:highlight w:val="none"/>
          <w:lang w:val="en-US"/>
        </w:rPr>
      </w:pPr>
      <w:r>
        <w:rPr>
          <w:rFonts w:hint="eastAsia" w:cs="宋体"/>
          <w:sz w:val="21"/>
          <w:szCs w:val="21"/>
          <w:lang w:val="en-US"/>
        </w:rPr>
        <w:t>按工程量清单</w:t>
      </w:r>
      <w:r>
        <w:rPr>
          <w:rFonts w:hint="eastAsia" w:cs="宋体"/>
          <w:sz w:val="21"/>
          <w:szCs w:val="21"/>
          <w:highlight w:val="none"/>
          <w:lang w:val="en-US"/>
        </w:rPr>
        <w:t>项目（含措施项目）总数的（   ）%随机选择评审项目（</w:t>
      </w:r>
      <w:r>
        <w:rPr>
          <w:rFonts w:hint="eastAsia" w:cs="宋体"/>
          <w:sz w:val="21"/>
          <w:szCs w:val="21"/>
          <w:highlight w:val="none"/>
          <w:lang w:val="en-US" w:eastAsia="zh-CN"/>
        </w:rPr>
        <w:t>抽取比例不建议为100%</w:t>
      </w:r>
      <w:r>
        <w:rPr>
          <w:rFonts w:hint="eastAsia" w:cs="宋体"/>
          <w:sz w:val="21"/>
          <w:szCs w:val="21"/>
          <w:highlight w:val="none"/>
          <w:lang w:val="en-US"/>
        </w:rPr>
        <w:t>）。</w:t>
      </w:r>
    </w:p>
    <w:p>
      <w:pPr>
        <w:pStyle w:val="12"/>
        <w:tabs>
          <w:tab w:val="left" w:pos="9360"/>
        </w:tabs>
        <w:spacing w:line="360" w:lineRule="auto"/>
        <w:ind w:firstLine="420" w:firstLineChars="200"/>
        <w:rPr>
          <w:rFonts w:cs="宋体"/>
          <w:sz w:val="21"/>
          <w:szCs w:val="21"/>
          <w:lang w:val="en-US"/>
        </w:rPr>
      </w:pPr>
      <w:r>
        <w:rPr>
          <w:rFonts w:hint="eastAsia" w:cs="宋体"/>
          <w:sz w:val="21"/>
          <w:szCs w:val="21"/>
          <w:highlight w:val="none"/>
          <w:lang w:val="en-US"/>
        </w:rPr>
        <w:t>对投标人列入评审</w:t>
      </w:r>
      <w:r>
        <w:rPr>
          <w:rFonts w:hint="eastAsia" w:cs="宋体"/>
          <w:sz w:val="21"/>
          <w:szCs w:val="21"/>
          <w:highlight w:val="none"/>
          <w:lang w:val="en-US" w:eastAsia="zh-CN"/>
        </w:rPr>
        <w:t>项目</w:t>
      </w:r>
      <w:r>
        <w:rPr>
          <w:rFonts w:hint="eastAsia" w:cs="宋体"/>
          <w:sz w:val="21"/>
          <w:szCs w:val="21"/>
          <w:highlight w:val="none"/>
          <w:lang w:val="en-US"/>
        </w:rPr>
        <w:t>的工程量的报价（指每一项目的综合单价与工程量的乘积）进行评审：（</w:t>
      </w:r>
      <w:r>
        <w:rPr>
          <w:rFonts w:hint="eastAsia" w:cs="宋体"/>
          <w:sz w:val="21"/>
          <w:szCs w:val="21"/>
          <w:highlight w:val="none"/>
          <w:lang w:val="en-US" w:eastAsia="zh-CN"/>
        </w:rPr>
        <w:t>1</w:t>
      </w:r>
      <w:r>
        <w:rPr>
          <w:rFonts w:hint="eastAsia" w:cs="宋体"/>
          <w:sz w:val="21"/>
          <w:szCs w:val="21"/>
          <w:highlight w:val="none"/>
          <w:lang w:val="en-US"/>
        </w:rPr>
        <w:t>）在每一</w:t>
      </w:r>
      <w:r>
        <w:rPr>
          <w:rFonts w:hint="eastAsia" w:cs="宋体"/>
          <w:sz w:val="21"/>
          <w:szCs w:val="21"/>
          <w:highlight w:val="none"/>
          <w:lang w:val="en-US" w:eastAsia="zh-CN"/>
        </w:rPr>
        <w:t>评审</w:t>
      </w:r>
      <w:r>
        <w:rPr>
          <w:rFonts w:hint="eastAsia" w:cs="宋体"/>
          <w:sz w:val="21"/>
          <w:szCs w:val="21"/>
          <w:highlight w:val="none"/>
          <w:lang w:val="en-US"/>
        </w:rPr>
        <w:t>项目中，如投标人该项目报价</w:t>
      </w:r>
      <w:r>
        <w:rPr>
          <w:rFonts w:hint="eastAsia" w:cs="宋体"/>
          <w:sz w:val="21"/>
          <w:szCs w:val="21"/>
          <w:highlight w:val="none"/>
          <w:lang w:val="en-US" w:eastAsia="zh-CN"/>
        </w:rPr>
        <w:t>与招标控制价</w:t>
      </w:r>
      <w:r>
        <w:rPr>
          <w:rFonts w:hint="eastAsia" w:cs="宋体"/>
          <w:sz w:val="21"/>
          <w:szCs w:val="21"/>
          <w:highlight w:val="none"/>
          <w:lang w:val="en-US"/>
        </w:rPr>
        <w:t>离差大于或等于</w:t>
      </w:r>
      <w:r>
        <w:rPr>
          <w:rFonts w:hint="eastAsia" w:cs="宋体"/>
          <w:sz w:val="21"/>
          <w:szCs w:val="21"/>
          <w:highlight w:val="none"/>
          <w:lang w:val="en-US" w:eastAsia="zh-CN"/>
        </w:rPr>
        <w:t>20</w:t>
      </w:r>
      <w:r>
        <w:rPr>
          <w:rFonts w:hint="eastAsia" w:cs="宋体"/>
          <w:sz w:val="21"/>
          <w:szCs w:val="21"/>
          <w:highlight w:val="none"/>
          <w:lang w:val="en-US"/>
        </w:rPr>
        <w:t>%时，该投标人的报价不参与该项目评审基准价的计算（如某项目所有投标人均不满足参与评审基准价计算要求时，该项目不再评审）</w:t>
      </w:r>
      <w:r>
        <w:rPr>
          <w:rFonts w:hint="eastAsia" w:cs="宋体"/>
          <w:sz w:val="21"/>
          <w:szCs w:val="21"/>
          <w:highlight w:val="none"/>
          <w:lang w:val="en-US" w:eastAsia="zh-CN"/>
        </w:rPr>
        <w:t>；</w:t>
      </w:r>
      <w:r>
        <w:rPr>
          <w:rFonts w:hint="eastAsia" w:cs="宋体"/>
          <w:sz w:val="21"/>
          <w:szCs w:val="21"/>
          <w:highlight w:val="none"/>
          <w:lang w:val="en-US"/>
        </w:rPr>
        <w:t>（</w:t>
      </w:r>
      <w:r>
        <w:rPr>
          <w:rFonts w:hint="eastAsia" w:cs="宋体"/>
          <w:sz w:val="21"/>
          <w:szCs w:val="21"/>
          <w:highlight w:val="none"/>
          <w:lang w:val="en-US" w:eastAsia="zh-CN"/>
        </w:rPr>
        <w:t>2</w:t>
      </w:r>
      <w:r>
        <w:rPr>
          <w:rFonts w:hint="eastAsia" w:cs="宋体"/>
          <w:sz w:val="21"/>
          <w:szCs w:val="21"/>
          <w:highlight w:val="none"/>
          <w:lang w:val="en-US"/>
        </w:rPr>
        <w:t>）以所</w:t>
      </w:r>
      <w:r>
        <w:rPr>
          <w:rFonts w:hint="eastAsia" w:cs="宋体"/>
          <w:sz w:val="21"/>
          <w:szCs w:val="21"/>
          <w:lang w:val="en-US"/>
        </w:rPr>
        <w:t>有参与评审基准价计算的投标人报价的平均价为该项目评审基准价（评审基准价低于500元的项目不再进行评审）。</w:t>
      </w:r>
    </w:p>
    <w:p>
      <w:pPr>
        <w:pStyle w:val="12"/>
        <w:tabs>
          <w:tab w:val="left" w:pos="9360"/>
        </w:tabs>
        <w:spacing w:line="360" w:lineRule="auto"/>
        <w:ind w:firstLine="420" w:firstLineChars="200"/>
        <w:rPr>
          <w:rFonts w:hint="eastAsia" w:cs="宋体"/>
          <w:sz w:val="21"/>
          <w:szCs w:val="21"/>
          <w:highlight w:val="none"/>
          <w:lang w:val="en-US"/>
        </w:rPr>
      </w:pPr>
      <w:r>
        <w:rPr>
          <w:rFonts w:hint="eastAsia" w:cs="宋体"/>
          <w:sz w:val="21"/>
          <w:szCs w:val="21"/>
          <w:lang w:val="en-US"/>
        </w:rPr>
        <w:t>投标人每个清单项目报价与相同编码项目的评</w:t>
      </w:r>
      <w:r>
        <w:rPr>
          <w:rFonts w:hint="eastAsia" w:cs="宋体"/>
          <w:sz w:val="21"/>
          <w:szCs w:val="21"/>
          <w:highlight w:val="none"/>
          <w:lang w:val="en-US"/>
        </w:rPr>
        <w:t>审基准价相比，浮动率超过或等于±</w:t>
      </w:r>
      <w:r>
        <w:rPr>
          <w:rFonts w:hint="eastAsia" w:cs="宋体"/>
          <w:sz w:val="21"/>
          <w:szCs w:val="21"/>
          <w:highlight w:val="none"/>
          <w:lang w:val="en-US" w:eastAsia="zh-CN"/>
        </w:rPr>
        <w:t>1</w:t>
      </w:r>
      <w:r>
        <w:rPr>
          <w:rFonts w:hint="eastAsia" w:cs="宋体"/>
          <w:sz w:val="21"/>
          <w:szCs w:val="21"/>
          <w:highlight w:val="none"/>
          <w:lang w:val="en-US"/>
        </w:rPr>
        <w:t>0%时，每项扣0.05分。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按上述原则,评标专家组对各家投标人的报价进行评审，并按以上规定进行扣分，最高扣分5分，扣完为止。</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投标人的工程量清单综合单价评审得分=5分-上述扣分值</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4、投标人投标报价分（</w:t>
      </w:r>
      <w:r>
        <w:rPr>
          <w:rFonts w:hint="eastAsia" w:cs="宋体"/>
          <w:sz w:val="21"/>
          <w:szCs w:val="21"/>
          <w:lang w:val="en-US" w:eastAsia="zh-CN"/>
        </w:rPr>
        <w:t>59</w:t>
      </w:r>
      <w:r>
        <w:rPr>
          <w:rFonts w:hint="eastAsia" w:cs="宋体"/>
          <w:sz w:val="21"/>
          <w:szCs w:val="21"/>
          <w:lang w:val="en-US"/>
        </w:rPr>
        <w:t>分）</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4.1 按上述第2点修正错误的原则及方法调整或修正投标文件的投标报价，该投标报价作为投标人的最终投标报价，经投标人确认同意后，该投标报价对投标人起约束作用，如果投标人不接受该投标报价的，则其投标将被拒绝并且其投标担保也将被没收。</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4.2计算评标基准价</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4.2.1当参与基准价计算的投标人少于等于3家时，参与评标基准价的计算的投标人的最低最终投标报价即为评标基准价。</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4.2.2 当参与基准价计算的投标人多于3家少于等于5家时，在参与评标基准价计算的投标人中去掉一个最高报价后的算术平均值即为评标基准价。</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4.2.3 当参与基准价计算的投标人多于5家时，评标基准价按如下程序计算确定：</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本评标办法中，评标基准价的计算只进行一次性计算，除计算差错外，评标过程中评标基准价均保持不变。计算差错，仅限于以下两种情况：（1）纯算术性四则运算差错；（2）未按约定的计算方法，多计或者少计投标人报价的。由于评标差错，导致否决投标错误，重新评标纠正等其他情况，不属于计算差错。（3）凡涉及报价金额计算的均以元为单位，保留二位小数，第三位四舍五入。</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由招标人代表从以下Ⅰ，Ⅱ，Ⅲ基准价计算方案，随机抽取一种作为本项目的基准价计算办法。</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Ⅰ基准价计算方案：</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rPr>
        <w:t>评标基准价:P=k*</w:t>
      </w:r>
      <w:r>
        <w:rPr>
          <w:rFonts w:hint="eastAsia" w:cs="宋体"/>
          <w:color w:val="auto"/>
          <w:sz w:val="21"/>
          <w:szCs w:val="21"/>
          <w:lang w:val="en-US" w:eastAsia="zh-CN"/>
        </w:rPr>
        <w:t>d</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P:评标基准价；</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d:在参与基准价计算的所有投标人投标报价的算术平均值。</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lang w:val="en-US"/>
        </w:rPr>
        <w:t xml:space="preserve"> k:随机系数（由招标人在0.</w:t>
      </w:r>
      <w:r>
        <w:rPr>
          <w:rFonts w:hint="eastAsia" w:cs="宋体"/>
          <w:color w:val="auto"/>
          <w:sz w:val="21"/>
          <w:szCs w:val="21"/>
          <w:lang w:val="en-US" w:eastAsia="zh-CN"/>
        </w:rPr>
        <w:t>9900、0.9925、0.9950、0.9975、1.0000、1.0025、1.0050、1.0075八</w:t>
      </w:r>
      <w:r>
        <w:rPr>
          <w:rFonts w:hint="eastAsia" w:cs="宋体"/>
          <w:color w:val="auto"/>
          <w:sz w:val="21"/>
          <w:szCs w:val="21"/>
          <w:lang w:val="en-US"/>
        </w:rPr>
        <w:t>个数据中随机抽取）</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若计算所得的评标基准价超过评审区间的范围，则以评审区间的上限或者下限作为评标基准价。</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Ⅱ基准价计算方案：</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在参与基准价评审的投标人中，随机抽取三家单位。</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评标基准价：P=d。</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d:随机抽中三家单位投标报价的算术平均值。</w:t>
      </w:r>
    </w:p>
    <w:p>
      <w:pPr>
        <w:pStyle w:val="12"/>
        <w:tabs>
          <w:tab w:val="left" w:pos="9360"/>
        </w:tabs>
        <w:spacing w:line="360" w:lineRule="auto"/>
        <w:ind w:firstLine="420" w:firstLineChars="200"/>
        <w:rPr>
          <w:rFonts w:hint="eastAsia" w:cs="宋体"/>
          <w:color w:val="auto"/>
          <w:sz w:val="21"/>
          <w:szCs w:val="21"/>
          <w:lang w:val="en-US" w:eastAsia="zh-CN"/>
        </w:rPr>
      </w:pPr>
      <w:r>
        <w:rPr>
          <w:rFonts w:hint="eastAsia" w:cs="宋体"/>
          <w:color w:val="auto"/>
          <w:sz w:val="21"/>
          <w:szCs w:val="21"/>
          <w:lang w:val="en-US" w:eastAsia="zh-CN"/>
        </w:rPr>
        <w:t>Ⅲ基准价计算方案：</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Ⅲ基准价计算方案：</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评标基准价:P=d*B+Y*（1-A%）*（1-B）</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d:在参与基准价计算的所有投标人投标报价的算术平均值。</w:t>
      </w:r>
    </w:p>
    <w:p>
      <w:pPr>
        <w:pStyle w:val="12"/>
        <w:tabs>
          <w:tab w:val="left" w:pos="9360"/>
        </w:tabs>
        <w:spacing w:line="360" w:lineRule="auto"/>
        <w:ind w:firstLine="420" w:firstLineChars="200"/>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Y:招标控制价</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权重B：在（40%、42%、44%、46%、48%、50%、52%、54%、56%、58%、60%）十一档数值中抽取。</w:t>
      </w:r>
    </w:p>
    <w:p>
      <w:pPr>
        <w:pStyle w:val="12"/>
        <w:tabs>
          <w:tab w:val="left" w:pos="9360"/>
        </w:tabs>
        <w:spacing w:line="360" w:lineRule="auto"/>
        <w:ind w:firstLine="420" w:firstLineChars="200"/>
        <w:rPr>
          <w:rFonts w:hint="eastAsia" w:cs="宋体"/>
          <w:color w:val="auto"/>
          <w:sz w:val="21"/>
          <w:szCs w:val="21"/>
          <w:highlight w:val="none"/>
          <w:lang w:val="en-US"/>
        </w:rPr>
      </w:pPr>
      <w:r>
        <w:rPr>
          <w:rFonts w:hint="eastAsia" w:cs="宋体"/>
          <w:color w:val="auto"/>
          <w:sz w:val="21"/>
          <w:szCs w:val="21"/>
          <w:highlight w:val="none"/>
          <w:lang w:val="en-US" w:eastAsia="zh-CN"/>
        </w:rPr>
        <w:t>浮动率A%：A在n～(100-m)之间随机</w:t>
      </w:r>
      <w:r>
        <w:rPr>
          <w:rFonts w:hint="eastAsia" w:cs="宋体"/>
          <w:color w:val="auto"/>
          <w:sz w:val="21"/>
          <w:szCs w:val="21"/>
          <w:lang w:val="en-US" w:eastAsia="zh-CN"/>
        </w:rPr>
        <w:t>抽取（包含n,m），取整数档，间隔</w:t>
      </w:r>
      <w:r>
        <w:rPr>
          <w:rFonts w:hint="eastAsia" w:cs="宋体"/>
          <w:color w:val="auto"/>
          <w:sz w:val="21"/>
          <w:szCs w:val="21"/>
          <w:highlight w:val="none"/>
          <w:lang w:val="en-US" w:eastAsia="zh-CN"/>
        </w:rPr>
        <w:t>为1;n,m为异常报价环节招标人确定的值。</w:t>
      </w:r>
    </w:p>
    <w:p>
      <w:pPr>
        <w:pStyle w:val="12"/>
        <w:tabs>
          <w:tab w:val="left" w:pos="9360"/>
        </w:tabs>
        <w:spacing w:line="360" w:lineRule="auto"/>
        <w:ind w:firstLine="420" w:firstLineChars="200"/>
        <w:rPr>
          <w:rFonts w:hint="eastAsia" w:cs="宋体"/>
          <w:sz w:val="21"/>
          <w:szCs w:val="21"/>
          <w:highlight w:val="none"/>
          <w:lang w:val="en-US"/>
        </w:rPr>
      </w:pPr>
      <w:r>
        <w:rPr>
          <w:rFonts w:hint="eastAsia" w:cs="宋体"/>
          <w:sz w:val="21"/>
          <w:szCs w:val="21"/>
          <w:highlight w:val="none"/>
          <w:lang w:val="en-US"/>
        </w:rPr>
        <w:t>4.4 计算各投标人投标报价得分</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各投标人的最终投标报价与评标基准价进行比较,相等时得</w:t>
      </w:r>
      <w:r>
        <w:rPr>
          <w:rFonts w:hint="eastAsia" w:cs="宋体"/>
          <w:sz w:val="21"/>
          <w:szCs w:val="21"/>
          <w:lang w:val="en-US" w:eastAsia="zh-CN"/>
        </w:rPr>
        <w:t>满</w:t>
      </w:r>
      <w:r>
        <w:rPr>
          <w:rFonts w:hint="eastAsia" w:cs="宋体"/>
          <w:sz w:val="21"/>
          <w:szCs w:val="21"/>
          <w:lang w:val="en-US"/>
        </w:rPr>
        <w:t>分,每下浮1％时扣</w:t>
      </w:r>
      <w:r>
        <w:rPr>
          <w:rFonts w:hint="eastAsia" w:cs="宋体"/>
          <w:sz w:val="21"/>
          <w:szCs w:val="21"/>
          <w:lang w:val="en-US" w:eastAsia="zh-CN"/>
        </w:rPr>
        <w:t>1.5</w:t>
      </w:r>
      <w:r>
        <w:rPr>
          <w:rFonts w:hint="eastAsia" w:cs="宋体"/>
          <w:sz w:val="21"/>
          <w:szCs w:val="21"/>
          <w:lang w:val="en-US"/>
        </w:rPr>
        <w:t>分,每上浮1%时扣</w:t>
      </w:r>
      <w:r>
        <w:rPr>
          <w:rFonts w:hint="eastAsia" w:cs="宋体"/>
          <w:sz w:val="21"/>
          <w:szCs w:val="21"/>
          <w:lang w:val="en-US" w:eastAsia="zh-CN"/>
        </w:rPr>
        <w:t>3</w:t>
      </w:r>
      <w:r>
        <w:rPr>
          <w:rFonts w:hint="eastAsia" w:cs="宋体"/>
          <w:sz w:val="21"/>
          <w:szCs w:val="21"/>
          <w:lang w:val="en-US"/>
        </w:rPr>
        <w:t>.0分，分值扣完为止（当出现百分点为非整数时, 保留小数点后二位,第三位四舍五入，采用直线插入法计算分值；分值计算时保留小数点后二位,第三位四舍五入。）</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4.5 计算投标人商务标得分</w:t>
      </w:r>
    </w:p>
    <w:p>
      <w:pPr>
        <w:pStyle w:val="12"/>
        <w:tabs>
          <w:tab w:val="left" w:pos="9360"/>
        </w:tabs>
        <w:spacing w:line="360" w:lineRule="auto"/>
        <w:ind w:firstLine="420" w:firstLineChars="200"/>
        <w:rPr>
          <w:rFonts w:cs="宋体"/>
          <w:sz w:val="21"/>
          <w:szCs w:val="21"/>
          <w:lang w:val="en-US"/>
        </w:rPr>
      </w:pPr>
      <w:r>
        <w:rPr>
          <w:rFonts w:hint="eastAsia" w:cs="宋体"/>
          <w:sz w:val="21"/>
          <w:szCs w:val="21"/>
          <w:lang w:val="en-US"/>
        </w:rPr>
        <w:t>商务标得分=投标报价得分+</w:t>
      </w:r>
      <w:r>
        <w:rPr>
          <w:rFonts w:hint="eastAsia" w:cs="宋体"/>
          <w:sz w:val="21"/>
          <w:szCs w:val="21"/>
        </w:rPr>
        <w:t>工程量清单综合单价评审</w:t>
      </w:r>
      <w:r>
        <w:rPr>
          <w:rFonts w:hint="eastAsia" w:cs="宋体"/>
          <w:sz w:val="21"/>
          <w:szCs w:val="21"/>
          <w:lang w:val="en-US"/>
        </w:rPr>
        <w:t>得分</w:t>
      </w:r>
    </w:p>
    <w:p>
      <w:pPr>
        <w:snapToGrid w:val="0"/>
        <w:spacing w:line="360" w:lineRule="auto"/>
        <w:ind w:firstLine="421" w:firstLineChars="200"/>
        <w:outlineLvl w:val="2"/>
        <w:rPr>
          <w:rFonts w:hint="eastAsia" w:ascii="宋体" w:hAnsi="宋体" w:eastAsia="宋体" w:cs="Times New Roman"/>
          <w:b/>
          <w:lang w:val="zh-CN"/>
        </w:rPr>
      </w:pPr>
      <w:r>
        <w:rPr>
          <w:rFonts w:hint="eastAsia" w:ascii="宋体" w:hAnsi="宋体" w:cs="Times New Roman"/>
          <w:b/>
          <w:lang w:val="en-US" w:eastAsia="zh-CN"/>
        </w:rPr>
        <w:t>六</w:t>
      </w:r>
      <w:r>
        <w:rPr>
          <w:rFonts w:hint="eastAsia" w:ascii="宋体" w:hAnsi="宋体" w:eastAsia="宋体" w:cs="Times New Roman"/>
          <w:b/>
        </w:rPr>
        <w:t>、</w:t>
      </w:r>
      <w:r>
        <w:rPr>
          <w:rFonts w:hint="eastAsia" w:ascii="宋体" w:hAnsi="宋体" w:eastAsia="宋体" w:cs="Times New Roman"/>
          <w:b/>
          <w:lang w:val="zh-CN"/>
        </w:rPr>
        <w:t>技术标评审</w:t>
      </w:r>
    </w:p>
    <w:p>
      <w:pPr>
        <w:pStyle w:val="12"/>
        <w:tabs>
          <w:tab w:val="left" w:pos="9360"/>
        </w:tabs>
        <w:spacing w:line="360" w:lineRule="auto"/>
        <w:ind w:firstLine="420" w:firstLineChars="200"/>
        <w:rPr>
          <w:rFonts w:hint="eastAsia" w:cs="宋体"/>
          <w:sz w:val="21"/>
          <w:szCs w:val="21"/>
        </w:rPr>
      </w:pPr>
      <w:r>
        <w:rPr>
          <w:rFonts w:hint="eastAsia" w:cs="宋体"/>
          <w:color w:val="auto"/>
          <w:sz w:val="21"/>
          <w:szCs w:val="21"/>
          <w:lang w:val="en-US"/>
        </w:rPr>
        <w:t>（一）技术标评审由评标委员会技术专家组在上述第三步“评审区间确定”完成后对进入评审区间的投标人的技术标进行评审，技术标评审和商务标评审同步独立进行（技术标与商务标评审在结果汇总前互不影响），技术标实行暗标评审，投标人存在投标须知前附表10.5情形之(技术标评审内容)的，技术标评审不予通过，否决其投标。</w:t>
      </w:r>
    </w:p>
    <w:p>
      <w:pPr>
        <w:pStyle w:val="12"/>
        <w:tabs>
          <w:tab w:val="left" w:pos="9360"/>
        </w:tabs>
        <w:spacing w:line="360" w:lineRule="auto"/>
        <w:ind w:firstLine="420" w:firstLineChars="200"/>
        <w:rPr>
          <w:rFonts w:hint="eastAsia" w:cs="宋体"/>
          <w:sz w:val="21"/>
          <w:szCs w:val="21"/>
          <w:lang w:val="en-US"/>
        </w:rPr>
      </w:pPr>
      <w:r>
        <w:rPr>
          <w:rFonts w:hint="eastAsia" w:cs="宋体"/>
          <w:sz w:val="21"/>
          <w:szCs w:val="21"/>
          <w:lang w:val="en-US"/>
        </w:rPr>
        <w:t>（二）技术标评分（总分 30 分）</w:t>
      </w:r>
    </w:p>
    <w:p>
      <w:pPr>
        <w:pStyle w:val="12"/>
        <w:tabs>
          <w:tab w:val="left" w:pos="9360"/>
        </w:tabs>
        <w:spacing w:line="360" w:lineRule="auto"/>
        <w:ind w:firstLine="420" w:firstLineChars="200"/>
        <w:rPr>
          <w:rFonts w:hint="eastAsia" w:cs="宋体"/>
          <w:sz w:val="21"/>
          <w:szCs w:val="21"/>
          <w:lang w:val="en-US"/>
        </w:rPr>
      </w:pPr>
      <w:r>
        <w:rPr>
          <w:rFonts w:hint="eastAsia" w:cs="宋体"/>
          <w:color w:val="auto"/>
          <w:sz w:val="21"/>
          <w:szCs w:val="21"/>
          <w:lang w:val="en-US"/>
        </w:rPr>
        <w:t>评标委员会技术专家组</w:t>
      </w:r>
      <w:r>
        <w:rPr>
          <w:rFonts w:hint="eastAsia" w:cs="宋体"/>
          <w:sz w:val="21"/>
          <w:szCs w:val="21"/>
          <w:lang w:val="en-US"/>
        </w:rPr>
        <w:t>按招标文件明确的评审标准独立评审。投标人的技术得分值为</w:t>
      </w:r>
      <w:r>
        <w:rPr>
          <w:rFonts w:hint="eastAsia" w:cs="宋体"/>
          <w:color w:val="auto"/>
          <w:sz w:val="21"/>
          <w:szCs w:val="21"/>
          <w:lang w:val="en-US"/>
        </w:rPr>
        <w:t>评标委员会技术专家组</w:t>
      </w:r>
      <w:r>
        <w:rPr>
          <w:rFonts w:hint="eastAsia" w:cs="宋体"/>
          <w:color w:val="auto"/>
          <w:sz w:val="21"/>
          <w:szCs w:val="21"/>
          <w:lang w:val="en-US" w:eastAsia="zh-CN"/>
        </w:rPr>
        <w:t>成员</w:t>
      </w:r>
      <w:r>
        <w:rPr>
          <w:rFonts w:hint="eastAsia" w:cs="宋体"/>
          <w:sz w:val="21"/>
          <w:szCs w:val="21"/>
          <w:lang w:val="en-US"/>
        </w:rPr>
        <w:t>的评分中</w:t>
      </w:r>
      <w:r>
        <w:rPr>
          <w:rFonts w:hint="eastAsia" w:cs="宋体"/>
          <w:color w:val="auto"/>
          <w:sz w:val="21"/>
          <w:szCs w:val="21"/>
          <w:lang w:val="en-US"/>
        </w:rPr>
        <w:t>去除一个最高分和一个最低</w:t>
      </w:r>
      <w:r>
        <w:rPr>
          <w:rFonts w:hint="eastAsia" w:cs="宋体"/>
          <w:sz w:val="21"/>
          <w:szCs w:val="21"/>
          <w:lang w:val="en-US"/>
        </w:rPr>
        <w:t>分后的平均值（</w:t>
      </w:r>
      <w:r>
        <w:rPr>
          <w:rFonts w:hint="eastAsia" w:cs="宋体"/>
          <w:color w:val="auto"/>
          <w:sz w:val="21"/>
          <w:szCs w:val="21"/>
          <w:lang w:val="en-US"/>
        </w:rPr>
        <w:t>评标委员会技术专家组</w:t>
      </w:r>
      <w:r>
        <w:rPr>
          <w:rFonts w:hint="eastAsia" w:cs="宋体"/>
          <w:sz w:val="21"/>
          <w:szCs w:val="21"/>
          <w:lang w:val="en-US"/>
        </w:rPr>
        <w:t>打分保留一位小数，结果四舍五入保留两位小数）。</w:t>
      </w:r>
    </w:p>
    <w:p>
      <w:pPr>
        <w:pStyle w:val="12"/>
        <w:tabs>
          <w:tab w:val="left" w:pos="9360"/>
        </w:tabs>
        <w:spacing w:line="360" w:lineRule="auto"/>
        <w:ind w:firstLine="420" w:firstLineChars="200"/>
        <w:rPr>
          <w:rFonts w:hint="eastAsia" w:cs="宋体"/>
          <w:sz w:val="21"/>
          <w:szCs w:val="21"/>
          <w:lang w:val="en-US"/>
        </w:rPr>
      </w:pPr>
    </w:p>
    <w:p>
      <w:pPr>
        <w:pStyle w:val="12"/>
        <w:tabs>
          <w:tab w:val="left" w:pos="9360"/>
        </w:tabs>
        <w:spacing w:line="360" w:lineRule="auto"/>
        <w:jc w:val="center"/>
        <w:rPr>
          <w:rFonts w:hint="eastAsia" w:cs="宋体"/>
          <w:szCs w:val="24"/>
          <w:lang w:val="en-US"/>
        </w:rPr>
      </w:pPr>
      <w:r>
        <w:rPr>
          <w:rFonts w:hint="eastAsia" w:cs="宋体"/>
        </w:rPr>
        <w:t>技术标一般评审因素</w:t>
      </w:r>
    </w:p>
    <w:tbl>
      <w:tblPr>
        <w:tblStyle w:val="9"/>
        <w:tblpPr w:leftFromText="180" w:rightFromText="180" w:vertAnchor="text" w:horzAnchor="page" w:tblpX="1827" w:tblpY="53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0"/>
        <w:gridCol w:w="4485"/>
        <w:gridCol w:w="851"/>
        <w:gridCol w:w="738"/>
        <w:gridCol w:w="718"/>
        <w:gridCol w:w="438"/>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0" w:type="dxa"/>
            <w:noWrap w:val="0"/>
            <w:vAlign w:val="top"/>
          </w:tcPr>
          <w:p>
            <w:pPr>
              <w:spacing w:line="360" w:lineRule="auto"/>
              <w:jc w:val="center"/>
              <w:rPr>
                <w:rFonts w:hint="eastAsia" w:ascii="宋体" w:hAnsi="宋体" w:cs="宋体"/>
              </w:rPr>
            </w:pPr>
          </w:p>
          <w:p>
            <w:pPr>
              <w:spacing w:line="360" w:lineRule="auto"/>
              <w:jc w:val="center"/>
              <w:rPr>
                <w:rFonts w:hint="eastAsia" w:ascii="宋体" w:hAnsi="宋体" w:cs="宋体"/>
              </w:rPr>
            </w:pPr>
            <w:r>
              <w:rPr>
                <w:rFonts w:hint="eastAsia" w:ascii="宋体" w:hAnsi="宋体" w:cs="宋体"/>
              </w:rPr>
              <w:t>序号</w:t>
            </w:r>
          </w:p>
        </w:tc>
        <w:tc>
          <w:tcPr>
            <w:tcW w:w="4485" w:type="dxa"/>
            <w:noWrap w:val="0"/>
            <w:vAlign w:val="top"/>
          </w:tcPr>
          <w:p>
            <w:pPr>
              <w:spacing w:line="360" w:lineRule="auto"/>
              <w:jc w:val="center"/>
              <w:rPr>
                <w:rFonts w:hint="eastAsia" w:ascii="宋体" w:hAnsi="宋体" w:cs="宋体"/>
              </w:rPr>
            </w:pPr>
          </w:p>
          <w:p>
            <w:pPr>
              <w:spacing w:line="360" w:lineRule="auto"/>
              <w:jc w:val="center"/>
              <w:rPr>
                <w:rFonts w:hint="eastAsia" w:ascii="宋体" w:hAnsi="宋体" w:cs="宋体"/>
              </w:rPr>
            </w:pPr>
            <w:r>
              <w:rPr>
                <w:rFonts w:hint="eastAsia" w:ascii="宋体" w:hAnsi="宋体" w:cs="宋体"/>
              </w:rPr>
              <w:t>评审因素</w:t>
            </w:r>
          </w:p>
        </w:tc>
        <w:tc>
          <w:tcPr>
            <w:tcW w:w="851" w:type="dxa"/>
            <w:tcBorders>
              <w:right w:val="single" w:color="auto" w:sz="4" w:space="0"/>
            </w:tcBorders>
            <w:noWrap w:val="0"/>
            <w:vAlign w:val="top"/>
          </w:tcPr>
          <w:p>
            <w:pPr>
              <w:spacing w:line="360" w:lineRule="auto"/>
              <w:jc w:val="center"/>
              <w:rPr>
                <w:rFonts w:hint="eastAsia" w:ascii="宋体" w:hAnsi="宋体" w:cs="宋体"/>
              </w:rPr>
            </w:pPr>
          </w:p>
          <w:p>
            <w:pPr>
              <w:spacing w:line="360" w:lineRule="auto"/>
              <w:jc w:val="center"/>
              <w:rPr>
                <w:rFonts w:ascii="宋体" w:hAnsi="宋体" w:cs="宋体"/>
              </w:rPr>
            </w:pPr>
            <w:r>
              <w:rPr>
                <w:rFonts w:hint="eastAsia" w:ascii="宋体" w:hAnsi="宋体" w:cs="宋体"/>
              </w:rPr>
              <w:t>分值</w:t>
            </w:r>
          </w:p>
        </w:tc>
        <w:tc>
          <w:tcPr>
            <w:tcW w:w="738" w:type="dxa"/>
            <w:tcBorders>
              <w:left w:val="single" w:color="auto" w:sz="4" w:space="0"/>
            </w:tcBorders>
            <w:noWrap w:val="0"/>
            <w:vAlign w:val="top"/>
          </w:tcPr>
          <w:p>
            <w:pPr>
              <w:spacing w:line="360" w:lineRule="auto"/>
              <w:jc w:val="center"/>
              <w:rPr>
                <w:rFonts w:hint="eastAsia" w:ascii="宋体" w:hAnsi="宋体" w:cs="宋体"/>
              </w:rPr>
            </w:pPr>
          </w:p>
          <w:p>
            <w:pPr>
              <w:spacing w:line="360" w:lineRule="auto"/>
              <w:jc w:val="center"/>
              <w:rPr>
                <w:rFonts w:ascii="宋体" w:hAnsi="宋体" w:cs="宋体"/>
              </w:rPr>
            </w:pPr>
            <w:r>
              <w:rPr>
                <w:rFonts w:hint="eastAsia" w:ascii="宋体" w:hAnsi="宋体" w:cs="宋体"/>
              </w:rPr>
              <w:t>好</w:t>
            </w:r>
          </w:p>
        </w:tc>
        <w:tc>
          <w:tcPr>
            <w:tcW w:w="718" w:type="dxa"/>
            <w:noWrap w:val="0"/>
            <w:vAlign w:val="top"/>
          </w:tcPr>
          <w:p>
            <w:pPr>
              <w:spacing w:line="360" w:lineRule="auto"/>
              <w:jc w:val="center"/>
              <w:rPr>
                <w:rFonts w:hint="eastAsia" w:ascii="宋体" w:hAnsi="宋体" w:cs="宋体"/>
              </w:rPr>
            </w:pPr>
          </w:p>
          <w:p>
            <w:pPr>
              <w:spacing w:line="360" w:lineRule="auto"/>
              <w:jc w:val="center"/>
              <w:rPr>
                <w:rFonts w:hint="eastAsia" w:ascii="宋体" w:hAnsi="宋体" w:cs="宋体"/>
              </w:rPr>
            </w:pPr>
            <w:r>
              <w:rPr>
                <w:rFonts w:hint="eastAsia" w:ascii="宋体" w:hAnsi="宋体" w:cs="宋体"/>
              </w:rPr>
              <w:t>一般</w:t>
            </w:r>
          </w:p>
        </w:tc>
        <w:tc>
          <w:tcPr>
            <w:tcW w:w="438" w:type="dxa"/>
            <w:noWrap w:val="0"/>
            <w:vAlign w:val="top"/>
          </w:tcPr>
          <w:p>
            <w:pPr>
              <w:spacing w:line="360" w:lineRule="auto"/>
              <w:jc w:val="center"/>
              <w:rPr>
                <w:rFonts w:hint="eastAsia" w:ascii="宋体" w:hAnsi="宋体" w:cs="宋体"/>
              </w:rPr>
            </w:pPr>
          </w:p>
          <w:p>
            <w:pPr>
              <w:spacing w:line="360" w:lineRule="auto"/>
              <w:jc w:val="center"/>
              <w:rPr>
                <w:rFonts w:hint="eastAsia" w:ascii="宋体" w:hAnsi="宋体" w:cs="宋体"/>
              </w:rPr>
            </w:pPr>
            <w:r>
              <w:rPr>
                <w:rFonts w:hint="eastAsia" w:ascii="宋体" w:hAnsi="宋体" w:cs="宋体"/>
              </w:rPr>
              <w:t>差</w:t>
            </w:r>
          </w:p>
        </w:tc>
        <w:tc>
          <w:tcPr>
            <w:tcW w:w="944" w:type="dxa"/>
            <w:noWrap w:val="0"/>
            <w:vAlign w:val="top"/>
          </w:tcPr>
          <w:p>
            <w:pPr>
              <w:spacing w:line="360" w:lineRule="auto"/>
              <w:jc w:val="center"/>
              <w:rPr>
                <w:rFonts w:ascii="宋体" w:hAnsi="宋体" w:cs="宋体"/>
              </w:rPr>
            </w:pPr>
            <w:r>
              <w:rPr>
                <w:rFonts w:hint="eastAsia" w:ascii="宋体" w:hAnsi="宋体" w:cs="宋体"/>
              </w:rPr>
              <w:t>缺实质性内容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0" w:type="dxa"/>
            <w:noWrap w:val="0"/>
            <w:vAlign w:val="top"/>
          </w:tcPr>
          <w:p>
            <w:pPr>
              <w:spacing w:line="360" w:lineRule="auto"/>
              <w:jc w:val="center"/>
              <w:rPr>
                <w:rFonts w:hint="eastAsia" w:ascii="宋体" w:hAnsi="宋体" w:cs="宋体"/>
              </w:rPr>
            </w:pPr>
            <w:r>
              <w:rPr>
                <w:rFonts w:hint="eastAsia" w:ascii="宋体" w:hAnsi="宋体" w:cs="宋体"/>
              </w:rPr>
              <w:t>1</w:t>
            </w:r>
          </w:p>
        </w:tc>
        <w:tc>
          <w:tcPr>
            <w:tcW w:w="4485" w:type="dxa"/>
            <w:noWrap w:val="0"/>
            <w:vAlign w:val="top"/>
          </w:tcPr>
          <w:p>
            <w:pPr>
              <w:spacing w:line="360" w:lineRule="auto"/>
              <w:rPr>
                <w:rFonts w:hint="eastAsia" w:ascii="宋体" w:hAnsi="宋体" w:cs="宋体"/>
              </w:rPr>
            </w:pPr>
            <w:r>
              <w:rPr>
                <w:rFonts w:hint="eastAsia" w:ascii="宋体" w:hAnsi="宋体" w:cs="宋体"/>
              </w:rPr>
              <w:t>总体施工部署、场地平面布置及说明</w:t>
            </w:r>
          </w:p>
        </w:tc>
        <w:tc>
          <w:tcPr>
            <w:tcW w:w="851" w:type="dxa"/>
            <w:tcBorders>
              <w:right w:val="single" w:color="auto" w:sz="4" w:space="0"/>
            </w:tcBorders>
            <w:noWrap w:val="0"/>
            <w:vAlign w:val="top"/>
          </w:tcPr>
          <w:p>
            <w:pPr>
              <w:spacing w:line="360" w:lineRule="auto"/>
              <w:ind w:firstLine="420" w:firstLineChars="200"/>
              <w:rPr>
                <w:rFonts w:hint="eastAsia" w:ascii="宋体" w:hAnsi="宋体" w:cs="宋体"/>
              </w:rPr>
            </w:pPr>
          </w:p>
        </w:tc>
        <w:tc>
          <w:tcPr>
            <w:tcW w:w="738" w:type="dxa"/>
            <w:tcBorders>
              <w:left w:val="single" w:color="auto" w:sz="4" w:space="0"/>
            </w:tcBorders>
            <w:noWrap w:val="0"/>
            <w:vAlign w:val="top"/>
          </w:tcPr>
          <w:p>
            <w:pPr>
              <w:spacing w:line="360" w:lineRule="auto"/>
              <w:ind w:firstLine="420" w:firstLineChars="200"/>
              <w:rPr>
                <w:rFonts w:hint="eastAsia" w:ascii="宋体" w:hAnsi="宋体" w:cs="宋体"/>
              </w:rPr>
            </w:pPr>
          </w:p>
        </w:tc>
        <w:tc>
          <w:tcPr>
            <w:tcW w:w="718" w:type="dxa"/>
            <w:noWrap w:val="0"/>
            <w:vAlign w:val="top"/>
          </w:tcPr>
          <w:p>
            <w:pPr>
              <w:spacing w:line="360" w:lineRule="auto"/>
              <w:ind w:firstLine="420" w:firstLineChars="200"/>
              <w:rPr>
                <w:rFonts w:hint="eastAsia" w:ascii="宋体" w:hAnsi="宋体" w:cs="宋体"/>
              </w:rPr>
            </w:pPr>
          </w:p>
        </w:tc>
        <w:tc>
          <w:tcPr>
            <w:tcW w:w="438" w:type="dxa"/>
            <w:noWrap w:val="0"/>
            <w:vAlign w:val="top"/>
          </w:tcPr>
          <w:p>
            <w:pPr>
              <w:spacing w:line="360" w:lineRule="auto"/>
              <w:ind w:firstLine="420" w:firstLineChars="200"/>
              <w:rPr>
                <w:rFonts w:hint="eastAsia" w:ascii="宋体" w:hAnsi="宋体" w:cs="宋体"/>
              </w:rPr>
            </w:pPr>
          </w:p>
        </w:tc>
        <w:tc>
          <w:tcPr>
            <w:tcW w:w="944" w:type="dxa"/>
            <w:noWrap w:val="0"/>
            <w:vAlign w:val="top"/>
          </w:tcPr>
          <w:p>
            <w:pPr>
              <w:spacing w:line="360" w:lineRule="auto"/>
              <w:jc w:val="center"/>
              <w:rPr>
                <w:rFonts w:hint="eastAsia" w:ascii="宋体" w:hAnsi="宋体" w:cs="宋体"/>
              </w:rPr>
            </w:pPr>
            <w:r>
              <w:rPr>
                <w:rFonts w:hint="eastAsia" w:ascii="宋体" w:hAnsi="宋体" w:cs="宋体"/>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0" w:type="dxa"/>
            <w:noWrap w:val="0"/>
            <w:vAlign w:val="top"/>
          </w:tcPr>
          <w:p>
            <w:pPr>
              <w:spacing w:line="360" w:lineRule="auto"/>
              <w:jc w:val="center"/>
              <w:rPr>
                <w:rFonts w:hint="eastAsia" w:ascii="宋体" w:hAnsi="宋体" w:cs="宋体"/>
              </w:rPr>
            </w:pPr>
            <w:r>
              <w:rPr>
                <w:rFonts w:hint="eastAsia" w:ascii="宋体" w:hAnsi="宋体" w:cs="宋体"/>
              </w:rPr>
              <w:t>2</w:t>
            </w:r>
          </w:p>
        </w:tc>
        <w:tc>
          <w:tcPr>
            <w:tcW w:w="4485" w:type="dxa"/>
            <w:noWrap w:val="0"/>
            <w:vAlign w:val="top"/>
          </w:tcPr>
          <w:p>
            <w:pPr>
              <w:spacing w:line="360" w:lineRule="auto"/>
              <w:rPr>
                <w:rFonts w:hint="eastAsia" w:ascii="宋体" w:hAnsi="宋体" w:cs="宋体"/>
              </w:rPr>
            </w:pPr>
            <w:r>
              <w:rPr>
                <w:rFonts w:hint="eastAsia" w:ascii="宋体" w:hAnsi="宋体" w:cs="宋体"/>
              </w:rPr>
              <w:t>主要施工方案</w:t>
            </w:r>
          </w:p>
        </w:tc>
        <w:tc>
          <w:tcPr>
            <w:tcW w:w="851" w:type="dxa"/>
            <w:tcBorders>
              <w:right w:val="single" w:color="auto" w:sz="4" w:space="0"/>
            </w:tcBorders>
            <w:noWrap w:val="0"/>
            <w:vAlign w:val="top"/>
          </w:tcPr>
          <w:p>
            <w:pPr>
              <w:spacing w:line="360" w:lineRule="auto"/>
              <w:ind w:firstLine="420" w:firstLineChars="200"/>
              <w:rPr>
                <w:rFonts w:hint="eastAsia" w:ascii="宋体" w:hAnsi="宋体" w:cs="宋体"/>
              </w:rPr>
            </w:pPr>
          </w:p>
        </w:tc>
        <w:tc>
          <w:tcPr>
            <w:tcW w:w="738" w:type="dxa"/>
            <w:tcBorders>
              <w:left w:val="single" w:color="auto" w:sz="4" w:space="0"/>
            </w:tcBorders>
            <w:noWrap w:val="0"/>
            <w:vAlign w:val="top"/>
          </w:tcPr>
          <w:p>
            <w:pPr>
              <w:spacing w:line="360" w:lineRule="auto"/>
              <w:ind w:firstLine="420" w:firstLineChars="200"/>
              <w:rPr>
                <w:rFonts w:hint="eastAsia" w:ascii="宋体" w:hAnsi="宋体" w:cs="宋体"/>
              </w:rPr>
            </w:pPr>
          </w:p>
        </w:tc>
        <w:tc>
          <w:tcPr>
            <w:tcW w:w="718" w:type="dxa"/>
            <w:noWrap w:val="0"/>
            <w:vAlign w:val="top"/>
          </w:tcPr>
          <w:p>
            <w:pPr>
              <w:spacing w:line="360" w:lineRule="auto"/>
              <w:ind w:firstLine="420" w:firstLineChars="200"/>
              <w:rPr>
                <w:rFonts w:hint="eastAsia" w:ascii="宋体" w:hAnsi="宋体" w:cs="宋体"/>
              </w:rPr>
            </w:pPr>
          </w:p>
        </w:tc>
        <w:tc>
          <w:tcPr>
            <w:tcW w:w="438" w:type="dxa"/>
            <w:noWrap w:val="0"/>
            <w:vAlign w:val="top"/>
          </w:tcPr>
          <w:p>
            <w:pPr>
              <w:spacing w:line="360" w:lineRule="auto"/>
              <w:ind w:firstLine="420" w:firstLineChars="200"/>
              <w:rPr>
                <w:rFonts w:hint="eastAsia" w:ascii="宋体" w:hAnsi="宋体" w:cs="宋体"/>
              </w:rPr>
            </w:pPr>
          </w:p>
        </w:tc>
        <w:tc>
          <w:tcPr>
            <w:tcW w:w="944" w:type="dxa"/>
            <w:noWrap w:val="0"/>
            <w:vAlign w:val="top"/>
          </w:tcPr>
          <w:p>
            <w:pPr>
              <w:spacing w:line="360" w:lineRule="auto"/>
              <w:jc w:val="center"/>
              <w:rPr>
                <w:rFonts w:hint="eastAsia" w:ascii="宋体" w:hAnsi="宋体" w:cs="宋体"/>
              </w:rPr>
            </w:pPr>
            <w:r>
              <w:rPr>
                <w:rFonts w:hint="eastAsia" w:ascii="宋体" w:hAnsi="宋体" w:cs="宋体"/>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0" w:type="dxa"/>
            <w:noWrap w:val="0"/>
            <w:vAlign w:val="top"/>
          </w:tcPr>
          <w:p>
            <w:pPr>
              <w:spacing w:line="360" w:lineRule="auto"/>
              <w:jc w:val="center"/>
              <w:rPr>
                <w:rFonts w:hint="eastAsia" w:ascii="宋体" w:hAnsi="宋体" w:cs="宋体"/>
              </w:rPr>
            </w:pPr>
            <w:r>
              <w:rPr>
                <w:rFonts w:hint="eastAsia" w:ascii="宋体" w:hAnsi="宋体" w:cs="宋体"/>
              </w:rPr>
              <w:t>3</w:t>
            </w:r>
          </w:p>
        </w:tc>
        <w:tc>
          <w:tcPr>
            <w:tcW w:w="4485" w:type="dxa"/>
            <w:noWrap w:val="0"/>
            <w:vAlign w:val="top"/>
          </w:tcPr>
          <w:p>
            <w:pPr>
              <w:spacing w:line="360" w:lineRule="auto"/>
              <w:rPr>
                <w:rFonts w:hint="eastAsia" w:ascii="宋体" w:hAnsi="宋体" w:cs="宋体"/>
              </w:rPr>
            </w:pPr>
            <w:r>
              <w:rPr>
                <w:rFonts w:hint="eastAsia" w:ascii="宋体" w:hAnsi="宋体" w:cs="宋体"/>
              </w:rPr>
              <w:t>工程质量保障措施</w:t>
            </w:r>
          </w:p>
        </w:tc>
        <w:tc>
          <w:tcPr>
            <w:tcW w:w="851" w:type="dxa"/>
            <w:tcBorders>
              <w:right w:val="single" w:color="auto" w:sz="4" w:space="0"/>
            </w:tcBorders>
            <w:noWrap w:val="0"/>
            <w:vAlign w:val="top"/>
          </w:tcPr>
          <w:p>
            <w:pPr>
              <w:spacing w:line="360" w:lineRule="auto"/>
              <w:ind w:firstLine="420" w:firstLineChars="200"/>
              <w:rPr>
                <w:rFonts w:hint="eastAsia" w:ascii="宋体" w:hAnsi="宋体" w:cs="宋体"/>
              </w:rPr>
            </w:pPr>
          </w:p>
        </w:tc>
        <w:tc>
          <w:tcPr>
            <w:tcW w:w="738" w:type="dxa"/>
            <w:tcBorders>
              <w:left w:val="single" w:color="auto" w:sz="4" w:space="0"/>
            </w:tcBorders>
            <w:noWrap w:val="0"/>
            <w:vAlign w:val="top"/>
          </w:tcPr>
          <w:p>
            <w:pPr>
              <w:spacing w:line="360" w:lineRule="auto"/>
              <w:ind w:firstLine="420" w:firstLineChars="200"/>
              <w:rPr>
                <w:rFonts w:hint="eastAsia" w:ascii="宋体" w:hAnsi="宋体" w:cs="宋体"/>
              </w:rPr>
            </w:pPr>
          </w:p>
        </w:tc>
        <w:tc>
          <w:tcPr>
            <w:tcW w:w="718" w:type="dxa"/>
            <w:noWrap w:val="0"/>
            <w:vAlign w:val="top"/>
          </w:tcPr>
          <w:p>
            <w:pPr>
              <w:spacing w:line="360" w:lineRule="auto"/>
              <w:ind w:firstLine="420" w:firstLineChars="200"/>
              <w:rPr>
                <w:rFonts w:hint="eastAsia" w:ascii="宋体" w:hAnsi="宋体" w:cs="宋体"/>
              </w:rPr>
            </w:pPr>
          </w:p>
        </w:tc>
        <w:tc>
          <w:tcPr>
            <w:tcW w:w="438" w:type="dxa"/>
            <w:noWrap w:val="0"/>
            <w:vAlign w:val="top"/>
          </w:tcPr>
          <w:p>
            <w:pPr>
              <w:spacing w:line="360" w:lineRule="auto"/>
              <w:ind w:firstLine="420" w:firstLineChars="200"/>
              <w:rPr>
                <w:rFonts w:hint="eastAsia" w:ascii="宋体" w:hAnsi="宋体" w:cs="宋体"/>
              </w:rPr>
            </w:pPr>
          </w:p>
        </w:tc>
        <w:tc>
          <w:tcPr>
            <w:tcW w:w="944" w:type="dxa"/>
            <w:noWrap w:val="0"/>
            <w:vAlign w:val="top"/>
          </w:tcPr>
          <w:p>
            <w:pPr>
              <w:spacing w:line="360" w:lineRule="auto"/>
              <w:jc w:val="center"/>
              <w:rPr>
                <w:rFonts w:hint="eastAsia" w:ascii="宋体" w:hAnsi="宋体" w:cs="宋体"/>
              </w:rPr>
            </w:pPr>
            <w:r>
              <w:rPr>
                <w:rFonts w:hint="eastAsia" w:ascii="宋体" w:hAnsi="宋体" w:cs="宋体"/>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0" w:type="dxa"/>
            <w:noWrap w:val="0"/>
            <w:vAlign w:val="top"/>
          </w:tcPr>
          <w:p>
            <w:pPr>
              <w:spacing w:line="360" w:lineRule="auto"/>
              <w:jc w:val="center"/>
              <w:rPr>
                <w:rFonts w:hint="eastAsia" w:ascii="宋体" w:hAnsi="宋体" w:cs="宋体"/>
              </w:rPr>
            </w:pPr>
            <w:r>
              <w:rPr>
                <w:rFonts w:hint="eastAsia" w:ascii="宋体" w:hAnsi="宋体" w:cs="宋体"/>
              </w:rPr>
              <w:t>4</w:t>
            </w:r>
          </w:p>
        </w:tc>
        <w:tc>
          <w:tcPr>
            <w:tcW w:w="4485" w:type="dxa"/>
            <w:noWrap w:val="0"/>
            <w:vAlign w:val="top"/>
          </w:tcPr>
          <w:p>
            <w:pPr>
              <w:spacing w:line="360" w:lineRule="auto"/>
              <w:rPr>
                <w:rFonts w:hint="eastAsia" w:ascii="宋体" w:hAnsi="宋体" w:cs="宋体"/>
              </w:rPr>
            </w:pPr>
            <w:r>
              <w:rPr>
                <w:rFonts w:hint="eastAsia" w:ascii="宋体" w:hAnsi="宋体" w:cs="宋体"/>
              </w:rPr>
              <w:t>施工进度计划和保障措施</w:t>
            </w:r>
          </w:p>
        </w:tc>
        <w:tc>
          <w:tcPr>
            <w:tcW w:w="851" w:type="dxa"/>
            <w:tcBorders>
              <w:right w:val="single" w:color="auto" w:sz="4" w:space="0"/>
            </w:tcBorders>
            <w:noWrap w:val="0"/>
            <w:vAlign w:val="top"/>
          </w:tcPr>
          <w:p>
            <w:pPr>
              <w:spacing w:line="360" w:lineRule="auto"/>
              <w:ind w:firstLine="420" w:firstLineChars="200"/>
              <w:rPr>
                <w:rFonts w:hint="eastAsia" w:ascii="宋体" w:hAnsi="宋体" w:eastAsia="宋体" w:cs="宋体"/>
                <w:lang w:val="en-US" w:eastAsia="zh-CN"/>
              </w:rPr>
            </w:pPr>
          </w:p>
        </w:tc>
        <w:tc>
          <w:tcPr>
            <w:tcW w:w="738" w:type="dxa"/>
            <w:tcBorders>
              <w:left w:val="single" w:color="auto" w:sz="4" w:space="0"/>
            </w:tcBorders>
            <w:noWrap w:val="0"/>
            <w:vAlign w:val="top"/>
          </w:tcPr>
          <w:p>
            <w:pPr>
              <w:spacing w:line="360" w:lineRule="auto"/>
              <w:ind w:firstLine="420" w:firstLineChars="200"/>
              <w:rPr>
                <w:rFonts w:hint="eastAsia" w:ascii="宋体" w:hAnsi="宋体" w:cs="宋体"/>
              </w:rPr>
            </w:pPr>
          </w:p>
        </w:tc>
        <w:tc>
          <w:tcPr>
            <w:tcW w:w="718" w:type="dxa"/>
            <w:noWrap w:val="0"/>
            <w:vAlign w:val="top"/>
          </w:tcPr>
          <w:p>
            <w:pPr>
              <w:spacing w:line="360" w:lineRule="auto"/>
              <w:ind w:firstLine="420" w:firstLineChars="200"/>
              <w:rPr>
                <w:rFonts w:hint="eastAsia" w:ascii="宋体" w:hAnsi="宋体" w:cs="宋体"/>
              </w:rPr>
            </w:pPr>
          </w:p>
        </w:tc>
        <w:tc>
          <w:tcPr>
            <w:tcW w:w="438" w:type="dxa"/>
            <w:noWrap w:val="0"/>
            <w:vAlign w:val="top"/>
          </w:tcPr>
          <w:p>
            <w:pPr>
              <w:spacing w:line="360" w:lineRule="auto"/>
              <w:ind w:firstLine="420" w:firstLineChars="200"/>
              <w:rPr>
                <w:rFonts w:hint="eastAsia" w:ascii="宋体" w:hAnsi="宋体" w:cs="宋体"/>
              </w:rPr>
            </w:pPr>
          </w:p>
        </w:tc>
        <w:tc>
          <w:tcPr>
            <w:tcW w:w="944" w:type="dxa"/>
            <w:noWrap w:val="0"/>
            <w:vAlign w:val="top"/>
          </w:tcPr>
          <w:p>
            <w:pPr>
              <w:spacing w:line="360" w:lineRule="auto"/>
              <w:jc w:val="center"/>
              <w:rPr>
                <w:rFonts w:hint="eastAsia" w:ascii="宋体" w:hAnsi="宋体" w:cs="宋体"/>
              </w:rPr>
            </w:pPr>
            <w:r>
              <w:rPr>
                <w:rFonts w:hint="eastAsia" w:ascii="宋体" w:hAnsi="宋体" w:cs="宋体"/>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0" w:type="dxa"/>
            <w:noWrap w:val="0"/>
            <w:vAlign w:val="top"/>
          </w:tcPr>
          <w:p>
            <w:pPr>
              <w:spacing w:line="360" w:lineRule="auto"/>
              <w:jc w:val="center"/>
              <w:rPr>
                <w:rFonts w:hint="eastAsia" w:ascii="宋体" w:hAnsi="宋体" w:cs="宋体"/>
              </w:rPr>
            </w:pPr>
            <w:r>
              <w:rPr>
                <w:rFonts w:hint="eastAsia" w:ascii="宋体" w:hAnsi="宋体" w:cs="宋体"/>
              </w:rPr>
              <w:t>5</w:t>
            </w:r>
          </w:p>
        </w:tc>
        <w:tc>
          <w:tcPr>
            <w:tcW w:w="4485" w:type="dxa"/>
            <w:noWrap w:val="0"/>
            <w:vAlign w:val="top"/>
          </w:tcPr>
          <w:p>
            <w:pPr>
              <w:spacing w:line="360" w:lineRule="auto"/>
              <w:rPr>
                <w:rFonts w:hint="eastAsia" w:ascii="宋体" w:hAnsi="宋体" w:cs="宋体"/>
              </w:rPr>
            </w:pPr>
            <w:r>
              <w:rPr>
                <w:rFonts w:hint="eastAsia" w:ascii="宋体" w:hAnsi="宋体" w:cs="宋体"/>
              </w:rPr>
              <w:t>安全生产、文明施工、环境保护措施</w:t>
            </w:r>
          </w:p>
        </w:tc>
        <w:tc>
          <w:tcPr>
            <w:tcW w:w="851" w:type="dxa"/>
            <w:tcBorders>
              <w:right w:val="single" w:color="auto" w:sz="4" w:space="0"/>
            </w:tcBorders>
            <w:noWrap w:val="0"/>
            <w:vAlign w:val="top"/>
          </w:tcPr>
          <w:p>
            <w:pPr>
              <w:spacing w:line="360" w:lineRule="auto"/>
              <w:ind w:firstLine="420" w:firstLineChars="200"/>
              <w:rPr>
                <w:rFonts w:hint="eastAsia" w:ascii="宋体" w:hAnsi="宋体" w:cs="宋体"/>
              </w:rPr>
            </w:pPr>
          </w:p>
        </w:tc>
        <w:tc>
          <w:tcPr>
            <w:tcW w:w="738" w:type="dxa"/>
            <w:tcBorders>
              <w:left w:val="single" w:color="auto" w:sz="4" w:space="0"/>
            </w:tcBorders>
            <w:noWrap w:val="0"/>
            <w:vAlign w:val="top"/>
          </w:tcPr>
          <w:p>
            <w:pPr>
              <w:spacing w:line="360" w:lineRule="auto"/>
              <w:ind w:firstLine="420" w:firstLineChars="200"/>
              <w:rPr>
                <w:rFonts w:hint="eastAsia" w:ascii="宋体" w:hAnsi="宋体" w:cs="宋体"/>
              </w:rPr>
            </w:pPr>
          </w:p>
        </w:tc>
        <w:tc>
          <w:tcPr>
            <w:tcW w:w="718" w:type="dxa"/>
            <w:noWrap w:val="0"/>
            <w:vAlign w:val="top"/>
          </w:tcPr>
          <w:p>
            <w:pPr>
              <w:spacing w:line="360" w:lineRule="auto"/>
              <w:ind w:firstLine="420" w:firstLineChars="200"/>
              <w:rPr>
                <w:rFonts w:hint="eastAsia" w:ascii="宋体" w:hAnsi="宋体" w:cs="宋体"/>
              </w:rPr>
            </w:pPr>
          </w:p>
        </w:tc>
        <w:tc>
          <w:tcPr>
            <w:tcW w:w="438" w:type="dxa"/>
            <w:noWrap w:val="0"/>
            <w:vAlign w:val="top"/>
          </w:tcPr>
          <w:p>
            <w:pPr>
              <w:spacing w:line="360" w:lineRule="auto"/>
              <w:ind w:firstLine="420" w:firstLineChars="200"/>
              <w:rPr>
                <w:rFonts w:hint="eastAsia" w:ascii="宋体" w:hAnsi="宋体" w:cs="宋体"/>
              </w:rPr>
            </w:pPr>
          </w:p>
        </w:tc>
        <w:tc>
          <w:tcPr>
            <w:tcW w:w="944" w:type="dxa"/>
            <w:noWrap w:val="0"/>
            <w:vAlign w:val="top"/>
          </w:tcPr>
          <w:p>
            <w:pPr>
              <w:spacing w:line="360" w:lineRule="auto"/>
              <w:jc w:val="center"/>
              <w:rPr>
                <w:rFonts w:hint="eastAsia" w:ascii="宋体" w:hAnsi="宋体" w:cs="宋体"/>
              </w:rPr>
            </w:pPr>
            <w:r>
              <w:rPr>
                <w:rFonts w:hint="eastAsia" w:ascii="宋体" w:hAnsi="宋体" w:cs="宋体"/>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0" w:type="dxa"/>
            <w:noWrap w:val="0"/>
            <w:vAlign w:val="top"/>
          </w:tcPr>
          <w:p>
            <w:pPr>
              <w:spacing w:line="360" w:lineRule="auto"/>
              <w:jc w:val="center"/>
              <w:rPr>
                <w:rFonts w:hint="eastAsia" w:ascii="宋体" w:hAnsi="宋体" w:cs="宋体"/>
              </w:rPr>
            </w:pPr>
            <w:r>
              <w:rPr>
                <w:rFonts w:hint="eastAsia" w:ascii="宋体" w:hAnsi="宋体" w:cs="宋体"/>
              </w:rPr>
              <w:t>6</w:t>
            </w:r>
          </w:p>
        </w:tc>
        <w:tc>
          <w:tcPr>
            <w:tcW w:w="4485" w:type="dxa"/>
            <w:noWrap w:val="0"/>
            <w:vAlign w:val="top"/>
          </w:tcPr>
          <w:p>
            <w:pPr>
              <w:spacing w:line="360" w:lineRule="auto"/>
              <w:rPr>
                <w:rFonts w:hint="eastAsia" w:ascii="宋体" w:hAnsi="宋体" w:cs="宋体"/>
              </w:rPr>
            </w:pPr>
            <w:r>
              <w:rPr>
                <w:rFonts w:hint="eastAsia" w:ascii="宋体" w:hAnsi="宋体" w:cs="宋体"/>
              </w:rPr>
              <w:t>项目管理人员配置情况</w:t>
            </w:r>
          </w:p>
        </w:tc>
        <w:tc>
          <w:tcPr>
            <w:tcW w:w="851" w:type="dxa"/>
            <w:tcBorders>
              <w:right w:val="single" w:color="auto" w:sz="4" w:space="0"/>
            </w:tcBorders>
            <w:noWrap w:val="0"/>
            <w:vAlign w:val="top"/>
          </w:tcPr>
          <w:p>
            <w:pPr>
              <w:spacing w:line="360" w:lineRule="auto"/>
              <w:ind w:firstLine="420" w:firstLineChars="200"/>
              <w:rPr>
                <w:rFonts w:hint="eastAsia" w:ascii="宋体" w:hAnsi="宋体" w:cs="宋体"/>
              </w:rPr>
            </w:pPr>
          </w:p>
        </w:tc>
        <w:tc>
          <w:tcPr>
            <w:tcW w:w="738" w:type="dxa"/>
            <w:tcBorders>
              <w:left w:val="single" w:color="auto" w:sz="4" w:space="0"/>
            </w:tcBorders>
            <w:noWrap w:val="0"/>
            <w:vAlign w:val="top"/>
          </w:tcPr>
          <w:p>
            <w:pPr>
              <w:spacing w:line="360" w:lineRule="auto"/>
              <w:ind w:firstLine="420" w:firstLineChars="200"/>
              <w:rPr>
                <w:rFonts w:hint="eastAsia" w:ascii="宋体" w:hAnsi="宋体" w:cs="宋体"/>
              </w:rPr>
            </w:pPr>
          </w:p>
        </w:tc>
        <w:tc>
          <w:tcPr>
            <w:tcW w:w="718" w:type="dxa"/>
            <w:noWrap w:val="0"/>
            <w:vAlign w:val="top"/>
          </w:tcPr>
          <w:p>
            <w:pPr>
              <w:spacing w:line="360" w:lineRule="auto"/>
              <w:ind w:firstLine="420" w:firstLineChars="200"/>
              <w:rPr>
                <w:rFonts w:hint="eastAsia" w:ascii="宋体" w:hAnsi="宋体" w:cs="宋体"/>
              </w:rPr>
            </w:pPr>
          </w:p>
        </w:tc>
        <w:tc>
          <w:tcPr>
            <w:tcW w:w="438" w:type="dxa"/>
            <w:noWrap w:val="0"/>
            <w:vAlign w:val="top"/>
          </w:tcPr>
          <w:p>
            <w:pPr>
              <w:spacing w:line="360" w:lineRule="auto"/>
              <w:ind w:firstLine="420" w:firstLineChars="200"/>
              <w:rPr>
                <w:rFonts w:hint="eastAsia" w:ascii="宋体" w:hAnsi="宋体" w:cs="宋体"/>
              </w:rPr>
            </w:pPr>
          </w:p>
        </w:tc>
        <w:tc>
          <w:tcPr>
            <w:tcW w:w="944" w:type="dxa"/>
            <w:noWrap w:val="0"/>
            <w:vAlign w:val="top"/>
          </w:tcPr>
          <w:p>
            <w:pPr>
              <w:spacing w:line="360" w:lineRule="auto"/>
              <w:jc w:val="center"/>
              <w:rPr>
                <w:rFonts w:hint="eastAsia" w:ascii="宋体" w:hAnsi="宋体" w:cs="宋体"/>
              </w:rPr>
            </w:pPr>
            <w:r>
              <w:rPr>
                <w:rFonts w:hint="eastAsia" w:ascii="宋体" w:hAnsi="宋体" w:cs="宋体"/>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0" w:type="dxa"/>
            <w:noWrap w:val="0"/>
            <w:vAlign w:val="top"/>
          </w:tcPr>
          <w:p>
            <w:pPr>
              <w:spacing w:line="360" w:lineRule="auto"/>
              <w:jc w:val="center"/>
              <w:rPr>
                <w:rFonts w:hint="eastAsia" w:ascii="宋体" w:hAnsi="宋体" w:cs="宋体"/>
              </w:rPr>
            </w:pPr>
            <w:r>
              <w:rPr>
                <w:rFonts w:hint="eastAsia" w:ascii="宋体" w:hAnsi="宋体" w:cs="宋体"/>
              </w:rPr>
              <w:t>7</w:t>
            </w:r>
          </w:p>
        </w:tc>
        <w:tc>
          <w:tcPr>
            <w:tcW w:w="4485" w:type="dxa"/>
            <w:noWrap w:val="0"/>
            <w:vAlign w:val="top"/>
          </w:tcPr>
          <w:p>
            <w:pPr>
              <w:spacing w:line="360" w:lineRule="auto"/>
              <w:rPr>
                <w:rFonts w:hint="eastAsia" w:ascii="宋体" w:hAnsi="宋体" w:cs="宋体"/>
              </w:rPr>
            </w:pPr>
            <w:r>
              <w:rPr>
                <w:rFonts w:hint="eastAsia" w:ascii="宋体" w:hAnsi="宋体" w:cs="宋体"/>
              </w:rPr>
              <w:t>主要施工设备配置情况</w:t>
            </w:r>
          </w:p>
        </w:tc>
        <w:tc>
          <w:tcPr>
            <w:tcW w:w="851" w:type="dxa"/>
            <w:tcBorders>
              <w:right w:val="single" w:color="auto" w:sz="4" w:space="0"/>
            </w:tcBorders>
            <w:noWrap w:val="0"/>
            <w:vAlign w:val="top"/>
          </w:tcPr>
          <w:p>
            <w:pPr>
              <w:spacing w:line="360" w:lineRule="auto"/>
              <w:ind w:firstLine="420" w:firstLineChars="200"/>
              <w:rPr>
                <w:rFonts w:hint="eastAsia" w:ascii="宋体" w:hAnsi="宋体" w:cs="宋体"/>
              </w:rPr>
            </w:pPr>
          </w:p>
        </w:tc>
        <w:tc>
          <w:tcPr>
            <w:tcW w:w="738" w:type="dxa"/>
            <w:tcBorders>
              <w:left w:val="single" w:color="auto" w:sz="4" w:space="0"/>
            </w:tcBorders>
            <w:noWrap w:val="0"/>
            <w:vAlign w:val="top"/>
          </w:tcPr>
          <w:p>
            <w:pPr>
              <w:spacing w:line="360" w:lineRule="auto"/>
              <w:ind w:firstLine="420" w:firstLineChars="200"/>
              <w:rPr>
                <w:rFonts w:hint="eastAsia" w:ascii="宋体" w:hAnsi="宋体" w:cs="宋体"/>
              </w:rPr>
            </w:pPr>
          </w:p>
        </w:tc>
        <w:tc>
          <w:tcPr>
            <w:tcW w:w="718" w:type="dxa"/>
            <w:noWrap w:val="0"/>
            <w:vAlign w:val="top"/>
          </w:tcPr>
          <w:p>
            <w:pPr>
              <w:spacing w:line="360" w:lineRule="auto"/>
              <w:ind w:firstLine="420" w:firstLineChars="200"/>
              <w:rPr>
                <w:rFonts w:hint="eastAsia" w:ascii="宋体" w:hAnsi="宋体" w:cs="宋体"/>
              </w:rPr>
            </w:pPr>
          </w:p>
        </w:tc>
        <w:tc>
          <w:tcPr>
            <w:tcW w:w="438" w:type="dxa"/>
            <w:noWrap w:val="0"/>
            <w:vAlign w:val="top"/>
          </w:tcPr>
          <w:p>
            <w:pPr>
              <w:spacing w:line="360" w:lineRule="auto"/>
              <w:ind w:firstLine="420" w:firstLineChars="200"/>
              <w:rPr>
                <w:rFonts w:hint="eastAsia" w:ascii="宋体" w:hAnsi="宋体" w:cs="宋体"/>
              </w:rPr>
            </w:pPr>
          </w:p>
        </w:tc>
        <w:tc>
          <w:tcPr>
            <w:tcW w:w="944" w:type="dxa"/>
            <w:noWrap w:val="0"/>
            <w:vAlign w:val="top"/>
          </w:tcPr>
          <w:p>
            <w:pPr>
              <w:spacing w:line="360" w:lineRule="auto"/>
              <w:jc w:val="center"/>
              <w:rPr>
                <w:rFonts w:hint="eastAsia" w:ascii="宋体" w:hAnsi="宋体" w:cs="宋体"/>
              </w:rPr>
            </w:pPr>
            <w:r>
              <w:rPr>
                <w:rFonts w:hint="eastAsia" w:ascii="宋体" w:hAnsi="宋体" w:cs="宋体"/>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0" w:type="dxa"/>
            <w:noWrap w:val="0"/>
            <w:vAlign w:val="center"/>
          </w:tcPr>
          <w:p>
            <w:pPr>
              <w:spacing w:line="360" w:lineRule="auto"/>
              <w:jc w:val="center"/>
              <w:rPr>
                <w:rFonts w:hint="eastAsia" w:ascii="宋体" w:hAnsi="宋体" w:cs="宋体"/>
              </w:rPr>
            </w:pPr>
            <w:r>
              <w:rPr>
                <w:rFonts w:hint="eastAsia" w:ascii="宋体" w:hAnsi="宋体" w:cs="宋体"/>
              </w:rPr>
              <w:t>8</w:t>
            </w:r>
          </w:p>
        </w:tc>
        <w:tc>
          <w:tcPr>
            <w:tcW w:w="4485" w:type="dxa"/>
            <w:noWrap w:val="0"/>
            <w:vAlign w:val="top"/>
          </w:tcPr>
          <w:p>
            <w:pPr>
              <w:spacing w:line="360" w:lineRule="auto"/>
              <w:rPr>
                <w:rFonts w:hint="eastAsia" w:ascii="宋体" w:hAnsi="宋体" w:cs="宋体"/>
              </w:rPr>
            </w:pPr>
            <w:r>
              <w:rPr>
                <w:rFonts w:hint="eastAsia" w:ascii="宋体" w:hAnsi="宋体" w:cs="宋体"/>
              </w:rPr>
              <w:t>针对本工程的重点、难点和关键部分进行分析并阐明可行的施工组织方案</w:t>
            </w:r>
          </w:p>
        </w:tc>
        <w:tc>
          <w:tcPr>
            <w:tcW w:w="851" w:type="dxa"/>
            <w:tcBorders>
              <w:right w:val="single" w:color="auto" w:sz="4" w:space="0"/>
            </w:tcBorders>
            <w:noWrap w:val="0"/>
            <w:vAlign w:val="top"/>
          </w:tcPr>
          <w:p>
            <w:pPr>
              <w:spacing w:line="360" w:lineRule="auto"/>
              <w:ind w:firstLine="420" w:firstLineChars="200"/>
              <w:rPr>
                <w:rFonts w:hint="eastAsia" w:ascii="宋体" w:hAnsi="宋体" w:cs="宋体"/>
              </w:rPr>
            </w:pPr>
          </w:p>
        </w:tc>
        <w:tc>
          <w:tcPr>
            <w:tcW w:w="738" w:type="dxa"/>
            <w:tcBorders>
              <w:left w:val="single" w:color="auto" w:sz="4" w:space="0"/>
            </w:tcBorders>
            <w:noWrap w:val="0"/>
            <w:vAlign w:val="top"/>
          </w:tcPr>
          <w:p>
            <w:pPr>
              <w:spacing w:line="360" w:lineRule="auto"/>
              <w:ind w:firstLine="420" w:firstLineChars="200"/>
              <w:rPr>
                <w:rFonts w:hint="eastAsia" w:ascii="宋体" w:hAnsi="宋体" w:cs="宋体"/>
              </w:rPr>
            </w:pPr>
          </w:p>
        </w:tc>
        <w:tc>
          <w:tcPr>
            <w:tcW w:w="718" w:type="dxa"/>
            <w:noWrap w:val="0"/>
            <w:vAlign w:val="top"/>
          </w:tcPr>
          <w:p>
            <w:pPr>
              <w:spacing w:line="360" w:lineRule="auto"/>
              <w:ind w:firstLine="420" w:firstLineChars="200"/>
              <w:rPr>
                <w:rFonts w:ascii="宋体" w:hAnsi="宋体" w:cs="宋体"/>
              </w:rPr>
            </w:pPr>
          </w:p>
        </w:tc>
        <w:tc>
          <w:tcPr>
            <w:tcW w:w="438" w:type="dxa"/>
            <w:noWrap w:val="0"/>
            <w:vAlign w:val="top"/>
          </w:tcPr>
          <w:p>
            <w:pPr>
              <w:spacing w:line="360" w:lineRule="auto"/>
              <w:ind w:firstLine="420" w:firstLineChars="200"/>
              <w:rPr>
                <w:rFonts w:hint="eastAsia" w:ascii="宋体" w:hAnsi="宋体" w:cs="宋体"/>
              </w:rPr>
            </w:pPr>
          </w:p>
        </w:tc>
        <w:tc>
          <w:tcPr>
            <w:tcW w:w="944" w:type="dxa"/>
            <w:noWrap w:val="0"/>
            <w:vAlign w:val="top"/>
          </w:tcPr>
          <w:p>
            <w:pPr>
              <w:spacing w:line="360" w:lineRule="auto"/>
              <w:jc w:val="center"/>
              <w:rPr>
                <w:rFonts w:hint="eastAsia" w:ascii="宋体" w:hAnsi="宋体" w:cs="宋体"/>
              </w:rPr>
            </w:pPr>
            <w:r>
              <w:rPr>
                <w:rFonts w:hint="eastAsia" w:ascii="宋体" w:hAnsi="宋体" w:cs="宋体"/>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0" w:type="dxa"/>
            <w:noWrap w:val="0"/>
            <w:vAlign w:val="top"/>
          </w:tcPr>
          <w:p>
            <w:pPr>
              <w:spacing w:line="360" w:lineRule="auto"/>
              <w:jc w:val="center"/>
              <w:rPr>
                <w:rFonts w:hint="eastAsia" w:ascii="宋体" w:hAnsi="宋体" w:cs="宋体"/>
              </w:rPr>
            </w:pPr>
            <w:r>
              <w:rPr>
                <w:rFonts w:hint="eastAsia" w:ascii="宋体" w:hAnsi="宋体" w:cs="宋体"/>
              </w:rPr>
              <w:t>9</w:t>
            </w:r>
          </w:p>
        </w:tc>
        <w:tc>
          <w:tcPr>
            <w:tcW w:w="4485" w:type="dxa"/>
            <w:noWrap w:val="0"/>
            <w:vAlign w:val="top"/>
          </w:tcPr>
          <w:p>
            <w:pPr>
              <w:spacing w:line="360" w:lineRule="auto"/>
              <w:rPr>
                <w:rFonts w:hint="eastAsia" w:ascii="宋体" w:hAnsi="宋体" w:cs="宋体"/>
              </w:rPr>
            </w:pPr>
            <w:r>
              <w:rPr>
                <w:rFonts w:hint="eastAsia" w:ascii="宋体" w:hAnsi="宋体" w:cs="宋体"/>
              </w:rPr>
              <w:t>投标人陈述和答辩</w:t>
            </w:r>
          </w:p>
        </w:tc>
        <w:tc>
          <w:tcPr>
            <w:tcW w:w="851" w:type="dxa"/>
            <w:tcBorders>
              <w:right w:val="single" w:color="auto" w:sz="4" w:space="0"/>
            </w:tcBorders>
            <w:noWrap w:val="0"/>
            <w:vAlign w:val="top"/>
          </w:tcPr>
          <w:p>
            <w:pPr>
              <w:spacing w:line="360" w:lineRule="auto"/>
              <w:ind w:firstLine="420" w:firstLineChars="200"/>
              <w:rPr>
                <w:rFonts w:hint="eastAsia" w:ascii="宋体" w:hAnsi="宋体" w:cs="宋体"/>
              </w:rPr>
            </w:pPr>
          </w:p>
        </w:tc>
        <w:tc>
          <w:tcPr>
            <w:tcW w:w="738" w:type="dxa"/>
            <w:tcBorders>
              <w:left w:val="single" w:color="auto" w:sz="4" w:space="0"/>
            </w:tcBorders>
            <w:noWrap w:val="0"/>
            <w:vAlign w:val="top"/>
          </w:tcPr>
          <w:p>
            <w:pPr>
              <w:spacing w:line="360" w:lineRule="auto"/>
              <w:ind w:firstLine="420" w:firstLineChars="200"/>
              <w:rPr>
                <w:rFonts w:hint="eastAsia" w:ascii="宋体" w:hAnsi="宋体" w:cs="宋体"/>
              </w:rPr>
            </w:pPr>
          </w:p>
        </w:tc>
        <w:tc>
          <w:tcPr>
            <w:tcW w:w="718" w:type="dxa"/>
            <w:noWrap w:val="0"/>
            <w:vAlign w:val="top"/>
          </w:tcPr>
          <w:p>
            <w:pPr>
              <w:spacing w:line="360" w:lineRule="auto"/>
              <w:ind w:firstLine="420" w:firstLineChars="200"/>
              <w:rPr>
                <w:rFonts w:hint="eastAsia" w:ascii="宋体" w:hAnsi="宋体" w:cs="宋体"/>
              </w:rPr>
            </w:pPr>
          </w:p>
        </w:tc>
        <w:tc>
          <w:tcPr>
            <w:tcW w:w="438" w:type="dxa"/>
            <w:noWrap w:val="0"/>
            <w:vAlign w:val="top"/>
          </w:tcPr>
          <w:p>
            <w:pPr>
              <w:spacing w:line="360" w:lineRule="auto"/>
              <w:ind w:firstLine="420" w:firstLineChars="200"/>
              <w:rPr>
                <w:rFonts w:hint="eastAsia" w:ascii="宋体" w:hAnsi="宋体" w:cs="宋体"/>
              </w:rPr>
            </w:pPr>
          </w:p>
        </w:tc>
        <w:tc>
          <w:tcPr>
            <w:tcW w:w="944" w:type="dxa"/>
            <w:noWrap w:val="0"/>
            <w:vAlign w:val="top"/>
          </w:tcPr>
          <w:p>
            <w:pPr>
              <w:spacing w:line="360" w:lineRule="auto"/>
              <w:ind w:firstLine="420" w:firstLineChars="200"/>
              <w:rPr>
                <w:rFonts w:hint="eastAsia"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64" w:type="dxa"/>
            <w:gridSpan w:val="7"/>
            <w:noWrap w:val="0"/>
            <w:vAlign w:val="top"/>
          </w:tcPr>
          <w:p>
            <w:pPr>
              <w:spacing w:line="360" w:lineRule="auto"/>
              <w:rPr>
                <w:rFonts w:hint="eastAsia" w:ascii="宋体" w:hAnsi="宋体" w:cs="宋体"/>
              </w:rPr>
            </w:pPr>
            <w:r>
              <w:rPr>
                <w:rFonts w:hint="eastAsia" w:ascii="宋体" w:hAnsi="宋体" w:cs="宋体"/>
              </w:rPr>
              <w:t>备注：</w:t>
            </w:r>
          </w:p>
          <w:p>
            <w:pPr>
              <w:spacing w:line="360" w:lineRule="auto"/>
              <w:rPr>
                <w:rFonts w:hint="eastAsia" w:ascii="宋体" w:hAnsi="宋体" w:cs="宋体"/>
              </w:rPr>
            </w:pPr>
            <w:r>
              <w:rPr>
                <w:rFonts w:hint="eastAsia" w:ascii="宋体" w:hAnsi="宋体" w:cs="宋体"/>
              </w:rPr>
              <w:t>（1）招标人可根据招标项目的实际需求设置1-9项，每单项的分值不超过5分。</w:t>
            </w:r>
          </w:p>
          <w:p>
            <w:pPr>
              <w:spacing w:line="360" w:lineRule="auto"/>
              <w:rPr>
                <w:rFonts w:hint="eastAsia" w:ascii="宋体" w:hAnsi="宋体" w:eastAsia="宋体" w:cs="宋体"/>
                <w:lang w:eastAsia="zh-CN"/>
              </w:rPr>
            </w:pPr>
            <w:r>
              <w:rPr>
                <w:rFonts w:hint="eastAsia" w:ascii="宋体" w:hAnsi="宋体" w:cs="宋体"/>
              </w:rPr>
              <w:t>（2）各单项的分值分为“好、一般、差和缺实质性内容”四档，得分值一般分别按（0.9-1.0]*分值、(0.6-0.9]*分值、（0.4-0.6]*分值和</w:t>
            </w:r>
            <w:r>
              <w:rPr>
                <w:rFonts w:ascii="宋体" w:hAnsi="宋体" w:cs="宋体"/>
              </w:rPr>
              <w:t>0</w:t>
            </w:r>
            <w:r>
              <w:rPr>
                <w:rFonts w:hint="eastAsia" w:ascii="宋体" w:hAnsi="宋体" w:cs="宋体"/>
              </w:rPr>
              <w:t>分，上限值包含本数，下限值不包含本数。</w:t>
            </w:r>
          </w:p>
          <w:p>
            <w:pPr>
              <w:spacing w:line="360" w:lineRule="auto"/>
              <w:rPr>
                <w:rFonts w:hint="eastAsia" w:ascii="宋体" w:hAnsi="宋体" w:cs="宋体"/>
              </w:rPr>
            </w:pPr>
            <w:r>
              <w:rPr>
                <w:rFonts w:hint="eastAsia" w:ascii="宋体" w:hAnsi="宋体" w:cs="宋体"/>
              </w:rPr>
              <w:t>（3）单项分值确认为好或差的，评标专家必须在打分资料中说明理由。</w:t>
            </w:r>
          </w:p>
          <w:p>
            <w:pPr>
              <w:spacing w:line="360" w:lineRule="auto"/>
              <w:rPr>
                <w:rFonts w:hint="eastAsia" w:ascii="宋体" w:hAnsi="宋体" w:cs="宋体"/>
              </w:rPr>
            </w:pPr>
            <w:r>
              <w:rPr>
                <w:rFonts w:hint="eastAsia" w:ascii="宋体" w:hAnsi="宋体" w:cs="宋体"/>
              </w:rPr>
              <w:t>（4）招标人可根据招标项目的实际需求要求投标人陈述和答辩，陈述和答辩具体要求见投标须知前附表，分值一般不超过5分；其余技术标打分条款由招标人根据项目实际情况进行设置，技术标总分设置不超过30分。</w:t>
            </w:r>
          </w:p>
        </w:tc>
      </w:tr>
    </w:tbl>
    <w:p>
      <w:pPr>
        <w:snapToGrid w:val="0"/>
        <w:spacing w:line="360" w:lineRule="auto"/>
        <w:ind w:firstLine="421" w:firstLineChars="200"/>
        <w:outlineLvl w:val="2"/>
        <w:rPr>
          <w:rFonts w:hint="eastAsia" w:ascii="宋体" w:hAnsi="宋体" w:cs="Times New Roman"/>
          <w:b/>
          <w:lang w:val="en-US" w:eastAsia="zh-CN"/>
        </w:rPr>
      </w:pPr>
    </w:p>
    <w:p>
      <w:pPr>
        <w:snapToGrid w:val="0"/>
        <w:spacing w:line="360" w:lineRule="auto"/>
        <w:ind w:firstLine="421" w:firstLineChars="200"/>
        <w:outlineLvl w:val="2"/>
        <w:rPr>
          <w:rFonts w:hint="eastAsia" w:ascii="宋体" w:hAnsi="宋体" w:eastAsia="宋体" w:cs="Times New Roman"/>
          <w:b/>
          <w:lang w:val="en-US"/>
        </w:rPr>
      </w:pPr>
      <w:r>
        <w:rPr>
          <w:rFonts w:hint="eastAsia" w:ascii="宋体" w:hAnsi="宋体" w:cs="Times New Roman"/>
          <w:b/>
          <w:lang w:val="en-US" w:eastAsia="zh-CN"/>
        </w:rPr>
        <w:t>七</w:t>
      </w:r>
      <w:r>
        <w:rPr>
          <w:rFonts w:hint="eastAsia" w:ascii="宋体" w:hAnsi="宋体" w:eastAsia="宋体" w:cs="Times New Roman"/>
          <w:b/>
        </w:rPr>
        <w:t>、</w:t>
      </w:r>
      <w:r>
        <w:rPr>
          <w:rFonts w:hint="eastAsia" w:ascii="宋体" w:hAnsi="宋体" w:eastAsia="宋体" w:cs="Times New Roman"/>
          <w:b/>
          <w:lang w:val="en-US"/>
        </w:rPr>
        <w:t>投标人</w:t>
      </w:r>
      <w:r>
        <w:rPr>
          <w:rFonts w:hint="eastAsia" w:ascii="宋体" w:hAnsi="宋体" w:cs="Times New Roman"/>
          <w:b/>
          <w:lang w:val="en-US" w:eastAsia="zh-CN"/>
        </w:rPr>
        <w:t>资信</w:t>
      </w:r>
      <w:r>
        <w:rPr>
          <w:rFonts w:hint="eastAsia" w:ascii="宋体" w:hAnsi="宋体" w:eastAsia="宋体" w:cs="Times New Roman"/>
          <w:b/>
          <w:lang w:val="en-US"/>
        </w:rPr>
        <w:t>评分（满分</w:t>
      </w:r>
      <w:r>
        <w:rPr>
          <w:rFonts w:hint="eastAsia" w:ascii="宋体" w:hAnsi="宋体" w:cs="Times New Roman"/>
          <w:b/>
          <w:lang w:val="en-US" w:eastAsia="zh-CN"/>
        </w:rPr>
        <w:t>6</w:t>
      </w:r>
      <w:r>
        <w:rPr>
          <w:rFonts w:hint="eastAsia" w:ascii="宋体" w:hAnsi="宋体" w:eastAsia="宋体" w:cs="Times New Roman"/>
          <w:b/>
          <w:lang w:val="en-US"/>
        </w:rPr>
        <w:t>分）</w:t>
      </w:r>
    </w:p>
    <w:p>
      <w:pPr>
        <w:pStyle w:val="12"/>
        <w:tabs>
          <w:tab w:val="left" w:pos="453"/>
        </w:tabs>
        <w:spacing w:line="360" w:lineRule="auto"/>
        <w:ind w:firstLine="420" w:firstLineChars="200"/>
        <w:rPr>
          <w:rFonts w:hint="eastAsia" w:cs="宋体"/>
          <w:color w:val="auto"/>
          <w:sz w:val="21"/>
          <w:szCs w:val="21"/>
          <w:highlight w:val="none"/>
          <w:lang w:val="en-US"/>
        </w:rPr>
      </w:pPr>
      <w:r>
        <w:rPr>
          <w:rFonts w:hint="eastAsia" w:cs="宋体"/>
          <w:color w:val="auto"/>
          <w:sz w:val="21"/>
          <w:szCs w:val="21"/>
          <w:highlight w:val="none"/>
          <w:lang w:val="en-US" w:eastAsia="zh-CN"/>
        </w:rPr>
        <w:t>1.</w:t>
      </w:r>
      <w:r>
        <w:rPr>
          <w:rFonts w:hint="eastAsia" w:cs="宋体"/>
          <w:color w:val="auto"/>
          <w:sz w:val="21"/>
          <w:szCs w:val="21"/>
          <w:highlight w:val="none"/>
          <w:lang w:val="en-US"/>
        </w:rPr>
        <w:t>投标人及项目负责人不良信用信息扣分（</w:t>
      </w:r>
      <w:r>
        <w:rPr>
          <w:rFonts w:hint="eastAsia" w:cs="宋体"/>
          <w:color w:val="auto"/>
          <w:sz w:val="21"/>
          <w:szCs w:val="21"/>
          <w:highlight w:val="none"/>
          <w:lang w:val="en-US" w:eastAsia="zh-CN"/>
        </w:rPr>
        <w:t>2分</w:t>
      </w:r>
      <w:r>
        <w:rPr>
          <w:rFonts w:hint="eastAsia" w:cs="宋体"/>
          <w:color w:val="auto"/>
          <w:sz w:val="21"/>
          <w:szCs w:val="21"/>
          <w:highlight w:val="none"/>
          <w:lang w:val="en-US"/>
        </w:rPr>
        <w:t>）。</w:t>
      </w:r>
    </w:p>
    <w:p>
      <w:pPr>
        <w:pStyle w:val="12"/>
        <w:tabs>
          <w:tab w:val="left" w:pos="9360"/>
        </w:tabs>
        <w:spacing w:line="360" w:lineRule="auto"/>
        <w:ind w:firstLine="420" w:firstLineChars="200"/>
        <w:rPr>
          <w:rFonts w:cs="宋体"/>
          <w:color w:val="auto"/>
          <w:sz w:val="21"/>
          <w:szCs w:val="21"/>
          <w:lang w:val="en-US"/>
        </w:rPr>
      </w:pPr>
      <w:r>
        <w:rPr>
          <w:rFonts w:hint="eastAsia" w:cs="宋体"/>
          <w:color w:val="auto"/>
          <w:sz w:val="21"/>
          <w:szCs w:val="21"/>
          <w:lang w:val="en-US"/>
        </w:rPr>
        <w:t>评标委员会通过审查投标人投标文件递交的材料对投标人进行信用打分：</w:t>
      </w:r>
    </w:p>
    <w:p>
      <w:pPr>
        <w:pStyle w:val="12"/>
        <w:tabs>
          <w:tab w:val="left" w:pos="9360"/>
        </w:tabs>
        <w:spacing w:line="360" w:lineRule="auto"/>
        <w:ind w:firstLine="420" w:firstLineChars="200"/>
        <w:rPr>
          <w:rFonts w:hint="eastAsia" w:cs="宋体"/>
          <w:color w:val="auto"/>
          <w:sz w:val="21"/>
          <w:szCs w:val="21"/>
          <w:lang w:val="en-US"/>
        </w:rPr>
      </w:pPr>
      <w:r>
        <w:rPr>
          <w:rFonts w:hint="eastAsia" w:cs="宋体"/>
          <w:color w:val="auto"/>
          <w:sz w:val="21"/>
          <w:szCs w:val="21"/>
          <w:highlight w:val="none"/>
          <w:lang w:val="en-US"/>
        </w:rPr>
        <w:t>（a）投标人或参与本项目投标的项目负责人在投标截止时间有</w:t>
      </w:r>
      <w:r>
        <w:rPr>
          <w:rFonts w:hint="eastAsia" w:cs="宋体"/>
          <w:color w:val="auto"/>
          <w:sz w:val="21"/>
          <w:szCs w:val="21"/>
          <w:highlight w:val="none"/>
          <w:lang w:val="en-US" w:eastAsia="zh-CN"/>
        </w:rPr>
        <w:t>公布期</w:t>
      </w:r>
      <w:r>
        <w:rPr>
          <w:rFonts w:hint="eastAsia" w:cs="宋体"/>
          <w:color w:val="auto"/>
          <w:sz w:val="21"/>
          <w:szCs w:val="21"/>
          <w:highlight w:val="none"/>
          <w:lang w:val="en-US"/>
        </w:rPr>
        <w:t>的建筑市场不良信用信息的扣</w:t>
      </w:r>
      <w:r>
        <w:rPr>
          <w:rFonts w:hint="eastAsia" w:cs="宋体"/>
          <w:color w:val="auto"/>
          <w:sz w:val="21"/>
          <w:szCs w:val="21"/>
          <w:highlight w:val="none"/>
          <w:lang w:val="en-US" w:eastAsia="zh-CN"/>
        </w:rPr>
        <w:t>2</w:t>
      </w:r>
      <w:r>
        <w:rPr>
          <w:rFonts w:hint="eastAsia" w:cs="宋体"/>
          <w:color w:val="auto"/>
          <w:sz w:val="21"/>
          <w:szCs w:val="21"/>
          <w:highlight w:val="none"/>
          <w:lang w:val="en-US"/>
        </w:rPr>
        <w:t>分。（建筑</w:t>
      </w:r>
      <w:r>
        <w:rPr>
          <w:rFonts w:hint="eastAsia" w:cs="宋体"/>
          <w:color w:val="auto"/>
          <w:sz w:val="21"/>
          <w:szCs w:val="21"/>
          <w:lang w:val="en-US"/>
        </w:rPr>
        <w:t>市场不良信用信息以县（区）级及以上建设行政管理部门发布的信息为准）</w:t>
      </w:r>
    </w:p>
    <w:p>
      <w:pPr>
        <w:pStyle w:val="12"/>
        <w:tabs>
          <w:tab w:val="left" w:pos="9360"/>
        </w:tabs>
        <w:spacing w:line="360" w:lineRule="auto"/>
        <w:ind w:firstLine="420" w:firstLineChars="200"/>
        <w:rPr>
          <w:rFonts w:hint="default" w:cs="宋体"/>
          <w:color w:val="auto"/>
          <w:sz w:val="21"/>
          <w:szCs w:val="21"/>
          <w:lang w:val="en-US" w:eastAsia="zh-CN"/>
        </w:rPr>
      </w:pPr>
      <w:r>
        <w:rPr>
          <w:rFonts w:hint="eastAsia" w:cs="宋体"/>
          <w:color w:val="auto"/>
          <w:sz w:val="21"/>
          <w:szCs w:val="21"/>
          <w:lang w:val="en-US"/>
        </w:rPr>
        <w:t>（b）投标人或参与本项目投标的项目负责人</w:t>
      </w:r>
      <w:r>
        <w:rPr>
          <w:rFonts w:hint="eastAsia" w:cs="宋体"/>
          <w:color w:val="auto"/>
          <w:sz w:val="21"/>
          <w:szCs w:val="21"/>
          <w:lang w:val="en-US" w:eastAsia="zh-CN"/>
        </w:rPr>
        <w:t>半年</w:t>
      </w:r>
      <w:r>
        <w:rPr>
          <w:rFonts w:hint="eastAsia" w:ascii="Times New Roman"/>
          <w:color w:val="auto"/>
          <w:sz w:val="21"/>
          <w:szCs w:val="21"/>
          <w:lang w:val="en-US"/>
        </w:rPr>
        <w:t>内</w:t>
      </w:r>
      <w:r>
        <w:rPr>
          <w:rFonts w:hint="eastAsia" w:cs="宋体"/>
          <w:color w:val="auto"/>
          <w:sz w:val="21"/>
          <w:szCs w:val="21"/>
          <w:lang w:val="en-US"/>
        </w:rPr>
        <w:t>被县（区）级及以上建设行政管理部门行政处罚的扣</w:t>
      </w:r>
      <w:r>
        <w:rPr>
          <w:rFonts w:hint="eastAsia" w:cs="宋体"/>
          <w:color w:val="auto"/>
          <w:sz w:val="21"/>
          <w:szCs w:val="21"/>
          <w:lang w:val="en-US" w:eastAsia="zh-CN"/>
        </w:rPr>
        <w:t>2</w:t>
      </w:r>
      <w:r>
        <w:rPr>
          <w:rFonts w:hint="eastAsia" w:cs="宋体"/>
          <w:color w:val="auto"/>
          <w:sz w:val="21"/>
          <w:szCs w:val="21"/>
          <w:lang w:val="en-US"/>
        </w:rPr>
        <w:t>分。</w:t>
      </w:r>
      <w:r>
        <w:rPr>
          <w:rFonts w:hint="eastAsia" w:ascii="Times New Roman"/>
          <w:color w:val="auto"/>
          <w:sz w:val="21"/>
          <w:szCs w:val="21"/>
          <w:lang w:val="en-US"/>
        </w:rPr>
        <w:t>（自投标截止</w:t>
      </w:r>
      <w:r>
        <w:rPr>
          <w:rFonts w:hint="eastAsia" w:ascii="Times New Roman"/>
          <w:color w:val="auto"/>
          <w:sz w:val="21"/>
          <w:szCs w:val="21"/>
          <w:highlight w:val="none"/>
          <w:lang w:val="en-US"/>
        </w:rPr>
        <w:t>日起上溯</w:t>
      </w:r>
      <w:r>
        <w:rPr>
          <w:rFonts w:hint="eastAsia" w:ascii="Times New Roman"/>
          <w:color w:val="auto"/>
          <w:sz w:val="21"/>
          <w:szCs w:val="21"/>
          <w:highlight w:val="none"/>
          <w:lang w:val="en-US" w:eastAsia="zh-CN"/>
        </w:rPr>
        <w:t>半年</w:t>
      </w:r>
      <w:r>
        <w:rPr>
          <w:rFonts w:hint="eastAsia" w:ascii="Times New Roman"/>
          <w:color w:val="auto"/>
          <w:sz w:val="21"/>
          <w:szCs w:val="21"/>
          <w:highlight w:val="none"/>
          <w:lang w:val="en-US"/>
        </w:rPr>
        <w:t>，以</w:t>
      </w:r>
      <w:r>
        <w:rPr>
          <w:rFonts w:hint="eastAsia" w:ascii="Times New Roman"/>
          <w:color w:val="auto"/>
          <w:sz w:val="21"/>
          <w:szCs w:val="21"/>
          <w:lang w:val="en-US"/>
        </w:rPr>
        <w:t>处罚文件发文时间为准</w:t>
      </w:r>
      <w:r>
        <w:rPr>
          <w:rFonts w:hint="eastAsia" w:ascii="Times New Roman"/>
          <w:color w:val="auto"/>
          <w:sz w:val="21"/>
          <w:szCs w:val="21"/>
          <w:lang w:val="en-US" w:eastAsia="zh-CN"/>
        </w:rPr>
        <w:t>。同一事件如已被建设行政管理部门列入不良信用信息进行公示的，以不良信用信息公布的公示期限为准</w:t>
      </w:r>
      <w:r>
        <w:rPr>
          <w:rFonts w:hint="eastAsia" w:ascii="Times New Roman"/>
          <w:color w:val="auto"/>
          <w:sz w:val="21"/>
          <w:szCs w:val="21"/>
          <w:lang w:val="en-US"/>
        </w:rPr>
        <w:t>）</w:t>
      </w:r>
    </w:p>
    <w:p>
      <w:pPr>
        <w:pStyle w:val="12"/>
        <w:tabs>
          <w:tab w:val="left" w:pos="9360"/>
        </w:tabs>
        <w:spacing w:line="360" w:lineRule="auto"/>
        <w:ind w:firstLine="480"/>
        <w:rPr>
          <w:rFonts w:hint="eastAsia" w:cs="宋体"/>
          <w:color w:val="auto"/>
          <w:sz w:val="21"/>
          <w:szCs w:val="21"/>
          <w:highlight w:val="none"/>
          <w:lang w:val="en-US" w:eastAsia="zh-CN"/>
        </w:rPr>
      </w:pPr>
      <w:r>
        <w:rPr>
          <w:rFonts w:hint="eastAsia" w:cs="宋体"/>
          <w:color w:val="auto"/>
          <w:sz w:val="21"/>
          <w:szCs w:val="21"/>
          <w:highlight w:val="none"/>
          <w:lang w:val="en-US" w:eastAsia="zh-CN"/>
        </w:rPr>
        <w:t>2.项目负责人信用分（2分）</w:t>
      </w:r>
    </w:p>
    <w:p>
      <w:pPr>
        <w:pStyle w:val="12"/>
        <w:tabs>
          <w:tab w:val="left" w:pos="9360"/>
        </w:tabs>
        <w:spacing w:line="360" w:lineRule="auto"/>
        <w:ind w:firstLine="480"/>
        <w:rPr>
          <w:rFonts w:hint="eastAsia" w:cs="宋体"/>
          <w:color w:val="auto"/>
          <w:sz w:val="21"/>
          <w:szCs w:val="21"/>
          <w:highlight w:val="none"/>
          <w:lang w:val="en-US" w:eastAsia="zh-CN"/>
        </w:rPr>
      </w:pPr>
      <w:r>
        <w:rPr>
          <w:rFonts w:hint="eastAsia" w:cs="宋体"/>
          <w:color w:val="auto"/>
          <w:sz w:val="21"/>
          <w:szCs w:val="21"/>
          <w:highlight w:val="none"/>
          <w:lang w:val="en-US" w:eastAsia="zh-CN"/>
        </w:rPr>
        <w:t>根据项目负责人的信用等级进行打分（此项待项目负责人信用评价细则出台后实施，未实施前均得满分）。</w:t>
      </w:r>
    </w:p>
    <w:p>
      <w:pPr>
        <w:pStyle w:val="12"/>
        <w:tabs>
          <w:tab w:val="left" w:pos="9360"/>
        </w:tabs>
        <w:spacing w:line="360" w:lineRule="auto"/>
        <w:ind w:firstLine="480"/>
        <w:rPr>
          <w:rFonts w:hint="eastAsia" w:cs="宋体"/>
          <w:color w:val="auto"/>
          <w:sz w:val="21"/>
          <w:szCs w:val="21"/>
          <w:highlight w:val="yellow"/>
          <w:lang w:val="en-US" w:eastAsia="zh-CN"/>
        </w:rPr>
      </w:pPr>
      <w:r>
        <w:rPr>
          <w:rFonts w:hint="eastAsia" w:cs="宋体"/>
          <w:color w:val="auto"/>
          <w:sz w:val="21"/>
          <w:szCs w:val="21"/>
          <w:highlight w:val="none"/>
          <w:lang w:val="en-US" w:eastAsia="zh-CN"/>
        </w:rPr>
        <w:t>3.投标人类似项目经验（2分）</w:t>
      </w:r>
    </w:p>
    <w:tbl>
      <w:tblPr>
        <w:tblStyle w:val="10"/>
        <w:tblW w:w="8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3369"/>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04" w:type="dxa"/>
            <w:vMerge w:val="restart"/>
          </w:tcPr>
          <w:p>
            <w:pPr>
              <w:pStyle w:val="12"/>
              <w:widowControl w:val="0"/>
              <w:numPr>
                <w:ilvl w:val="0"/>
                <w:numId w:val="0"/>
              </w:numPr>
              <w:tabs>
                <w:tab w:val="left" w:pos="9360"/>
              </w:tabs>
              <w:spacing w:line="240" w:lineRule="auto"/>
              <w:jc w:val="both"/>
              <w:rPr>
                <w:rFonts w:hint="eastAsia" w:cs="宋体"/>
                <w:color w:val="auto"/>
                <w:sz w:val="21"/>
                <w:szCs w:val="21"/>
                <w:highlight w:val="none"/>
                <w:vertAlign w:val="baseline"/>
                <w:lang w:val="en-US" w:eastAsia="zh-CN"/>
              </w:rPr>
            </w:pPr>
          </w:p>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投标人类似项目程经验</w:t>
            </w:r>
          </w:p>
        </w:tc>
        <w:tc>
          <w:tcPr>
            <w:tcW w:w="3369" w:type="dxa"/>
            <w:vMerge w:val="restart"/>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u w:val="single"/>
                <w:vertAlign w:val="baseline"/>
                <w:lang w:val="en-US" w:eastAsia="zh-CN"/>
              </w:rPr>
              <w:t xml:space="preserve"> </w:t>
            </w:r>
            <w:r>
              <w:rPr>
                <w:rFonts w:hint="eastAsia" w:cs="宋体"/>
                <w:color w:val="auto"/>
                <w:sz w:val="21"/>
                <w:szCs w:val="21"/>
                <w:highlight w:val="none"/>
                <w:u w:val="single"/>
                <w:vertAlign w:val="baseline"/>
                <w:lang w:val="en-US" w:eastAsia="zh-CN"/>
              </w:rPr>
              <w:t xml:space="preserve">  </w:t>
            </w:r>
            <w:r>
              <w:rPr>
                <w:rFonts w:hint="default" w:cs="宋体"/>
                <w:color w:val="auto"/>
                <w:sz w:val="21"/>
                <w:szCs w:val="21"/>
                <w:highlight w:val="none"/>
                <w:vertAlign w:val="baseline"/>
                <w:lang w:val="en-US" w:eastAsia="zh-CN"/>
              </w:rPr>
              <w:t>年</w:t>
            </w:r>
            <w:r>
              <w:rPr>
                <w:rFonts w:hint="default" w:cs="宋体"/>
                <w:color w:val="auto"/>
                <w:sz w:val="21"/>
                <w:szCs w:val="21"/>
                <w:highlight w:val="none"/>
                <w:u w:val="single"/>
                <w:vertAlign w:val="baseline"/>
                <w:lang w:val="en-US" w:eastAsia="zh-CN"/>
              </w:rPr>
              <w:t xml:space="preserve">   </w:t>
            </w:r>
            <w:r>
              <w:rPr>
                <w:rFonts w:hint="default" w:cs="宋体"/>
                <w:color w:val="auto"/>
                <w:sz w:val="21"/>
                <w:szCs w:val="21"/>
                <w:highlight w:val="none"/>
                <w:vertAlign w:val="baseline"/>
                <w:lang w:val="en-US" w:eastAsia="zh-CN"/>
              </w:rPr>
              <w:t>月</w:t>
            </w:r>
            <w:r>
              <w:rPr>
                <w:rFonts w:hint="eastAsia" w:cs="宋体"/>
                <w:color w:val="auto"/>
                <w:sz w:val="21"/>
                <w:szCs w:val="21"/>
                <w:highlight w:val="none"/>
                <w:u w:val="single"/>
                <w:vertAlign w:val="baseline"/>
                <w:lang w:val="en-US" w:eastAsia="zh-CN"/>
              </w:rPr>
              <w:t xml:space="preserve">   </w:t>
            </w:r>
            <w:r>
              <w:rPr>
                <w:rFonts w:hint="default" w:cs="宋体"/>
                <w:color w:val="auto"/>
                <w:sz w:val="21"/>
                <w:szCs w:val="21"/>
                <w:highlight w:val="none"/>
                <w:vertAlign w:val="baseline"/>
                <w:lang w:val="en-US" w:eastAsia="zh-CN"/>
              </w:rPr>
              <w:t>日至今，</w:t>
            </w:r>
            <w:r>
              <w:rPr>
                <w:rFonts w:hint="eastAsia" w:cs="宋体"/>
                <w:color w:val="auto"/>
                <w:sz w:val="21"/>
                <w:szCs w:val="21"/>
                <w:highlight w:val="none"/>
                <w:vertAlign w:val="baseline"/>
                <w:lang w:val="en-US" w:eastAsia="zh-CN"/>
              </w:rPr>
              <w:t>投标人</w:t>
            </w:r>
            <w:r>
              <w:rPr>
                <w:rFonts w:hint="default" w:cs="宋体"/>
                <w:color w:val="auto"/>
                <w:sz w:val="21"/>
                <w:szCs w:val="21"/>
                <w:highlight w:val="none"/>
                <w:vertAlign w:val="baseline"/>
                <w:lang w:val="en-US" w:eastAsia="zh-CN"/>
              </w:rPr>
              <w:t>人完成过类似</w:t>
            </w:r>
            <w:r>
              <w:rPr>
                <w:rFonts w:hint="eastAsia" w:cs="宋体"/>
                <w:color w:val="auto"/>
                <w:sz w:val="21"/>
                <w:szCs w:val="21"/>
                <w:highlight w:val="none"/>
                <w:vertAlign w:val="baseline"/>
                <w:lang w:val="en-US" w:eastAsia="zh-CN"/>
              </w:rPr>
              <w:t>项目</w:t>
            </w:r>
            <w:r>
              <w:rPr>
                <w:rFonts w:hint="default" w:cs="宋体"/>
                <w:color w:val="auto"/>
                <w:sz w:val="21"/>
                <w:szCs w:val="21"/>
                <w:highlight w:val="none"/>
                <w:vertAlign w:val="baseline"/>
                <w:lang w:val="en-US" w:eastAsia="zh-CN"/>
              </w:rPr>
              <w:t>。</w:t>
            </w:r>
          </w:p>
          <w:p>
            <w:pPr>
              <w:pStyle w:val="12"/>
              <w:widowControl w:val="0"/>
              <w:numPr>
                <w:ilvl w:val="0"/>
                <w:numId w:val="0"/>
              </w:numPr>
              <w:tabs>
                <w:tab w:val="left" w:pos="9360"/>
              </w:tabs>
              <w:spacing w:line="240" w:lineRule="auto"/>
              <w:jc w:val="both"/>
              <w:rPr>
                <w:rFonts w:hint="default" w:cs="宋体"/>
                <w:color w:val="auto"/>
                <w:sz w:val="21"/>
                <w:szCs w:val="21"/>
                <w:highlight w:val="none"/>
                <w:u w:val="single"/>
                <w:vertAlign w:val="baseline"/>
                <w:lang w:val="en-US" w:eastAsia="zh-CN"/>
              </w:rPr>
            </w:pPr>
            <w:r>
              <w:rPr>
                <w:rFonts w:hint="eastAsia" w:cs="宋体"/>
                <w:color w:val="auto"/>
                <w:sz w:val="21"/>
                <w:szCs w:val="21"/>
                <w:highlight w:val="none"/>
                <w:vertAlign w:val="baseline"/>
                <w:lang w:val="en-US" w:eastAsia="zh-CN"/>
              </w:rPr>
              <w:t>类似项目指：</w:t>
            </w:r>
            <w:r>
              <w:rPr>
                <w:rFonts w:hint="eastAsia" w:cs="宋体"/>
                <w:color w:val="auto"/>
                <w:sz w:val="21"/>
                <w:szCs w:val="21"/>
                <w:highlight w:val="none"/>
                <w:u w:val="single"/>
                <w:vertAlign w:val="baseline"/>
                <w:lang w:val="en-US" w:eastAsia="zh-CN"/>
              </w:rPr>
              <w:t xml:space="preserve">         </w:t>
            </w:r>
          </w:p>
        </w:tc>
        <w:tc>
          <w:tcPr>
            <w:tcW w:w="3716" w:type="dxa"/>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vertAlign w:val="baseline"/>
                <w:lang w:val="en-US" w:eastAsia="zh-CN"/>
              </w:rPr>
              <w:t>达到招标项目相应规模</w:t>
            </w:r>
            <w:r>
              <w:rPr>
                <w:rFonts w:hint="eastAsia" w:cs="宋体"/>
                <w:color w:val="auto"/>
                <w:sz w:val="21"/>
                <w:szCs w:val="21"/>
                <w:highlight w:val="none"/>
                <w:vertAlign w:val="baseline"/>
                <w:lang w:val="en-US" w:eastAsia="zh-CN"/>
              </w:rPr>
              <w:t>80</w:t>
            </w:r>
            <w:r>
              <w:rPr>
                <w:rFonts w:hint="default" w:cs="宋体"/>
                <w:color w:val="auto"/>
                <w:sz w:val="21"/>
                <w:szCs w:val="21"/>
                <w:highlight w:val="none"/>
                <w:vertAlign w:val="baseline"/>
                <w:lang w:val="en-US" w:eastAsia="zh-CN"/>
              </w:rPr>
              <w:t>%，得</w:t>
            </w:r>
            <w:r>
              <w:rPr>
                <w:rFonts w:hint="eastAsia" w:cs="宋体"/>
                <w:color w:val="auto"/>
                <w:sz w:val="21"/>
                <w:szCs w:val="21"/>
                <w:highlight w:val="none"/>
                <w:vertAlign w:val="baseline"/>
                <w:lang w:val="en-US" w:eastAsia="zh-CN"/>
              </w:rPr>
              <w:t>2</w:t>
            </w:r>
            <w:r>
              <w:rPr>
                <w:rFonts w:hint="default" w:cs="宋体"/>
                <w:color w:val="auto"/>
                <w:sz w:val="21"/>
                <w:szCs w:val="21"/>
                <w:highlight w:val="none"/>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04" w:type="dxa"/>
            <w:vMerge w:val="continue"/>
          </w:tcPr>
          <w:p>
            <w:pPr>
              <w:pStyle w:val="12"/>
              <w:widowControl w:val="0"/>
              <w:tabs>
                <w:tab w:val="left" w:pos="9360"/>
              </w:tabs>
              <w:spacing w:line="240" w:lineRule="auto"/>
              <w:jc w:val="both"/>
              <w:rPr>
                <w:rFonts w:hint="default" w:cs="宋体"/>
                <w:color w:val="auto"/>
                <w:sz w:val="21"/>
                <w:szCs w:val="21"/>
                <w:highlight w:val="none"/>
                <w:vertAlign w:val="baseline"/>
                <w:lang w:val="en-US" w:eastAsia="zh-CN"/>
              </w:rPr>
            </w:pPr>
          </w:p>
        </w:tc>
        <w:tc>
          <w:tcPr>
            <w:tcW w:w="3369" w:type="dxa"/>
            <w:vMerge w:val="continue"/>
          </w:tcPr>
          <w:p>
            <w:pPr>
              <w:pStyle w:val="12"/>
              <w:widowControl w:val="0"/>
              <w:tabs>
                <w:tab w:val="left" w:pos="9360"/>
              </w:tabs>
              <w:spacing w:line="240" w:lineRule="auto"/>
              <w:jc w:val="both"/>
              <w:rPr>
                <w:rFonts w:hint="default" w:cs="宋体"/>
                <w:color w:val="auto"/>
                <w:sz w:val="21"/>
                <w:szCs w:val="21"/>
                <w:highlight w:val="none"/>
                <w:vertAlign w:val="baseline"/>
                <w:lang w:val="en-US" w:eastAsia="zh-CN"/>
              </w:rPr>
            </w:pPr>
          </w:p>
        </w:tc>
        <w:tc>
          <w:tcPr>
            <w:tcW w:w="3716" w:type="dxa"/>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vertAlign w:val="baseline"/>
                <w:lang w:val="en-US" w:eastAsia="zh-CN"/>
              </w:rPr>
              <w:t>达到招标项目相应规模</w:t>
            </w:r>
            <w:r>
              <w:rPr>
                <w:rFonts w:hint="eastAsia" w:cs="宋体"/>
                <w:color w:val="auto"/>
                <w:sz w:val="21"/>
                <w:szCs w:val="21"/>
                <w:highlight w:val="none"/>
                <w:vertAlign w:val="baseline"/>
                <w:lang w:val="en-US" w:eastAsia="zh-CN"/>
              </w:rPr>
              <w:t>5</w:t>
            </w:r>
            <w:r>
              <w:rPr>
                <w:rFonts w:hint="default" w:cs="宋体"/>
                <w:color w:val="auto"/>
                <w:sz w:val="21"/>
                <w:szCs w:val="21"/>
                <w:highlight w:val="none"/>
                <w:vertAlign w:val="baseline"/>
                <w:lang w:val="en-US" w:eastAsia="zh-CN"/>
              </w:rPr>
              <w:t>0%，得</w:t>
            </w:r>
            <w:r>
              <w:rPr>
                <w:rFonts w:hint="eastAsia" w:cs="宋体"/>
                <w:color w:val="auto"/>
                <w:sz w:val="21"/>
                <w:szCs w:val="21"/>
                <w:highlight w:val="none"/>
                <w:vertAlign w:val="baseline"/>
                <w:lang w:val="en-US" w:eastAsia="zh-CN"/>
              </w:rPr>
              <w:t>1.5</w:t>
            </w:r>
            <w:r>
              <w:rPr>
                <w:rFonts w:hint="default" w:cs="宋体"/>
                <w:color w:val="auto"/>
                <w:sz w:val="21"/>
                <w:szCs w:val="21"/>
                <w:highlight w:val="none"/>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04" w:type="dxa"/>
            <w:vMerge w:val="continue"/>
          </w:tcPr>
          <w:p>
            <w:pPr>
              <w:pStyle w:val="12"/>
              <w:widowControl w:val="0"/>
              <w:tabs>
                <w:tab w:val="left" w:pos="9360"/>
              </w:tabs>
              <w:spacing w:line="240" w:lineRule="auto"/>
              <w:jc w:val="both"/>
              <w:rPr>
                <w:rFonts w:hint="default" w:cs="宋体"/>
                <w:color w:val="auto"/>
                <w:sz w:val="21"/>
                <w:szCs w:val="21"/>
                <w:highlight w:val="none"/>
                <w:vertAlign w:val="baseline"/>
                <w:lang w:val="en-US" w:eastAsia="zh-CN"/>
              </w:rPr>
            </w:pPr>
          </w:p>
        </w:tc>
        <w:tc>
          <w:tcPr>
            <w:tcW w:w="3369" w:type="dxa"/>
            <w:vMerge w:val="continue"/>
          </w:tcPr>
          <w:p>
            <w:pPr>
              <w:pStyle w:val="12"/>
              <w:widowControl w:val="0"/>
              <w:tabs>
                <w:tab w:val="left" w:pos="9360"/>
              </w:tabs>
              <w:spacing w:line="240" w:lineRule="auto"/>
              <w:jc w:val="both"/>
              <w:rPr>
                <w:rFonts w:hint="default" w:cs="宋体"/>
                <w:color w:val="auto"/>
                <w:sz w:val="21"/>
                <w:szCs w:val="21"/>
                <w:highlight w:val="none"/>
                <w:vertAlign w:val="baseline"/>
                <w:lang w:val="en-US" w:eastAsia="zh-CN"/>
              </w:rPr>
            </w:pPr>
          </w:p>
        </w:tc>
        <w:tc>
          <w:tcPr>
            <w:tcW w:w="3716" w:type="dxa"/>
          </w:tcPr>
          <w:p>
            <w:pPr>
              <w:pStyle w:val="12"/>
              <w:widowControl w:val="0"/>
              <w:numPr>
                <w:ilvl w:val="0"/>
                <w:numId w:val="0"/>
              </w:numPr>
              <w:tabs>
                <w:tab w:val="left" w:pos="9360"/>
              </w:tabs>
              <w:spacing w:line="240" w:lineRule="auto"/>
              <w:jc w:val="both"/>
              <w:rPr>
                <w:rFonts w:hint="default" w:cs="宋体"/>
                <w:color w:val="auto"/>
                <w:sz w:val="21"/>
                <w:szCs w:val="21"/>
                <w:highlight w:val="none"/>
                <w:vertAlign w:val="baseline"/>
                <w:lang w:val="en-US" w:eastAsia="zh-CN"/>
              </w:rPr>
            </w:pPr>
            <w:r>
              <w:rPr>
                <w:rFonts w:hint="default" w:cs="宋体"/>
                <w:color w:val="auto"/>
                <w:sz w:val="21"/>
                <w:szCs w:val="21"/>
                <w:highlight w:val="none"/>
                <w:vertAlign w:val="baseline"/>
                <w:lang w:val="en-US" w:eastAsia="zh-CN"/>
              </w:rPr>
              <w:t>达到招标项目相应规模</w:t>
            </w:r>
            <w:r>
              <w:rPr>
                <w:rFonts w:hint="eastAsia" w:cs="宋体"/>
                <w:color w:val="auto"/>
                <w:sz w:val="21"/>
                <w:szCs w:val="21"/>
                <w:highlight w:val="none"/>
                <w:vertAlign w:val="baseline"/>
                <w:lang w:val="en-US" w:eastAsia="zh-CN"/>
              </w:rPr>
              <w:t>2</w:t>
            </w:r>
            <w:r>
              <w:rPr>
                <w:rFonts w:hint="default" w:cs="宋体"/>
                <w:color w:val="auto"/>
                <w:sz w:val="21"/>
                <w:szCs w:val="21"/>
                <w:highlight w:val="none"/>
                <w:vertAlign w:val="baseline"/>
                <w:lang w:val="en-US" w:eastAsia="zh-CN"/>
              </w:rPr>
              <w:t>0%，得</w:t>
            </w:r>
            <w:r>
              <w:rPr>
                <w:rFonts w:hint="eastAsia" w:cs="宋体"/>
                <w:color w:val="auto"/>
                <w:sz w:val="21"/>
                <w:szCs w:val="21"/>
                <w:highlight w:val="none"/>
                <w:vertAlign w:val="baseline"/>
                <w:lang w:val="en-US" w:eastAsia="zh-CN"/>
              </w:rPr>
              <w:t>1</w:t>
            </w:r>
            <w:r>
              <w:rPr>
                <w:rFonts w:hint="default" w:cs="宋体"/>
                <w:color w:val="auto"/>
                <w:sz w:val="21"/>
                <w:szCs w:val="21"/>
                <w:highlight w:val="none"/>
                <w:vertAlign w:val="baseline"/>
                <w:lang w:val="en-US" w:eastAsia="zh-CN"/>
              </w:rPr>
              <w:t>分</w:t>
            </w:r>
          </w:p>
        </w:tc>
      </w:tr>
    </w:tbl>
    <w:p>
      <w:pPr>
        <w:pStyle w:val="12"/>
        <w:tabs>
          <w:tab w:val="left" w:pos="9360"/>
        </w:tabs>
        <w:spacing w:line="360" w:lineRule="auto"/>
        <w:rPr>
          <w:rFonts w:hint="default" w:cs="宋体"/>
          <w:color w:val="auto"/>
          <w:sz w:val="21"/>
          <w:szCs w:val="21"/>
          <w:lang w:val="en-US" w:eastAsia="zh-CN"/>
        </w:rPr>
      </w:pPr>
      <w:r>
        <w:rPr>
          <w:rFonts w:hint="eastAsia" w:cs="宋体"/>
          <w:color w:val="auto"/>
          <w:sz w:val="21"/>
          <w:szCs w:val="21"/>
          <w:lang w:val="en-US" w:eastAsia="zh-CN"/>
        </w:rPr>
        <w:t>注：①类似项目的证明材料：</w:t>
      </w:r>
      <w:r>
        <w:rPr>
          <w:rFonts w:hint="eastAsia" w:cs="宋体"/>
          <w:color w:val="auto"/>
          <w:sz w:val="21"/>
          <w:szCs w:val="21"/>
          <w:u w:val="single"/>
          <w:lang w:val="en-US" w:eastAsia="zh-CN"/>
        </w:rPr>
        <w:t xml:space="preserve">                  </w:t>
      </w:r>
      <w:r>
        <w:rPr>
          <w:rFonts w:hint="eastAsia" w:cs="宋体"/>
          <w:color w:val="auto"/>
          <w:sz w:val="21"/>
          <w:szCs w:val="21"/>
          <w:lang w:val="en-US" w:eastAsia="zh-CN"/>
        </w:rPr>
        <w:t xml:space="preserve">          </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②软土地基的认定标准：</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lang w:val="en-US" w:eastAsia="zh-CN"/>
        </w:rPr>
        <w:t xml:space="preserve">          </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③类似项目以全国和浙江省建筑市场监管公共服务平台查询的为准，平台上无法查询的项目业绩不作为评审依据。平台上的资料信息无法证明项目规模指标的，投标人应该在投标文件中主动提供相关资料，否则评审中不予认可。</w:t>
      </w:r>
    </w:p>
    <w:p>
      <w:pPr>
        <w:pStyle w:val="12"/>
        <w:tabs>
          <w:tab w:val="left" w:pos="9360"/>
        </w:tabs>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④招标人应当从招标项目的建设规模（建筑面积或造价）和所处自然环境条件界定类似项目。类似项目年限要求为近5年。</w:t>
      </w:r>
    </w:p>
    <w:p>
      <w:pPr>
        <w:pStyle w:val="12"/>
        <w:tabs>
          <w:tab w:val="left" w:pos="9360"/>
        </w:tabs>
        <w:spacing w:line="360" w:lineRule="auto"/>
        <w:ind w:firstLine="420" w:firstLineChars="200"/>
        <w:rPr>
          <w:rFonts w:hint="default" w:eastAsia="宋体" w:cs="宋体"/>
          <w:color w:val="auto"/>
          <w:sz w:val="21"/>
          <w:szCs w:val="21"/>
          <w:highlight w:val="yellow"/>
          <w:lang w:val="en-US" w:eastAsia="zh-CN"/>
        </w:rPr>
      </w:pPr>
      <w:r>
        <w:rPr>
          <w:rFonts w:hint="eastAsia" w:cs="宋体"/>
          <w:color w:val="auto"/>
          <w:sz w:val="21"/>
          <w:szCs w:val="21"/>
          <w:lang w:val="en-US"/>
        </w:rPr>
        <w:t>投标人总得</w:t>
      </w:r>
      <w:r>
        <w:rPr>
          <w:rFonts w:hint="eastAsia" w:cs="宋体"/>
          <w:color w:val="auto"/>
          <w:sz w:val="21"/>
          <w:szCs w:val="21"/>
        </w:rPr>
        <w:t>分=</w:t>
      </w:r>
      <w:r>
        <w:rPr>
          <w:rFonts w:hint="eastAsia" w:cs="宋体"/>
          <w:color w:val="auto"/>
          <w:sz w:val="21"/>
          <w:szCs w:val="21"/>
          <w:lang w:val="en-US"/>
        </w:rPr>
        <w:t>投标人商务标得分+投标人</w:t>
      </w:r>
      <w:r>
        <w:rPr>
          <w:rFonts w:hint="eastAsia" w:cs="宋体"/>
          <w:color w:val="auto"/>
          <w:sz w:val="21"/>
          <w:szCs w:val="21"/>
          <w:lang w:val="en-US" w:eastAsia="zh-CN"/>
        </w:rPr>
        <w:t>资信</w:t>
      </w:r>
      <w:r>
        <w:rPr>
          <w:rFonts w:hint="eastAsia" w:cs="宋体"/>
          <w:color w:val="auto"/>
          <w:sz w:val="21"/>
          <w:szCs w:val="21"/>
          <w:lang w:val="en-US"/>
        </w:rPr>
        <w:t>评分</w:t>
      </w:r>
      <w:r>
        <w:rPr>
          <w:rFonts w:hint="eastAsia" w:cs="宋体"/>
          <w:color w:val="auto"/>
          <w:sz w:val="21"/>
          <w:szCs w:val="21"/>
          <w:lang w:val="en-US" w:eastAsia="zh-CN"/>
        </w:rPr>
        <w:t>+投标人技术标得分</w:t>
      </w:r>
    </w:p>
    <w:p>
      <w:pPr>
        <w:numPr>
          <w:ilvl w:val="0"/>
          <w:numId w:val="0"/>
        </w:numPr>
        <w:spacing w:line="360" w:lineRule="auto"/>
        <w:ind w:firstLine="421" w:firstLineChars="200"/>
        <w:outlineLvl w:val="2"/>
        <w:rPr>
          <w:rFonts w:hint="eastAsia" w:ascii="宋体" w:hAnsi="宋体" w:cs="宋体"/>
          <w:b/>
          <w:bCs/>
        </w:rPr>
      </w:pPr>
      <w:r>
        <w:rPr>
          <w:rFonts w:hint="eastAsia" w:ascii="宋体" w:hAnsi="宋体" w:eastAsia="宋体" w:cs="Times New Roman"/>
          <w:b/>
          <w:lang w:val="en-US" w:eastAsia="zh-CN"/>
        </w:rPr>
        <w:t>八、</w:t>
      </w:r>
      <w:r>
        <w:rPr>
          <w:rFonts w:hint="eastAsia" w:ascii="宋体" w:hAnsi="宋体" w:eastAsia="宋体" w:cs="Times New Roman"/>
          <w:b/>
          <w:lang w:val="zh-CN"/>
        </w:rPr>
        <w:t>综合评审</w:t>
      </w:r>
      <w:r>
        <w:rPr>
          <w:rFonts w:hint="eastAsia" w:ascii="宋体" w:hAnsi="宋体" w:eastAsia="宋体" w:cs="Times New Roman"/>
          <w:b/>
        </w:rPr>
        <w:t xml:space="preserve">  </w:t>
      </w:r>
      <w:r>
        <w:rPr>
          <w:rFonts w:hint="eastAsia" w:ascii="宋体" w:hAnsi="宋体" w:cs="宋体"/>
          <w:b/>
          <w:bCs/>
        </w:rPr>
        <w:t xml:space="preserve">      </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综合评审是对通过资格审查（平台系统核对）、商务标评审</w:t>
      </w:r>
      <w:r>
        <w:rPr>
          <w:rFonts w:hint="eastAsia" w:ascii="宋体" w:hAnsi="宋体" w:cs="Times New Roman"/>
          <w:b w:val="0"/>
          <w:bCs/>
          <w:lang w:val="en-US" w:eastAsia="zh-CN"/>
        </w:rPr>
        <w:t>、</w:t>
      </w:r>
      <w:r>
        <w:rPr>
          <w:rFonts w:hint="eastAsia" w:ascii="宋体" w:hAnsi="宋体" w:eastAsia="宋体" w:cs="Times New Roman"/>
          <w:b w:val="0"/>
          <w:bCs/>
          <w:lang w:val="en-US" w:eastAsia="zh-CN"/>
        </w:rPr>
        <w:t>技术标评</w:t>
      </w:r>
      <w:r>
        <w:rPr>
          <w:rFonts w:hint="eastAsia" w:ascii="宋体" w:hAnsi="宋体" w:eastAsia="宋体" w:cs="Times New Roman"/>
          <w:b w:val="0"/>
          <w:bCs/>
          <w:highlight w:val="none"/>
          <w:lang w:val="en-US" w:eastAsia="zh-CN"/>
        </w:rPr>
        <w:t>审</w:t>
      </w:r>
      <w:r>
        <w:rPr>
          <w:rFonts w:hint="eastAsia" w:ascii="宋体" w:hAnsi="宋体" w:cs="Times New Roman"/>
          <w:b w:val="0"/>
          <w:bCs/>
          <w:highlight w:val="none"/>
          <w:lang w:val="en-US" w:eastAsia="zh-CN"/>
        </w:rPr>
        <w:t>和资信评审</w:t>
      </w:r>
      <w:r>
        <w:rPr>
          <w:rFonts w:hint="eastAsia" w:ascii="宋体" w:hAnsi="宋体" w:eastAsia="宋体" w:cs="Times New Roman"/>
          <w:b w:val="0"/>
          <w:bCs/>
          <w:highlight w:val="none"/>
          <w:lang w:val="en-US" w:eastAsia="zh-CN"/>
        </w:rPr>
        <w:t>的</w:t>
      </w:r>
      <w:r>
        <w:rPr>
          <w:rFonts w:hint="eastAsia" w:ascii="宋体" w:hAnsi="宋体" w:eastAsia="宋体" w:cs="Times New Roman"/>
          <w:b w:val="0"/>
          <w:bCs/>
          <w:lang w:val="en-US" w:eastAsia="zh-CN"/>
        </w:rPr>
        <w:t>拟推荐为中标候选人的投标人进行其他内容的综合评审，投标人存在投标须知前附表10.5情形（其他）的，评标委员会组织投标人询问核实后，情况属实的，综合评审不予通过，否决其投标。</w:t>
      </w:r>
    </w:p>
    <w:p>
      <w:pPr>
        <w:snapToGrid w:val="0"/>
        <w:spacing w:line="360" w:lineRule="auto"/>
        <w:ind w:firstLine="420" w:firstLineChars="200"/>
        <w:outlineLvl w:val="2"/>
        <w:rPr>
          <w:rFonts w:hint="eastAsia" w:ascii="宋体" w:hAnsi="宋体" w:eastAsia="宋体" w:cs="Times New Roman"/>
          <w:b w:val="0"/>
          <w:bCs/>
          <w:lang w:val="en-US" w:eastAsia="zh-CN"/>
        </w:rPr>
      </w:pPr>
      <w:r>
        <w:rPr>
          <w:rFonts w:hint="eastAsia" w:ascii="宋体" w:hAnsi="宋体" w:eastAsia="宋体" w:cs="Times New Roman"/>
          <w:b w:val="0"/>
          <w:bCs/>
          <w:lang w:val="en-US" w:eastAsia="zh-CN"/>
        </w:rPr>
        <w:t>评标委员会对拟推荐中标候选人和其拟派项目负责人在投标文件中所申报的信用信息进行核对，如发现投标人递交投标文件中的信用信息的错、漏可能影响评审结果的，评标委员会应组织投标人核实，情况属实的取消其推荐为中标候选人的资格并书面报告招标人和招投标管理部门。</w:t>
      </w:r>
    </w:p>
    <w:p>
      <w:pPr>
        <w:snapToGrid w:val="0"/>
        <w:spacing w:line="360" w:lineRule="auto"/>
        <w:ind w:firstLine="421" w:firstLineChars="200"/>
        <w:outlineLvl w:val="2"/>
        <w:rPr>
          <w:rFonts w:hint="eastAsia" w:ascii="宋体" w:hAnsi="宋体" w:eastAsia="宋体" w:cs="Times New Roman"/>
          <w:b/>
          <w:lang w:val="zh-CN"/>
        </w:rPr>
      </w:pPr>
      <w:r>
        <w:rPr>
          <w:rFonts w:hint="eastAsia" w:ascii="宋体" w:hAnsi="宋体" w:eastAsia="宋体" w:cs="Times New Roman"/>
          <w:b/>
          <w:lang w:val="en-US" w:eastAsia="zh-CN"/>
        </w:rPr>
        <w:t>九</w:t>
      </w:r>
      <w:r>
        <w:rPr>
          <w:rFonts w:hint="eastAsia" w:ascii="宋体" w:hAnsi="宋体" w:eastAsia="宋体" w:cs="Times New Roman"/>
          <w:b/>
        </w:rPr>
        <w:t>、</w:t>
      </w:r>
      <w:r>
        <w:rPr>
          <w:rFonts w:hint="eastAsia" w:ascii="宋体" w:hAnsi="宋体" w:eastAsia="宋体" w:cs="Times New Roman"/>
          <w:b/>
          <w:lang w:val="zh-CN"/>
        </w:rPr>
        <w:t>推荐中标候选人</w:t>
      </w:r>
    </w:p>
    <w:p>
      <w:pPr>
        <w:spacing w:line="360" w:lineRule="auto"/>
        <w:ind w:firstLine="420" w:firstLineChars="200"/>
        <w:rPr>
          <w:rFonts w:hint="eastAsia" w:ascii="宋体" w:hAnsi="宋体" w:cs="宋体"/>
          <w:u w:val="single"/>
          <w:lang w:val="zh-CN"/>
        </w:rPr>
      </w:pPr>
      <w:r>
        <w:rPr>
          <w:rFonts w:hint="eastAsia" w:ascii="宋体" w:hAnsi="宋体" w:cs="宋体"/>
          <w:lang w:val="zh-CN"/>
        </w:rPr>
        <w:t>评标委员会对投标人按总分从高到低进行排序，并按照排序推荐中标候选人。如总分相同的，以投标报价低的优先；上述均相同的</w:t>
      </w:r>
      <w:r>
        <w:rPr>
          <w:rFonts w:hint="eastAsia" w:ascii="宋体" w:hAnsi="宋体" w:cs="宋体"/>
          <w:u w:val="single"/>
          <w:lang w:val="zh-CN"/>
        </w:rPr>
        <w:t xml:space="preserve">  (在招标文件中明确确定方式) 。</w:t>
      </w:r>
    </w:p>
    <w:p>
      <w:pPr>
        <w:spacing w:line="360" w:lineRule="auto"/>
        <w:ind w:firstLine="420" w:firstLineChars="200"/>
        <w:rPr>
          <w:rFonts w:hint="eastAsia" w:ascii="宋体" w:hAnsi="宋体" w:cs="宋体"/>
        </w:rPr>
      </w:pPr>
      <w:r>
        <w:rPr>
          <w:rFonts w:hint="eastAsia" w:ascii="宋体" w:hAnsi="宋体" w:cs="宋体"/>
        </w:rPr>
        <w:t>评标委员会对拟确定的推荐中标候选人和其拟派项目负责人，是否列入失信被执行人名单及在本招标文件（招标公告）规定时间范围内是否有行贿犯罪记录的情形进行查验。如查实存在行贿犯罪记录情况（以行贿罪判决为准）、被列入失信被执行人名单的，则取消其中标候选人资格。</w:t>
      </w:r>
    </w:p>
    <w:p>
      <w:pPr>
        <w:pStyle w:val="4"/>
        <w:kinsoku w:val="0"/>
        <w:snapToGrid w:val="0"/>
        <w:spacing w:line="360" w:lineRule="auto"/>
        <w:ind w:left="0" w:firstLine="420" w:firstLineChars="200"/>
      </w:pPr>
      <w:r>
        <w:rPr>
          <w:rFonts w:hint="eastAsia" w:ascii="宋体" w:hAnsi="宋体" w:cs="宋体"/>
          <w:lang w:val="zh-CN"/>
        </w:rPr>
        <w:t>当有效投标人＜3个时，评标委员会应判定本次投标是否具有竞争力。若评标委员会认为本次投标明显缺乏竞争的，可以否决全部投标。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jc w:val="center"/>
                          </w:pPr>
                          <w:r>
                            <w:fldChar w:fldCharType="begin"/>
                          </w:r>
                          <w:r>
                            <w:instrText xml:space="preserve">PAGE   \* MERGEFORMAT</w:instrText>
                          </w:r>
                          <w:r>
                            <w:fldChar w:fldCharType="separate"/>
                          </w:r>
                          <w:r>
                            <w:rPr>
                              <w:lang w:val="zh-CN"/>
                            </w:rPr>
                            <w:t>59</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AojgDzgEAAIkDAAAO&#10;AAAAAAAAAAEAIAAAADQBAABkcnMvZTJvRG9jLnhtbFBLBQYAAAAABgAGAFkBAAB0BQ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59</w:t>
                    </w:r>
                    <w:r>
                      <w:fldChar w:fldCharType="end"/>
                    </w:r>
                  </w:p>
                </w:txbxContent>
              </v:textbox>
            </v:shape>
          </w:pict>
        </mc:Fallback>
      </mc:AlternateContent>
    </w:r>
  </w:p>
  <w:p>
    <w:pPr>
      <w:pStyle w:val="7"/>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jk0NjdhNDg5YWM2NzEwZWJkMDNlYjIwYTY5YWEifQ=="/>
  </w:docVars>
  <w:rsids>
    <w:rsidRoot w:val="00000000"/>
    <w:rsid w:val="001113BD"/>
    <w:rsid w:val="001121A7"/>
    <w:rsid w:val="0018099E"/>
    <w:rsid w:val="006E4A62"/>
    <w:rsid w:val="01317F69"/>
    <w:rsid w:val="02587777"/>
    <w:rsid w:val="02C72207"/>
    <w:rsid w:val="02F72AEC"/>
    <w:rsid w:val="030D2310"/>
    <w:rsid w:val="036839EA"/>
    <w:rsid w:val="03AF33C7"/>
    <w:rsid w:val="04357D70"/>
    <w:rsid w:val="04F80D9E"/>
    <w:rsid w:val="058645FB"/>
    <w:rsid w:val="05E27A84"/>
    <w:rsid w:val="06657F99"/>
    <w:rsid w:val="06A50AB1"/>
    <w:rsid w:val="06D03D80"/>
    <w:rsid w:val="06F37A6F"/>
    <w:rsid w:val="07862691"/>
    <w:rsid w:val="078A2F3D"/>
    <w:rsid w:val="07935F9B"/>
    <w:rsid w:val="08400A92"/>
    <w:rsid w:val="08470072"/>
    <w:rsid w:val="085D5AE7"/>
    <w:rsid w:val="08805332"/>
    <w:rsid w:val="08EB6C4F"/>
    <w:rsid w:val="094F0893"/>
    <w:rsid w:val="0A310FDA"/>
    <w:rsid w:val="0A636CB9"/>
    <w:rsid w:val="0B1A1A6E"/>
    <w:rsid w:val="0BBA0B5B"/>
    <w:rsid w:val="0BD7170D"/>
    <w:rsid w:val="0BE1258C"/>
    <w:rsid w:val="0C540FAF"/>
    <w:rsid w:val="0C5745FC"/>
    <w:rsid w:val="0C5E1E2E"/>
    <w:rsid w:val="0C676F35"/>
    <w:rsid w:val="0C6F5DE9"/>
    <w:rsid w:val="0CD345CA"/>
    <w:rsid w:val="0D2070E4"/>
    <w:rsid w:val="0E107158"/>
    <w:rsid w:val="0E2A7D0A"/>
    <w:rsid w:val="0F1113DA"/>
    <w:rsid w:val="0F2729AB"/>
    <w:rsid w:val="10437371"/>
    <w:rsid w:val="105B07EA"/>
    <w:rsid w:val="10C21919"/>
    <w:rsid w:val="11592BC4"/>
    <w:rsid w:val="13202514"/>
    <w:rsid w:val="134464FC"/>
    <w:rsid w:val="13511DA5"/>
    <w:rsid w:val="13954387"/>
    <w:rsid w:val="13BC5DB8"/>
    <w:rsid w:val="14F41582"/>
    <w:rsid w:val="14F92BC6"/>
    <w:rsid w:val="15B83D57"/>
    <w:rsid w:val="16A91EF8"/>
    <w:rsid w:val="17D13EC6"/>
    <w:rsid w:val="19B906A4"/>
    <w:rsid w:val="19CB796D"/>
    <w:rsid w:val="1A0F4CC4"/>
    <w:rsid w:val="1A69031C"/>
    <w:rsid w:val="1A7075C0"/>
    <w:rsid w:val="1AC15A62"/>
    <w:rsid w:val="1B972C67"/>
    <w:rsid w:val="1BCD6ED1"/>
    <w:rsid w:val="1BCF2401"/>
    <w:rsid w:val="1C6012AB"/>
    <w:rsid w:val="1C6074FD"/>
    <w:rsid w:val="1C694603"/>
    <w:rsid w:val="1CA473E9"/>
    <w:rsid w:val="1E5F5CBE"/>
    <w:rsid w:val="1EC024D4"/>
    <w:rsid w:val="2099122F"/>
    <w:rsid w:val="20BB11A5"/>
    <w:rsid w:val="20DE6C42"/>
    <w:rsid w:val="214F3432"/>
    <w:rsid w:val="21667363"/>
    <w:rsid w:val="226D64CF"/>
    <w:rsid w:val="229E48DB"/>
    <w:rsid w:val="230010F2"/>
    <w:rsid w:val="23130E25"/>
    <w:rsid w:val="23DC56BB"/>
    <w:rsid w:val="259276C8"/>
    <w:rsid w:val="25A95A70"/>
    <w:rsid w:val="25B23F7E"/>
    <w:rsid w:val="25E74F71"/>
    <w:rsid w:val="26192BF6"/>
    <w:rsid w:val="26483FD0"/>
    <w:rsid w:val="26964247"/>
    <w:rsid w:val="26F64CE5"/>
    <w:rsid w:val="27FC632B"/>
    <w:rsid w:val="28174CD6"/>
    <w:rsid w:val="283A1D00"/>
    <w:rsid w:val="29242A1C"/>
    <w:rsid w:val="29F55728"/>
    <w:rsid w:val="2A951934"/>
    <w:rsid w:val="2AF43C32"/>
    <w:rsid w:val="2C0C0B07"/>
    <w:rsid w:val="2C385DA0"/>
    <w:rsid w:val="2C387B4E"/>
    <w:rsid w:val="2C4D184B"/>
    <w:rsid w:val="2C770676"/>
    <w:rsid w:val="2CC413E2"/>
    <w:rsid w:val="2D1E4F96"/>
    <w:rsid w:val="2D6C3F53"/>
    <w:rsid w:val="2E0252B1"/>
    <w:rsid w:val="2E33681F"/>
    <w:rsid w:val="2E44335C"/>
    <w:rsid w:val="2EDC2A13"/>
    <w:rsid w:val="2FFFBD26"/>
    <w:rsid w:val="30360848"/>
    <w:rsid w:val="30FA1876"/>
    <w:rsid w:val="31723B02"/>
    <w:rsid w:val="317C228B"/>
    <w:rsid w:val="31C37EBA"/>
    <w:rsid w:val="334D55BA"/>
    <w:rsid w:val="336631F3"/>
    <w:rsid w:val="339746CE"/>
    <w:rsid w:val="340053F5"/>
    <w:rsid w:val="343D21A6"/>
    <w:rsid w:val="347F3178"/>
    <w:rsid w:val="348A1163"/>
    <w:rsid w:val="35C10BB4"/>
    <w:rsid w:val="35EB3E83"/>
    <w:rsid w:val="37103BA1"/>
    <w:rsid w:val="39513FFD"/>
    <w:rsid w:val="39BC1DBE"/>
    <w:rsid w:val="39C96289"/>
    <w:rsid w:val="3AF9494C"/>
    <w:rsid w:val="3B0A6B5A"/>
    <w:rsid w:val="3B824942"/>
    <w:rsid w:val="3BA40D5C"/>
    <w:rsid w:val="3BFF5F92"/>
    <w:rsid w:val="3C5067EE"/>
    <w:rsid w:val="3C746980"/>
    <w:rsid w:val="3D820C29"/>
    <w:rsid w:val="3DC96858"/>
    <w:rsid w:val="3E0930F8"/>
    <w:rsid w:val="3E2D5039"/>
    <w:rsid w:val="3E4660FB"/>
    <w:rsid w:val="3EDC6A5F"/>
    <w:rsid w:val="3EE83D35"/>
    <w:rsid w:val="3F9C3B0C"/>
    <w:rsid w:val="3FB928FC"/>
    <w:rsid w:val="400B3158"/>
    <w:rsid w:val="401069C0"/>
    <w:rsid w:val="40215DB4"/>
    <w:rsid w:val="4081341A"/>
    <w:rsid w:val="408178BE"/>
    <w:rsid w:val="40974AF7"/>
    <w:rsid w:val="40AD06B3"/>
    <w:rsid w:val="41006A35"/>
    <w:rsid w:val="41175B2C"/>
    <w:rsid w:val="418036D2"/>
    <w:rsid w:val="44A45929"/>
    <w:rsid w:val="461533C5"/>
    <w:rsid w:val="47631ACB"/>
    <w:rsid w:val="476456BE"/>
    <w:rsid w:val="47A87BC7"/>
    <w:rsid w:val="47F95F8C"/>
    <w:rsid w:val="480212E4"/>
    <w:rsid w:val="492B2230"/>
    <w:rsid w:val="494F123B"/>
    <w:rsid w:val="49A07007"/>
    <w:rsid w:val="49BB5BEF"/>
    <w:rsid w:val="4A547DF1"/>
    <w:rsid w:val="4A56037D"/>
    <w:rsid w:val="4A8C1BC6"/>
    <w:rsid w:val="4B23278C"/>
    <w:rsid w:val="4B3152E0"/>
    <w:rsid w:val="4B55797D"/>
    <w:rsid w:val="4C2B51F3"/>
    <w:rsid w:val="4C681932"/>
    <w:rsid w:val="4CE6199B"/>
    <w:rsid w:val="4D021D86"/>
    <w:rsid w:val="4E5B79A0"/>
    <w:rsid w:val="4EAA7FE0"/>
    <w:rsid w:val="4EB030E7"/>
    <w:rsid w:val="4F2953A8"/>
    <w:rsid w:val="4FBD3D43"/>
    <w:rsid w:val="505276FF"/>
    <w:rsid w:val="50D47596"/>
    <w:rsid w:val="51254295"/>
    <w:rsid w:val="515B1A65"/>
    <w:rsid w:val="51B55619"/>
    <w:rsid w:val="52377DDC"/>
    <w:rsid w:val="550C37A2"/>
    <w:rsid w:val="55A25EB5"/>
    <w:rsid w:val="55A7171D"/>
    <w:rsid w:val="573F0B96"/>
    <w:rsid w:val="579957B6"/>
    <w:rsid w:val="57F17049"/>
    <w:rsid w:val="58D1771E"/>
    <w:rsid w:val="59A321FB"/>
    <w:rsid w:val="5A00764E"/>
    <w:rsid w:val="5AE12FDB"/>
    <w:rsid w:val="5B12588A"/>
    <w:rsid w:val="5B631DE2"/>
    <w:rsid w:val="5C8D14E4"/>
    <w:rsid w:val="5CAE513F"/>
    <w:rsid w:val="5E090206"/>
    <w:rsid w:val="5E3E6079"/>
    <w:rsid w:val="5E5E2B95"/>
    <w:rsid w:val="5EBB1D95"/>
    <w:rsid w:val="5ED510A9"/>
    <w:rsid w:val="5EE56659"/>
    <w:rsid w:val="5F2C67EF"/>
    <w:rsid w:val="5FB011CE"/>
    <w:rsid w:val="5FEF7F48"/>
    <w:rsid w:val="604F7B84"/>
    <w:rsid w:val="605B1C7F"/>
    <w:rsid w:val="618D5C6B"/>
    <w:rsid w:val="61B01959"/>
    <w:rsid w:val="63944726"/>
    <w:rsid w:val="645C36D2"/>
    <w:rsid w:val="64FD6C64"/>
    <w:rsid w:val="651D10B4"/>
    <w:rsid w:val="65615703"/>
    <w:rsid w:val="65C14135"/>
    <w:rsid w:val="66403CB1"/>
    <w:rsid w:val="6684624E"/>
    <w:rsid w:val="66ED127F"/>
    <w:rsid w:val="67803B7C"/>
    <w:rsid w:val="67D31EFE"/>
    <w:rsid w:val="682D7860"/>
    <w:rsid w:val="68426897"/>
    <w:rsid w:val="6942558D"/>
    <w:rsid w:val="69877444"/>
    <w:rsid w:val="6AE368FC"/>
    <w:rsid w:val="6B8A6D77"/>
    <w:rsid w:val="6B8D6867"/>
    <w:rsid w:val="6BAB2FDB"/>
    <w:rsid w:val="6D050F54"/>
    <w:rsid w:val="6D57712D"/>
    <w:rsid w:val="6D605CD1"/>
    <w:rsid w:val="6D9D5802"/>
    <w:rsid w:val="6DEE7A91"/>
    <w:rsid w:val="6E2C05BA"/>
    <w:rsid w:val="6E9B2E98"/>
    <w:rsid w:val="6F174DC6"/>
    <w:rsid w:val="6F196D90"/>
    <w:rsid w:val="70976005"/>
    <w:rsid w:val="7123407B"/>
    <w:rsid w:val="713E488C"/>
    <w:rsid w:val="724A7260"/>
    <w:rsid w:val="728837CE"/>
    <w:rsid w:val="72AE2A49"/>
    <w:rsid w:val="72C45265"/>
    <w:rsid w:val="739575D5"/>
    <w:rsid w:val="73A04048"/>
    <w:rsid w:val="73AB01D2"/>
    <w:rsid w:val="74EF2540"/>
    <w:rsid w:val="752C0E9F"/>
    <w:rsid w:val="75F47C0F"/>
    <w:rsid w:val="760616F0"/>
    <w:rsid w:val="76192F0F"/>
    <w:rsid w:val="76D637B8"/>
    <w:rsid w:val="783E7867"/>
    <w:rsid w:val="78BD2053"/>
    <w:rsid w:val="79020895"/>
    <w:rsid w:val="792F3830"/>
    <w:rsid w:val="797B3187"/>
    <w:rsid w:val="7997722F"/>
    <w:rsid w:val="7A0B7F68"/>
    <w:rsid w:val="7A37631C"/>
    <w:rsid w:val="7A574C10"/>
    <w:rsid w:val="7A965738"/>
    <w:rsid w:val="7ABC4A73"/>
    <w:rsid w:val="7ACA53E2"/>
    <w:rsid w:val="7B8863F9"/>
    <w:rsid w:val="7B8A691F"/>
    <w:rsid w:val="7B9D48A5"/>
    <w:rsid w:val="7BA23C69"/>
    <w:rsid w:val="7BA43E85"/>
    <w:rsid w:val="7CFC3B97"/>
    <w:rsid w:val="7D202916"/>
    <w:rsid w:val="7D9E1491"/>
    <w:rsid w:val="7E7E276B"/>
    <w:rsid w:val="7EC60BBC"/>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line="360" w:lineRule="auto"/>
      <w:ind w:left="3"/>
      <w:jc w:val="center"/>
      <w:outlineLvl w:val="0"/>
    </w:pPr>
    <w:rPr>
      <w:rFonts w:eastAsia="黑体"/>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99"/>
    <w:pPr>
      <w:ind w:firstLine="420" w:firstLineChars="200"/>
    </w:pPr>
  </w:style>
  <w:style w:type="paragraph" w:styleId="4">
    <w:name w:val="Body Text"/>
    <w:basedOn w:val="1"/>
    <w:next w:val="5"/>
    <w:qFormat/>
    <w:uiPriority w:val="0"/>
    <w:pPr>
      <w:ind w:left="520"/>
    </w:pPr>
  </w:style>
  <w:style w:type="paragraph" w:styleId="5">
    <w:name w:val="Body Text First Indent"/>
    <w:basedOn w:val="4"/>
    <w:next w:val="6"/>
    <w:qFormat/>
    <w:uiPriority w:val="0"/>
    <w:pPr>
      <w:tabs>
        <w:tab w:val="left" w:pos="9360"/>
      </w:tabs>
      <w:adjustRightInd/>
      <w:ind w:firstLine="420" w:firstLineChars="100"/>
    </w:pPr>
    <w:rPr>
      <w:sz w:val="21"/>
    </w:rPr>
  </w:style>
  <w:style w:type="paragraph" w:styleId="6">
    <w:name w:val="toc 6"/>
    <w:basedOn w:val="1"/>
    <w:next w:val="1"/>
    <w:qFormat/>
    <w:uiPriority w:val="0"/>
    <w:pPr>
      <w:autoSpaceDE/>
      <w:autoSpaceDN/>
      <w:adjustRightInd/>
      <w:ind w:left="2100" w:leftChars="1000"/>
      <w:jc w:val="both"/>
    </w:pPr>
    <w:rPr>
      <w:kern w:val="2"/>
      <w:sz w:val="21"/>
      <w:szCs w:val="22"/>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toc 1"/>
    <w:basedOn w:val="1"/>
    <w:next w:val="1"/>
    <w:unhideWhenUsed/>
    <w:qFormat/>
    <w:uiPriority w:val="39"/>
    <w:pPr>
      <w:widowControl/>
      <w:spacing w:after="100" w:line="259" w:lineRule="auto"/>
    </w:pPr>
    <w:rPr>
      <w:rFonts w:ascii="等线" w:hAnsi="等线" w:eastAsia="等线"/>
      <w:sz w:val="22"/>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ormal]"/>
    <w:qFormat/>
    <w:uiPriority w:val="0"/>
    <w:rPr>
      <w:rFonts w:ascii="宋体" w:hAnsi="宋体" w:eastAsia="宋体" w:cs="Times New Roman"/>
      <w:sz w:val="24"/>
      <w:szCs w:val="22"/>
      <w:lang w:val="zh-CN" w:eastAsia="zh-CN" w:bidi="ar-SA"/>
    </w:rPr>
  </w:style>
  <w:style w:type="paragraph" w:customStyle="1" w:styleId="13">
    <w:name w:val="－正文 Char"/>
    <w:basedOn w:val="1"/>
    <w:qFormat/>
    <w:uiPriority w:val="0"/>
    <w:pPr>
      <w:spacing w:line="360" w:lineRule="auto"/>
      <w:ind w:firstLine="200" w:firstLineChars="200"/>
      <w:jc w:val="left"/>
    </w:pPr>
    <w:rPr>
      <w:rFonts w:ascii="楷体_GB2312" w:cs="楷体_GB2312"/>
      <w:b/>
      <w:sz w:val="24"/>
      <w:szCs w:val="28"/>
    </w:rPr>
  </w:style>
  <w:style w:type="paragraph" w:customStyle="1" w:styleId="14">
    <w:name w:val="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18476</Words>
  <Characters>19346</Characters>
  <Lines>0</Lines>
  <Paragraphs>0</Paragraphs>
  <TotalTime>1</TotalTime>
  <ScaleCrop>false</ScaleCrop>
  <LinksUpToDate>false</LinksUpToDate>
  <CharactersWithSpaces>19864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2023-03-30T17:19:00Z</dcterms:created>
  <dc:creator>Administrator</dc:creator>
  <cp:lastModifiedBy>user</cp:lastModifiedBy>
  <dcterms:modified xsi:type="dcterms:W3CDTF">2023-06-25T15:43:15Z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7A105B46D2D4412796638D1A35A08F80</vt:lpwstr>
  </property>
</Properties>
</file>