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right"/>
        <w:rPr>
          <w:rFonts w:hint="default" w:ascii="仿宋_GB2312" w:hAnsi="仿宋_GB2312" w:eastAsia="仿宋_GB2312" w:cs="仿宋_GB2312"/>
          <w:i w:val="0"/>
          <w:caps w:val="0"/>
          <w:color w:val="111F2C"/>
          <w:spacing w:val="0"/>
          <w:kern w:val="0"/>
          <w:sz w:val="32"/>
          <w:szCs w:val="32"/>
          <w:shd w:val="clear" w:color="auto" w:fill="FFFFFF"/>
          <w:lang w:val="en-US" w:eastAsia="zh-CN" w:bidi="ar"/>
        </w:rPr>
      </w:pPr>
      <w:r>
        <w:rPr>
          <w:rFonts w:hint="default" w:ascii="仿宋_GB2312" w:hAnsi="仿宋_GB2312" w:eastAsia="仿宋_GB2312" w:cs="仿宋_GB2312"/>
          <w:i w:val="0"/>
          <w:caps w:val="0"/>
          <w:color w:val="111F2C"/>
          <w:spacing w:val="0"/>
          <w:kern w:val="0"/>
          <w:sz w:val="32"/>
          <w:szCs w:val="32"/>
          <w:shd w:val="clear" w:color="auto" w:fill="FFFFFF"/>
          <w:lang w:val="en-US" w:eastAsia="zh-CN" w:bidi="ar"/>
        </w:rPr>
        <w:t>ZJHC73-202</w:t>
      </w:r>
      <w:r>
        <w:rPr>
          <w:rFonts w:hint="eastAsia" w:ascii="仿宋_GB2312" w:hAnsi="仿宋_GB2312" w:cs="仿宋_GB2312"/>
          <w:i w:val="0"/>
          <w:caps w:val="0"/>
          <w:color w:val="111F2C"/>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111F2C"/>
          <w:spacing w:val="0"/>
          <w:kern w:val="0"/>
          <w:sz w:val="32"/>
          <w:szCs w:val="32"/>
          <w:shd w:val="clear" w:color="auto" w:fill="FFFFFF"/>
          <w:lang w:val="en-US" w:eastAsia="zh-CN" w:bidi="ar"/>
        </w:rPr>
        <w:t>-000</w:t>
      </w:r>
      <w:r>
        <w:rPr>
          <w:rFonts w:hint="eastAsia" w:ascii="仿宋_GB2312" w:hAnsi="仿宋_GB2312" w:cs="仿宋_GB2312"/>
          <w:i w:val="0"/>
          <w:caps w:val="0"/>
          <w:color w:val="111F2C"/>
          <w:spacing w:val="0"/>
          <w:kern w:val="0"/>
          <w:sz w:val="32"/>
          <w:szCs w:val="32"/>
          <w:shd w:val="clear" w:color="auto" w:fill="FFFFFF"/>
          <w:lang w:val="en-US" w:eastAsia="zh-CN" w:bidi="ar"/>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仿宋_GB2312" w:cs="Times New Roman"/>
          <w:sz w:val="32"/>
          <w:szCs w:val="32"/>
          <w:lang w:eastAsia="zh-CN"/>
        </w:rPr>
        <w:drawing>
          <wp:anchor distT="0" distB="0" distL="114300" distR="114300" simplePos="0" relativeHeight="251663360" behindDoc="1" locked="0" layoutInCell="1" allowOverlap="1">
            <wp:simplePos x="0" y="0"/>
            <wp:positionH relativeFrom="column">
              <wp:posOffset>-1151255</wp:posOffset>
            </wp:positionH>
            <wp:positionV relativeFrom="paragraph">
              <wp:posOffset>-1081405</wp:posOffset>
            </wp:positionV>
            <wp:extent cx="7560310" cy="4176395"/>
            <wp:effectExtent l="0" t="0" r="2540" b="14605"/>
            <wp:wrapNone/>
            <wp:docPr id="6" name="图片 1"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文件头"/>
                    <pic:cNvPicPr>
                      <a:picLocks noChangeAspect="1"/>
                    </pic:cNvPicPr>
                  </pic:nvPicPr>
                  <pic:blipFill>
                    <a:blip r:embed="rId12"/>
                    <a:stretch>
                      <a:fillRect/>
                    </a:stretch>
                  </pic:blipFill>
                  <pic:spPr>
                    <a:xfrm>
                      <a:off x="0" y="0"/>
                      <a:ext cx="7560310" cy="417639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kern w:val="0"/>
          <w:sz w:val="36"/>
          <w:szCs w:val="36"/>
          <w:lang w:val="en-US" w:eastAsia="zh-CN" w:bidi="ar"/>
        </w:rPr>
      </w:pPr>
    </w:p>
    <w:p>
      <w:pPr>
        <w:spacing w:line="520" w:lineRule="exact"/>
        <w:ind w:firstLine="0" w:firstLineChars="0"/>
        <w:jc w:val="both"/>
        <w:rPr>
          <w:rFonts w:ascii="等线" w:hAnsi="等线" w:eastAsia="等线" w:cs="Times New Roman"/>
          <w:color w:val="000000"/>
          <w:sz w:val="32"/>
          <w:szCs w:val="20"/>
        </w:rPr>
      </w:pPr>
    </w:p>
    <w:p>
      <w:pPr>
        <w:keepNext w:val="0"/>
        <w:keepLines w:val="0"/>
        <w:pageBreakBefore w:val="0"/>
        <w:widowControl w:val="0"/>
        <w:tabs>
          <w:tab w:val="left" w:pos="567"/>
          <w:tab w:val="left" w:pos="709"/>
          <w:tab w:val="left" w:pos="1843"/>
        </w:tabs>
        <w:kinsoku/>
        <w:wordWrap/>
        <w:overflowPunct/>
        <w:topLinePunct w:val="0"/>
        <w:autoSpaceDE/>
        <w:autoSpaceDN/>
        <w:bidi w:val="0"/>
        <w:adjustRightInd/>
        <w:snapToGrid/>
        <w:spacing w:line="560" w:lineRule="exact"/>
        <w:jc w:val="both"/>
        <w:textAlignment w:val="auto"/>
        <w:rPr>
          <w:rFonts w:hint="eastAsia" w:ascii="等线" w:hAnsi="等线" w:eastAsia="等线"/>
          <w:lang w:eastAsia="zh-CN"/>
        </w:rPr>
      </w:pPr>
      <w:r>
        <w:rPr>
          <w:rFonts w:hint="eastAsia" w:ascii="Times New Roman" w:hAnsi="Times New Roman" w:eastAsia="仿宋_GB2312" w:cs="Times New Roman"/>
          <w:sz w:val="32"/>
          <w:szCs w:val="32"/>
          <w:lang w:eastAsia="zh-CN"/>
        </w:rPr>
        <w:drawing>
          <wp:anchor distT="0" distB="0" distL="114300" distR="114300" simplePos="0" relativeHeight="251659264" behindDoc="1" locked="0" layoutInCell="1" allowOverlap="1">
            <wp:simplePos x="0" y="0"/>
            <wp:positionH relativeFrom="column">
              <wp:posOffset>-10375265</wp:posOffset>
            </wp:positionH>
            <wp:positionV relativeFrom="paragraph">
              <wp:posOffset>-1866265</wp:posOffset>
            </wp:positionV>
            <wp:extent cx="7560310" cy="4176395"/>
            <wp:effectExtent l="0" t="0" r="2540" b="14605"/>
            <wp:wrapNone/>
            <wp:docPr id="2" name="图片 2"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头"/>
                    <pic:cNvPicPr>
                      <a:picLocks noChangeAspect="1"/>
                    </pic:cNvPicPr>
                  </pic:nvPicPr>
                  <pic:blipFill>
                    <a:blip r:embed="rId12"/>
                    <a:stretch>
                      <a:fillRect/>
                    </a:stretch>
                  </pic:blipFill>
                  <pic:spPr>
                    <a:xfrm>
                      <a:off x="0" y="0"/>
                      <a:ext cx="7560310" cy="4176395"/>
                    </a:xfrm>
                    <a:prstGeom prst="rect">
                      <a:avLst/>
                    </a:prstGeom>
                    <a:noFill/>
                    <a:ln>
                      <a:noFill/>
                    </a:ln>
                  </pic:spPr>
                </pic:pic>
              </a:graphicData>
            </a:graphic>
          </wp:anchor>
        </w:drawing>
      </w:r>
      <w:r>
        <w:rPr>
          <w:rFonts w:hint="eastAsia" w:ascii="Times New Roman" w:hAnsi="Times New Roman" w:eastAsia="仿宋_GB2312" w:cs="Times New Roman"/>
          <w:sz w:val="32"/>
          <w:szCs w:val="32"/>
          <w:lang w:eastAsia="zh-CN"/>
        </w:rPr>
        <w:drawing>
          <wp:anchor distT="0" distB="0" distL="114300" distR="114300" simplePos="0" relativeHeight="251662336" behindDoc="1" locked="0" layoutInCell="1" allowOverlap="1">
            <wp:simplePos x="0" y="0"/>
            <wp:positionH relativeFrom="column">
              <wp:posOffset>-9889490</wp:posOffset>
            </wp:positionH>
            <wp:positionV relativeFrom="paragraph">
              <wp:posOffset>-1174115</wp:posOffset>
            </wp:positionV>
            <wp:extent cx="7560310" cy="4176395"/>
            <wp:effectExtent l="0" t="0" r="2540" b="14605"/>
            <wp:wrapNone/>
            <wp:docPr id="1" name="图片 1"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头"/>
                    <pic:cNvPicPr>
                      <a:picLocks noChangeAspect="1"/>
                    </pic:cNvPicPr>
                  </pic:nvPicPr>
                  <pic:blipFill>
                    <a:blip r:embed="rId12"/>
                    <a:stretch>
                      <a:fillRect/>
                    </a:stretch>
                  </pic:blipFill>
                  <pic:spPr>
                    <a:xfrm>
                      <a:off x="0" y="0"/>
                      <a:ext cx="7560310" cy="4176395"/>
                    </a:xfrm>
                    <a:prstGeom prst="rect">
                      <a:avLst/>
                    </a:prstGeom>
                    <a:noFill/>
                    <a:ln>
                      <a:noFill/>
                    </a:ln>
                  </pic:spPr>
                </pic:pic>
              </a:graphicData>
            </a:graphic>
          </wp:anchor>
        </w:drawing>
      </w:r>
      <w:r>
        <w:rPr>
          <w:rFonts w:hint="eastAsia" w:ascii="Times New Roman" w:hAnsi="Times New Roman" w:eastAsia="仿宋_GB2312" w:cs="Times New Roman"/>
          <w:sz w:val="32"/>
          <w:szCs w:val="32"/>
          <w:lang w:eastAsia="zh-CN"/>
        </w:rPr>
        <w:drawing>
          <wp:anchor distT="0" distB="0" distL="114300" distR="114300" simplePos="0" relativeHeight="251661312" behindDoc="1" locked="0" layoutInCell="1" allowOverlap="1">
            <wp:simplePos x="0" y="0"/>
            <wp:positionH relativeFrom="column">
              <wp:posOffset>-10013315</wp:posOffset>
            </wp:positionH>
            <wp:positionV relativeFrom="paragraph">
              <wp:posOffset>-923290</wp:posOffset>
            </wp:positionV>
            <wp:extent cx="7560310" cy="4176395"/>
            <wp:effectExtent l="0" t="0" r="2540" b="14605"/>
            <wp:wrapNone/>
            <wp:docPr id="3" name="图片 4"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文件头"/>
                    <pic:cNvPicPr>
                      <a:picLocks noChangeAspect="1"/>
                    </pic:cNvPicPr>
                  </pic:nvPicPr>
                  <pic:blipFill>
                    <a:blip r:embed="rId12"/>
                    <a:stretch>
                      <a:fillRect/>
                    </a:stretch>
                  </pic:blipFill>
                  <pic:spPr>
                    <a:xfrm>
                      <a:off x="0" y="0"/>
                      <a:ext cx="7560310" cy="4176395"/>
                    </a:xfrm>
                    <a:prstGeom prst="rect">
                      <a:avLst/>
                    </a:prstGeom>
                    <a:noFill/>
                    <a:ln>
                      <a:noFill/>
                    </a:ln>
                  </pic:spPr>
                </pic:pic>
              </a:graphicData>
            </a:graphic>
          </wp:anchor>
        </w:drawing>
      </w:r>
      <w:r>
        <w:rPr>
          <w:rFonts w:hint="eastAsia" w:ascii="Times New Roman" w:hAnsi="Times New Roman" w:eastAsia="仿宋_GB2312" w:cs="Times New Roman"/>
          <w:sz w:val="32"/>
          <w:szCs w:val="32"/>
          <w:lang w:eastAsia="zh-CN"/>
        </w:rPr>
        <w:drawing>
          <wp:anchor distT="0" distB="0" distL="114300" distR="114300" simplePos="0" relativeHeight="251660288" behindDoc="1" locked="0" layoutInCell="1" allowOverlap="1">
            <wp:simplePos x="0" y="0"/>
            <wp:positionH relativeFrom="column">
              <wp:posOffset>-9822815</wp:posOffset>
            </wp:positionH>
            <wp:positionV relativeFrom="paragraph">
              <wp:posOffset>-1485265</wp:posOffset>
            </wp:positionV>
            <wp:extent cx="7560310" cy="4176395"/>
            <wp:effectExtent l="0" t="0" r="2540" b="14605"/>
            <wp:wrapNone/>
            <wp:docPr id="4" name="图片 6"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文件头"/>
                    <pic:cNvPicPr>
                      <a:picLocks noChangeAspect="1"/>
                    </pic:cNvPicPr>
                  </pic:nvPicPr>
                  <pic:blipFill>
                    <a:blip r:embed="rId12"/>
                    <a:stretch>
                      <a:fillRect/>
                    </a:stretch>
                  </pic:blipFill>
                  <pic:spPr>
                    <a:xfrm>
                      <a:off x="0" y="0"/>
                      <a:ext cx="7560310" cy="4176395"/>
                    </a:xfrm>
                    <a:prstGeom prst="rect">
                      <a:avLst/>
                    </a:prstGeom>
                    <a:noFill/>
                    <a:ln>
                      <a:noFill/>
                    </a:ln>
                  </pic:spPr>
                </pic:pic>
              </a:graphicData>
            </a:graphic>
          </wp:anchor>
        </w:drawing>
      </w:r>
    </w:p>
    <w:p>
      <w:pPr>
        <w:pStyle w:val="1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等线"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等线"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等线" w:eastAsia="仿宋_GB2312"/>
          <w:sz w:val="32"/>
          <w:szCs w:val="32"/>
          <w:lang w:val="en-US" w:eastAsia="zh-CN"/>
        </w:rPr>
      </w:pPr>
      <w:r>
        <w:rPr>
          <w:rFonts w:hint="eastAsia" w:ascii="仿宋_GB2312" w:hAnsi="等线" w:eastAsia="仿宋_GB2312"/>
          <w:sz w:val="32"/>
          <w:szCs w:val="32"/>
          <w:lang w:eastAsia="zh-CN"/>
        </w:rPr>
        <w:t>衢医保发〔202</w:t>
      </w:r>
      <w:r>
        <w:rPr>
          <w:rFonts w:hint="eastAsia" w:ascii="仿宋_GB2312" w:hAnsi="等线" w:eastAsia="仿宋_GB2312"/>
          <w:sz w:val="32"/>
          <w:szCs w:val="32"/>
          <w:lang w:val="en-US" w:eastAsia="zh-CN"/>
        </w:rPr>
        <w:t>3</w:t>
      </w:r>
      <w:r>
        <w:rPr>
          <w:rFonts w:hint="eastAsia" w:ascii="仿宋_GB2312" w:hAnsi="等线" w:eastAsia="仿宋_GB2312"/>
          <w:sz w:val="32"/>
          <w:szCs w:val="32"/>
          <w:lang w:eastAsia="zh-CN"/>
        </w:rPr>
        <w:t>〕</w:t>
      </w:r>
      <w:r>
        <w:rPr>
          <w:rFonts w:hint="default" w:ascii="仿宋_GB2312" w:hAnsi="等线"/>
          <w:sz w:val="32"/>
          <w:szCs w:val="32"/>
          <w:lang w:val="en" w:eastAsia="zh-CN"/>
        </w:rPr>
        <w:t>8</w:t>
      </w:r>
      <w:r>
        <w:rPr>
          <w:rFonts w:hint="eastAsia" w:ascii="仿宋_GB2312" w:hAnsi="等线" w:eastAsia="仿宋_GB2312"/>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spacing w:line="600" w:lineRule="exact"/>
        <w:jc w:val="center"/>
        <w:rPr>
          <w:rFonts w:ascii="方正小标宋简体" w:hAnsi="黑体" w:eastAsia="方正小标宋简体" w:cs="黑体"/>
          <w:color w:val="000000" w:themeColor="text1"/>
          <w:sz w:val="44"/>
          <w:szCs w:val="44"/>
        </w:rPr>
      </w:pPr>
      <w:r>
        <w:rPr>
          <w:rFonts w:hint="eastAsia" w:ascii="方正小标宋简体" w:hAnsi="黑体" w:eastAsia="方正小标宋简体" w:cs="黑体"/>
          <w:color w:val="000000" w:themeColor="text1"/>
          <w:sz w:val="44"/>
          <w:szCs w:val="44"/>
        </w:rPr>
        <w:t>衢州市医疗保障局关于印发衢州市医药机构医疗保障定点管理暂行办法(试行)的通知</w:t>
      </w:r>
    </w:p>
    <w:p>
      <w:pPr>
        <w:spacing w:line="600" w:lineRule="exact"/>
        <w:rPr>
          <w:rFonts w:ascii="仿宋_GB2312" w:hAnsi="仿宋_GB2312" w:cs="仿宋_GB2312"/>
          <w:color w:val="000000" w:themeColor="text1"/>
          <w:sz w:val="30"/>
          <w:szCs w:val="30"/>
        </w:rPr>
      </w:pPr>
    </w:p>
    <w:p>
      <w:pPr>
        <w:spacing w:line="600" w:lineRule="exact"/>
        <w:rPr>
          <w:rFonts w:ascii="仿宋_GB2312" w:hAnsi="仿宋_GB2312" w:cs="仿宋_GB2312"/>
          <w:color w:val="000000" w:themeColor="text1"/>
          <w:szCs w:val="32"/>
        </w:rPr>
      </w:pPr>
      <w:r>
        <w:rPr>
          <w:rFonts w:hint="eastAsia" w:ascii="仿宋_GB2312" w:hAnsi="仿宋_GB2312" w:cs="仿宋_GB2312"/>
          <w:color w:val="000000" w:themeColor="text1"/>
          <w:szCs w:val="32"/>
        </w:rPr>
        <w:t>各县（市、区）医疗保障局、各有关单位:</w:t>
      </w:r>
    </w:p>
    <w:p>
      <w:pPr>
        <w:spacing w:line="6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《衢州市医药机构医疗保障定点管理暂行办法（试行）》已经研究同意</w:t>
      </w:r>
      <w:r>
        <w:rPr>
          <w:rFonts w:ascii="仿宋_GB2312" w:hAnsi="仿宋_GB2312" w:cs="仿宋_GB2312"/>
          <w:color w:val="000000" w:themeColor="text1"/>
          <w:szCs w:val="32"/>
        </w:rPr>
        <w:t>，</w:t>
      </w:r>
      <w:r>
        <w:rPr>
          <w:rFonts w:hint="eastAsia" w:ascii="仿宋_GB2312" w:hAnsi="仿宋_GB2312" w:cs="仿宋_GB2312"/>
          <w:color w:val="000000" w:themeColor="text1"/>
          <w:szCs w:val="32"/>
        </w:rPr>
        <w:t>现印发给你们</w:t>
      </w:r>
      <w:r>
        <w:rPr>
          <w:rFonts w:ascii="仿宋_GB2312" w:hAnsi="仿宋_GB2312" w:cs="仿宋_GB2312"/>
          <w:color w:val="000000" w:themeColor="text1"/>
          <w:szCs w:val="32"/>
        </w:rPr>
        <w:t>，</w:t>
      </w:r>
      <w:r>
        <w:rPr>
          <w:rFonts w:hint="eastAsia" w:ascii="仿宋_GB2312" w:hAnsi="仿宋_GB2312" w:cs="仿宋_GB2312"/>
          <w:color w:val="000000" w:themeColor="text1"/>
          <w:szCs w:val="32"/>
        </w:rPr>
        <w:t>请认真贯彻执行。</w:t>
      </w:r>
    </w:p>
    <w:p>
      <w:pPr>
        <w:spacing w:line="600" w:lineRule="exact"/>
        <w:ind w:firstLine="4438" w:firstLineChars="1387"/>
        <w:rPr>
          <w:rFonts w:ascii="仿宋_GB2312" w:hAnsi="仿宋_GB2312" w:cs="仿宋_GB2312"/>
          <w:color w:val="000000" w:themeColor="text1"/>
          <w:szCs w:val="32"/>
        </w:rPr>
      </w:pPr>
    </w:p>
    <w:p>
      <w:pPr>
        <w:spacing w:line="600" w:lineRule="exact"/>
        <w:rPr>
          <w:rFonts w:ascii="仿宋_GB2312" w:hAnsi="仿宋_GB2312" w:cs="仿宋_GB2312"/>
          <w:color w:val="000000" w:themeColor="text1"/>
          <w:szCs w:val="32"/>
        </w:rPr>
      </w:pPr>
    </w:p>
    <w:p>
      <w:pPr>
        <w:tabs>
          <w:tab w:val="left" w:pos="7513"/>
          <w:tab w:val="left" w:pos="7655"/>
        </w:tabs>
        <w:spacing w:line="600" w:lineRule="exact"/>
        <w:ind w:firstLine="4800" w:firstLineChars="1500"/>
        <w:rPr>
          <w:rFonts w:ascii="仿宋_GB2312" w:hAnsi="仿宋_GB2312" w:cs="仿宋_GB2312"/>
          <w:color w:val="000000" w:themeColor="text1"/>
          <w:szCs w:val="32"/>
        </w:rPr>
      </w:pPr>
      <w:r>
        <w:rPr>
          <w:rFonts w:hint="eastAsia" w:ascii="仿宋_GB2312" w:hAnsi="仿宋_GB2312" w:cs="仿宋_GB2312"/>
          <w:color w:val="000000" w:themeColor="text1"/>
          <w:szCs w:val="32"/>
        </w:rPr>
        <w:t>衢州市医疗保障局</w:t>
      </w:r>
    </w:p>
    <w:p>
      <w:pPr>
        <w:spacing w:line="600" w:lineRule="exact"/>
        <w:ind w:firstLine="4898" w:firstLineChars="1550"/>
        <w:rPr>
          <w:rFonts w:ascii="仿宋_GB2312" w:hAnsi="仿宋_GB2312" w:cs="仿宋_GB2312"/>
          <w:color w:val="000000" w:themeColor="text1"/>
          <w:w w:val="99"/>
          <w:szCs w:val="32"/>
        </w:rPr>
      </w:pPr>
      <w:r>
        <w:rPr>
          <w:rFonts w:hint="eastAsia" w:ascii="仿宋_GB2312" w:hAnsi="仿宋_GB2312" w:cs="仿宋_GB2312"/>
          <w:color w:val="000000" w:themeColor="text1"/>
          <w:w w:val="99"/>
          <w:szCs w:val="32"/>
        </w:rPr>
        <w:t>202</w:t>
      </w:r>
      <w:r>
        <w:rPr>
          <w:rFonts w:hint="eastAsia" w:ascii="仿宋_GB2312" w:hAnsi="仿宋_GB2312" w:cs="仿宋_GB2312"/>
          <w:color w:val="000000" w:themeColor="text1"/>
          <w:w w:val="99"/>
          <w:szCs w:val="32"/>
          <w:lang w:val="en-US" w:eastAsia="zh-CN"/>
        </w:rPr>
        <w:t>3</w:t>
      </w:r>
      <w:r>
        <w:rPr>
          <w:rFonts w:hint="eastAsia" w:ascii="仿宋_GB2312" w:hAnsi="仿宋_GB2312" w:cs="仿宋_GB2312"/>
          <w:color w:val="000000" w:themeColor="text1"/>
          <w:w w:val="99"/>
          <w:szCs w:val="32"/>
        </w:rPr>
        <w:t xml:space="preserve"> 年</w:t>
      </w:r>
      <w:r>
        <w:rPr>
          <w:rFonts w:hint="eastAsia" w:ascii="仿宋_GB2312" w:hAnsi="仿宋_GB2312" w:cs="仿宋_GB2312"/>
          <w:color w:val="000000" w:themeColor="text1"/>
          <w:w w:val="99"/>
          <w:szCs w:val="32"/>
          <w:lang w:val="en-US" w:eastAsia="zh-CN"/>
        </w:rPr>
        <w:t>1</w:t>
      </w:r>
      <w:r>
        <w:rPr>
          <w:rFonts w:hint="eastAsia" w:ascii="仿宋_GB2312" w:hAnsi="仿宋_GB2312" w:cs="仿宋_GB2312"/>
          <w:color w:val="000000" w:themeColor="text1"/>
          <w:w w:val="99"/>
          <w:szCs w:val="32"/>
        </w:rPr>
        <w:t>月</w:t>
      </w:r>
      <w:r>
        <w:rPr>
          <w:rFonts w:hint="eastAsia" w:ascii="仿宋_GB2312" w:hAnsi="仿宋_GB2312" w:cs="仿宋_GB2312"/>
          <w:color w:val="000000" w:themeColor="text1"/>
          <w:w w:val="99"/>
          <w:szCs w:val="32"/>
          <w:lang w:val="en-US" w:eastAsia="zh-CN"/>
        </w:rPr>
        <w:t>18</w:t>
      </w:r>
      <w:r>
        <w:rPr>
          <w:rFonts w:hint="eastAsia" w:ascii="仿宋_GB2312" w:hAnsi="仿宋_GB2312" w:cs="仿宋_GB2312"/>
          <w:color w:val="000000" w:themeColor="text1"/>
          <w:w w:val="99"/>
          <w:szCs w:val="32"/>
        </w:rPr>
        <w:t>日</w:t>
      </w:r>
    </w:p>
    <w:p>
      <w:pPr>
        <w:spacing w:line="600" w:lineRule="exact"/>
        <w:jc w:val="center"/>
        <w:rPr>
          <w:rFonts w:hint="eastAsia" w:ascii="方正小标宋简体" w:hAnsi="黑体" w:eastAsia="方正小标宋简体" w:cs="黑体"/>
          <w:color w:val="auto"/>
          <w:sz w:val="44"/>
          <w:szCs w:val="44"/>
          <w:highlight w:val="none"/>
        </w:rPr>
      </w:pPr>
    </w:p>
    <w:p>
      <w:pPr>
        <w:spacing w:line="600" w:lineRule="exact"/>
        <w:jc w:val="center"/>
        <w:rPr>
          <w:rFonts w:hint="eastAsia" w:ascii="方正小标宋简体" w:hAnsi="黑体" w:eastAsia="方正小标宋简体" w:cs="黑体"/>
          <w:color w:val="auto"/>
          <w:sz w:val="44"/>
          <w:szCs w:val="44"/>
          <w:highlight w:val="none"/>
        </w:rPr>
      </w:pPr>
    </w:p>
    <w:p>
      <w:pPr>
        <w:pStyle w:val="11"/>
        <w:rPr>
          <w:rFonts w:hint="eastAsia" w:ascii="方正小标宋简体" w:hAnsi="黑体" w:eastAsia="方正小标宋简体" w:cs="黑体"/>
          <w:color w:val="auto"/>
          <w:sz w:val="44"/>
          <w:szCs w:val="44"/>
          <w:highlight w:val="none"/>
        </w:rPr>
      </w:pPr>
    </w:p>
    <w:p>
      <w:pPr>
        <w:spacing w:line="600" w:lineRule="exact"/>
        <w:jc w:val="both"/>
        <w:rPr>
          <w:rFonts w:hint="eastAsia" w:ascii="方正小标宋简体" w:hAnsi="黑体" w:eastAsia="方正小标宋简体" w:cs="黑体"/>
          <w:color w:val="auto"/>
          <w:sz w:val="44"/>
          <w:szCs w:val="44"/>
          <w:highlight w:val="none"/>
        </w:rPr>
      </w:pPr>
    </w:p>
    <w:p>
      <w:pPr>
        <w:spacing w:line="600" w:lineRule="exact"/>
        <w:jc w:val="center"/>
        <w:rPr>
          <w:rFonts w:hint="eastAsia" w:ascii="方正小标宋简体" w:hAnsi="黑体" w:eastAsia="方正小标宋简体" w:cs="黑体"/>
          <w:color w:val="auto"/>
          <w:sz w:val="44"/>
          <w:szCs w:val="44"/>
          <w:highlight w:val="none"/>
        </w:rPr>
      </w:pPr>
      <w:bookmarkStart w:id="4" w:name="_GoBack"/>
      <w:bookmarkEnd w:id="4"/>
    </w:p>
    <w:p>
      <w:pPr>
        <w:spacing w:line="600" w:lineRule="exact"/>
        <w:jc w:val="center"/>
        <w:rPr>
          <w:rFonts w:ascii="方正小标宋简体" w:hAnsi="黑体" w:eastAsia="方正小标宋简体" w:cs="黑体"/>
          <w:color w:val="auto"/>
          <w:sz w:val="44"/>
          <w:szCs w:val="44"/>
          <w:highlight w:val="none"/>
        </w:rPr>
      </w:pPr>
      <w:r>
        <w:rPr>
          <w:rFonts w:hint="eastAsia" w:ascii="方正小标宋简体" w:hAnsi="黑体" w:eastAsia="方正小标宋简体" w:cs="黑体"/>
          <w:color w:val="auto"/>
          <w:sz w:val="44"/>
          <w:szCs w:val="44"/>
          <w:highlight w:val="none"/>
        </w:rPr>
        <w:t>衢州市医药机构医疗保障定点管理暂行</w:t>
      </w:r>
    </w:p>
    <w:p>
      <w:pPr>
        <w:spacing w:line="600" w:lineRule="exact"/>
        <w:jc w:val="center"/>
        <w:rPr>
          <w:rFonts w:ascii="方正小标宋简体" w:hAnsi="黑体" w:eastAsia="方正小标宋简体" w:cs="黑体"/>
          <w:color w:val="auto"/>
          <w:sz w:val="44"/>
          <w:szCs w:val="44"/>
          <w:highlight w:val="none"/>
        </w:rPr>
      </w:pPr>
      <w:r>
        <w:rPr>
          <w:rFonts w:hint="eastAsia" w:ascii="方正小标宋简体" w:hAnsi="黑体" w:eastAsia="方正小标宋简体" w:cs="黑体"/>
          <w:color w:val="auto"/>
          <w:sz w:val="44"/>
          <w:szCs w:val="44"/>
          <w:highlight w:val="none"/>
        </w:rPr>
        <w:t>办法（试行）</w:t>
      </w:r>
    </w:p>
    <w:p>
      <w:pPr>
        <w:spacing w:line="600" w:lineRule="exact"/>
        <w:jc w:val="center"/>
        <w:rPr>
          <w:rFonts w:ascii="方正小标宋简体" w:hAnsi="黑体" w:eastAsia="方正小标宋简体" w:cs="黑体"/>
          <w:color w:val="auto"/>
          <w:sz w:val="44"/>
          <w:szCs w:val="44"/>
          <w:highlight w:val="none"/>
        </w:rPr>
      </w:pPr>
    </w:p>
    <w:p>
      <w:pPr>
        <w:tabs>
          <w:tab w:val="left" w:pos="7513"/>
          <w:tab w:val="left" w:pos="7655"/>
        </w:tabs>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为加强和规范医药机构医疗保障定点管理，提高医疗保障基金使用效率，更好地保障广大参保人员权益，根据《中华人民共和国社会保险法》、《医疗保障基金使用监督管理条例》（中华人民共和国国务院令第735号）、《医疗机构医疗保障定点管理暂行办法》（国家医疗保障局令第2号）、《零售药店医疗保障定点管理暂行办法》（国家医疗保障局令第3号）、《浙江省医疗保障定点医疗机构和定点零售药店确定评估细则的通知》（浙医保发〔2021〕46号）、《浙江省医疗保障条例》（浙江省第十三届人民代表大会常务委员会公告第46号）及《衢州市医疗保障暂行办法》（衢政发〔2020〕26号）等规定，结合本市实际，制定本办法。</w:t>
      </w:r>
    </w:p>
    <w:p>
      <w:pPr>
        <w:spacing w:line="600" w:lineRule="exact"/>
        <w:ind w:firstLine="640" w:firstLineChars="200"/>
        <w:rPr>
          <w:rFonts w:ascii="黑体" w:hAnsi="黑体" w:eastAsia="黑体" w:cs="仿宋_GB2312"/>
          <w:color w:val="auto"/>
          <w:szCs w:val="32"/>
          <w:highlight w:val="none"/>
        </w:rPr>
      </w:pPr>
      <w:r>
        <w:rPr>
          <w:rFonts w:hint="eastAsia" w:ascii="黑体" w:hAnsi="黑体" w:eastAsia="黑体" w:cs="仿宋_GB2312"/>
          <w:color w:val="auto"/>
          <w:szCs w:val="32"/>
          <w:highlight w:val="none"/>
        </w:rPr>
        <w:t>一、基本原则</w:t>
      </w:r>
    </w:p>
    <w:p>
      <w:pPr>
        <w:spacing w:line="600" w:lineRule="exact"/>
        <w:ind w:firstLine="601"/>
        <w:rPr>
          <w:rFonts w:ascii="仿宋_GB2312" w:hAnsi="仿宋_GB2312" w:cs="仿宋_GB2312"/>
          <w:color w:val="auto"/>
          <w:szCs w:val="32"/>
          <w:highlight w:val="none"/>
        </w:rPr>
      </w:pPr>
      <w:r>
        <w:rPr>
          <w:rFonts w:hint="eastAsia" w:ascii="仿宋_GB2312" w:hAnsi="仿宋_GB2312" w:cs="仿宋_GB2312"/>
          <w:color w:val="auto"/>
          <w:szCs w:val="32"/>
          <w:highlight w:val="none"/>
        </w:rPr>
        <w:t>（一）医疗机构和零售药店（以下简称“医药机构”）的医疗保障定点管理应坚持以人民健康为中心，遵循保障基本、公平公正、权责明晰、供需平衡、合理布局、择优选择、鼓励竞争的原则，加强医疗保障精细化管理，促进医疗机构供给侧改革，发挥零售药店市场活力，为参保人员提供适宜的医疗和药品服务。</w:t>
      </w:r>
    </w:p>
    <w:p>
      <w:pPr>
        <w:spacing w:line="600" w:lineRule="exact"/>
        <w:ind w:firstLine="601"/>
        <w:rPr>
          <w:rFonts w:ascii="仿宋_GB2312" w:hAnsi="仿宋_GB2312" w:cs="仿宋_GB2312"/>
          <w:color w:val="auto"/>
          <w:szCs w:val="32"/>
          <w:highlight w:val="none"/>
        </w:rPr>
      </w:pPr>
      <w:r>
        <w:rPr>
          <w:rFonts w:hint="eastAsia" w:ascii="仿宋_GB2312" w:hAnsi="仿宋_GB2312" w:cs="仿宋_GB2312"/>
          <w:color w:val="auto"/>
          <w:szCs w:val="32"/>
          <w:highlight w:val="none"/>
        </w:rPr>
        <w:t>（二）医疗保障行政部门负责制定医药机构定点管理政策，在定点申请、专业评估、协商谈判、协议订立、协议履行、协议解除等环节对医疗保障经办机构（以下简称“经办机构”）、定点医药机构进行监督。经办机构负责确定定点医药机构，并与定点医药机构签订医疗保障服务协议（以下简称“医保协议”），提供经办服务，开展医保协议管理、考核等。定点医药机构应当遵守医疗保障法律、法规、规章及有关政策，按照规定向参保人员提供医药服务。</w:t>
      </w:r>
    </w:p>
    <w:p>
      <w:pPr>
        <w:spacing w:line="600" w:lineRule="exact"/>
        <w:ind w:firstLine="640" w:firstLineChars="200"/>
        <w:rPr>
          <w:rFonts w:ascii="黑体" w:hAnsi="黑体" w:eastAsia="黑体" w:cs="仿宋_GB2312"/>
          <w:color w:val="auto"/>
          <w:szCs w:val="32"/>
          <w:highlight w:val="none"/>
        </w:rPr>
      </w:pPr>
      <w:r>
        <w:rPr>
          <w:rFonts w:hint="eastAsia" w:ascii="黑体" w:hAnsi="黑体" w:eastAsia="黑体" w:cs="仿宋_GB2312"/>
          <w:color w:val="auto"/>
          <w:szCs w:val="32"/>
          <w:highlight w:val="none"/>
        </w:rPr>
        <w:t>二、定点医药机构的确定</w:t>
      </w:r>
    </w:p>
    <w:p>
      <w:pPr>
        <w:spacing w:line="600" w:lineRule="exact"/>
        <w:ind w:firstLine="601"/>
        <w:rPr>
          <w:rFonts w:ascii="仿宋_GB2312" w:hAnsi="仿宋_GB2312" w:cs="仿宋_GB2312"/>
          <w:color w:val="auto"/>
          <w:szCs w:val="32"/>
          <w:highlight w:val="none"/>
        </w:rPr>
      </w:pPr>
      <w:r>
        <w:rPr>
          <w:rFonts w:hint="eastAsia" w:ascii="仿宋_GB2312" w:hAnsi="仿宋_GB2312" w:cs="仿宋_GB2312"/>
          <w:color w:val="auto"/>
          <w:szCs w:val="32"/>
          <w:highlight w:val="none"/>
        </w:rPr>
        <w:t>医疗保障行政部门应根据公众健康需求、医保基金收支、区域卫生规划、医疗机构设置规划、参保人员数量、</w:t>
      </w:r>
      <w:r>
        <w:rPr>
          <w:rFonts w:hint="eastAsia" w:ascii="仿宋_GB2312" w:hAnsi="仿宋_GB2312" w:cs="仿宋_GB2312"/>
          <w:szCs w:val="32"/>
        </w:rPr>
        <w:t>参保人员用药需求</w:t>
      </w:r>
      <w:r>
        <w:rPr>
          <w:rFonts w:hint="eastAsia" w:ascii="仿宋_GB2312" w:hAnsi="仿宋_GB2312" w:cs="仿宋_GB2312"/>
          <w:szCs w:val="32"/>
          <w:lang w:eastAsia="zh-CN"/>
        </w:rPr>
        <w:t>、</w:t>
      </w:r>
      <w:r>
        <w:rPr>
          <w:rFonts w:hint="eastAsia" w:ascii="仿宋_GB2312" w:hAnsi="仿宋_GB2312" w:cs="仿宋_GB2312"/>
          <w:color w:val="auto"/>
          <w:szCs w:val="32"/>
          <w:highlight w:val="none"/>
        </w:rPr>
        <w:t>业务经办能力等实际情况，结合年度内定点医</w:t>
      </w:r>
      <w:r>
        <w:rPr>
          <w:rFonts w:hint="eastAsia" w:ascii="仿宋_GB2312" w:hAnsi="仿宋_GB2312" w:cs="仿宋_GB2312"/>
          <w:color w:val="auto"/>
          <w:szCs w:val="32"/>
          <w:highlight w:val="none"/>
          <w:lang w:val="en-US" w:eastAsia="zh-CN"/>
        </w:rPr>
        <w:t>药</w:t>
      </w:r>
      <w:r>
        <w:rPr>
          <w:rFonts w:hint="eastAsia" w:ascii="仿宋_GB2312" w:hAnsi="仿宋_GB2312" w:cs="仿宋_GB2312"/>
          <w:color w:val="auto"/>
          <w:szCs w:val="32"/>
          <w:highlight w:val="none"/>
        </w:rPr>
        <w:t>机构的退出情况对本</w:t>
      </w:r>
      <w:r>
        <w:rPr>
          <w:rFonts w:hint="eastAsia" w:ascii="仿宋_GB2312" w:hAnsi="仿宋_GB2312" w:cs="仿宋_GB2312"/>
          <w:szCs w:val="32"/>
        </w:rPr>
        <w:t>统筹地区</w:t>
      </w:r>
      <w:r>
        <w:rPr>
          <w:rFonts w:hint="eastAsia" w:ascii="仿宋_GB2312" w:hAnsi="仿宋_GB2312" w:cs="仿宋_GB2312"/>
          <w:color w:val="auto"/>
          <w:szCs w:val="32"/>
          <w:highlight w:val="none"/>
        </w:rPr>
        <w:t>定点医</w:t>
      </w:r>
      <w:r>
        <w:rPr>
          <w:rFonts w:hint="eastAsia" w:ascii="仿宋_GB2312" w:hAnsi="仿宋_GB2312" w:cs="仿宋_GB2312"/>
          <w:color w:val="auto"/>
          <w:szCs w:val="32"/>
          <w:highlight w:val="none"/>
          <w:lang w:val="en-US" w:eastAsia="zh-CN"/>
        </w:rPr>
        <w:t>药</w:t>
      </w:r>
      <w:r>
        <w:rPr>
          <w:rFonts w:hint="eastAsia" w:ascii="仿宋_GB2312" w:hAnsi="仿宋_GB2312" w:cs="仿宋_GB2312"/>
          <w:color w:val="auto"/>
          <w:szCs w:val="32"/>
          <w:highlight w:val="none"/>
        </w:rPr>
        <w:t>机构数量进行动态调整，实现有进有出，总量控制。</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（一）医疗机构申请</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1.申请类别范围</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以下取得医疗机构执业许可证或中医诊所备案证的医疗机构，以及经军队主管部门批准有为民服务资质的军队医疗机构可申请医保定点：</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（1）综合医院、中医医院、中西医结合医院、民族</w:t>
      </w:r>
      <w:r>
        <w:rPr>
          <w:rFonts w:hint="eastAsia" w:ascii="仿宋_GB2312" w:hAnsi="仿宋_GB2312" w:cs="仿宋_GB2312"/>
          <w:color w:val="auto"/>
          <w:szCs w:val="32"/>
          <w:highlight w:val="none"/>
          <w:lang w:eastAsia="zh-CN"/>
        </w:rPr>
        <w:t>医</w:t>
      </w:r>
      <w:r>
        <w:rPr>
          <w:rFonts w:hint="eastAsia" w:ascii="仿宋_GB2312" w:hAnsi="仿宋_GB2312" w:cs="仿宋_GB2312"/>
          <w:color w:val="auto"/>
          <w:szCs w:val="32"/>
          <w:highlight w:val="none"/>
        </w:rPr>
        <w:t>医院、专科医院、康复医院；</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（2）专科疾病防治院（所、站）、妇幼保健院；</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（3）社区卫生服务中心（站）、中心卫生院、乡镇卫生院、街道卫生院、门诊部、诊所、卫生所（站）、村卫生室（所）；</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（4）独立设置的急救中心；</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（5）安宁疗护中心、血液透析中心、护理院；</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（6）养老机构内设的床位分区设立、财务分别核算的医疗机构；</w:t>
      </w:r>
    </w:p>
    <w:p>
      <w:pPr>
        <w:spacing w:line="600" w:lineRule="exact"/>
        <w:ind w:firstLine="600" w:firstLineChars="200"/>
        <w:rPr>
          <w:rFonts w:ascii="仿宋_GB2312" w:hAnsi="Arial" w:cs="Arial"/>
          <w:color w:val="auto"/>
          <w:kern w:val="0"/>
          <w:sz w:val="30"/>
          <w:szCs w:val="30"/>
          <w:highlight w:val="none"/>
          <w:u w:val="none"/>
        </w:rPr>
      </w:pPr>
      <w:r>
        <w:rPr>
          <w:rFonts w:hint="eastAsia" w:ascii="仿宋_GB2312" w:hAnsi="Arial" w:cs="Arial"/>
          <w:color w:val="auto"/>
          <w:kern w:val="0"/>
          <w:sz w:val="30"/>
          <w:szCs w:val="30"/>
          <w:highlight w:val="none"/>
          <w:u w:val="none"/>
        </w:rPr>
        <w:t>（7）企事业单位内设医务室；</w:t>
      </w:r>
    </w:p>
    <w:p>
      <w:pPr>
        <w:spacing w:line="600" w:lineRule="exact"/>
        <w:ind w:firstLine="600" w:firstLineChars="200"/>
        <w:rPr>
          <w:rFonts w:ascii="仿宋_GB2312" w:hAnsi="Arial" w:cs="Arial"/>
          <w:color w:val="auto"/>
          <w:kern w:val="0"/>
          <w:sz w:val="30"/>
          <w:szCs w:val="30"/>
          <w:highlight w:val="none"/>
          <w:u w:val="none"/>
        </w:rPr>
      </w:pPr>
      <w:r>
        <w:rPr>
          <w:rFonts w:hint="eastAsia" w:ascii="仿宋_GB2312" w:hAnsi="Arial" w:cs="Arial"/>
          <w:color w:val="auto"/>
          <w:kern w:val="0"/>
          <w:sz w:val="30"/>
          <w:szCs w:val="30"/>
          <w:highlight w:val="none"/>
          <w:u w:val="none"/>
        </w:rPr>
        <w:t>（8）盲人医疗按摩所。</w:t>
      </w:r>
    </w:p>
    <w:p>
      <w:pPr>
        <w:spacing w:line="600" w:lineRule="exact"/>
        <w:ind w:firstLine="576" w:firstLineChars="180"/>
        <w:rPr>
          <w:rFonts w:ascii="仿宋_GB2312" w:hAnsi="仿宋_GB2312" w:cs="仿宋_GB2312"/>
          <w:color w:val="auto"/>
          <w:szCs w:val="32"/>
          <w:highlight w:val="none"/>
        </w:rPr>
      </w:pPr>
      <w:r>
        <w:rPr>
          <w:rFonts w:hint="eastAsia" w:ascii="仿宋_GB2312" w:hAnsi="仿宋_GB2312" w:cs="仿宋_GB2312"/>
          <w:color w:val="auto"/>
          <w:szCs w:val="32"/>
          <w:highlight w:val="none"/>
          <w:u w:val="none"/>
        </w:rPr>
        <w:t>互联网医院可依托其实体医疗机构申请签订补充协议，其提供的医疗服务所产生的符合医保支付范围的相关费用，纳入该实体定点医疗机构按</w:t>
      </w:r>
      <w:r>
        <w:rPr>
          <w:rFonts w:hint="eastAsia" w:ascii="仿宋_GB2312" w:hAnsi="仿宋_GB2312" w:cs="仿宋_GB2312"/>
          <w:color w:val="auto"/>
          <w:szCs w:val="32"/>
          <w:highlight w:val="none"/>
        </w:rPr>
        <w:t>规定结算管理。</w:t>
      </w:r>
    </w:p>
    <w:p>
      <w:pPr>
        <w:spacing w:line="600" w:lineRule="exact"/>
        <w:ind w:firstLine="576" w:firstLineChars="180"/>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 独立设置的临床检验中心、医学检验实验室、病理诊断中心、医学影像诊断中心等可作为第三方服务提供机构，与定点医疗机构签订协议，为定点医疗机构提供相关服务，符合医保支付范围的费用由经办机构与定点医疗机构结算。定点医疗机构应及时将协议签订情况向当地经办机构备案。</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2.申请条件</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申请医保定点的医疗机构应当同时具备以下基本条件:　</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（1）正式运营至少3个月；</w:t>
      </w:r>
    </w:p>
    <w:p>
      <w:pPr>
        <w:spacing w:line="600" w:lineRule="exact"/>
        <w:ind w:firstLine="6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 xml:space="preserve">（2）除盲人医疗按摩所外，医疗机构应至少有1名取得医师执业证书、乡村医生执业证书或中医（专长）医师资格证书且第一注册地在该医疗机构的医师；盲人医疗按摩所应配备持有中国残联核发的《盲人医疗按摩人员从事医疗按摩资格证书》的专业技术人员3名（含）以上，按摩床10张（含）以上，服务场所建筑面积120平方米（含）以上； </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w:t>
      </w:r>
      <w:r>
        <w:rPr>
          <w:rFonts w:hint="eastAsia" w:ascii="仿宋_GB2312" w:hAnsi="仿宋_GB2312" w:cs="仿宋_GB2312"/>
          <w:color w:val="auto"/>
          <w:szCs w:val="32"/>
          <w:highlight w:val="none"/>
          <w:lang w:eastAsia="zh-CN"/>
        </w:rPr>
        <w:t>机构领导</w:t>
      </w:r>
      <w:r>
        <w:rPr>
          <w:rFonts w:hint="eastAsia" w:ascii="仿宋_GB2312" w:hAnsi="仿宋_GB2312" w:cs="仿宋_GB2312"/>
          <w:color w:val="auto"/>
          <w:szCs w:val="32"/>
          <w:highlight w:val="none"/>
        </w:rPr>
        <w:t>负责医保工作，配备专（兼）职医保管理人员；100张床位以上的医疗机构应设内部医保管理部门，安排专职工作人员；</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（4）具有符合医保协议管理要求的医保管理制度、财务制度、统计信息管理制度、医疗质量安全核心制度等；</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（6）具有规范的药品、医用器材等进货渠道，对经营药品或医用器材实行“进、销、存”管理，相关台账应账册清楚，账物相符，并实现信息化管理；</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（7）符合法律法规和上级医疗保障行政部门规定的其他条件。</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3.申请材料</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u w:val="none"/>
        </w:rPr>
        <w:t>医疗机构向统筹地区经办</w:t>
      </w:r>
      <w:r>
        <w:rPr>
          <w:rFonts w:hint="eastAsia" w:ascii="仿宋_GB2312" w:hAnsi="仿宋_GB2312" w:cs="仿宋_GB2312"/>
          <w:color w:val="auto"/>
          <w:szCs w:val="32"/>
          <w:highlight w:val="none"/>
        </w:rPr>
        <w:t>机构提出医保定点申请，至少提供以下材料：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（1）定点医疗机构申请表；</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（2）医疗机构执业许可证或中医诊所备案证或军队医疗机构为民服务许可证照复印件，营利性医疗机构另需提供营业执照；</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（3）与医保政策对应的内部管理制度和财务制度文本；</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（4）与医保有关的医疗机构信息系统相关材料；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（5）纳入定点后使用医疗保障基金的预测性分析报告；</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（6）县级以上卫健部门确认的医疗机构等级证明（无等级不需提供）、执业医师（包括执业助理医师、乡村医师）注册及职称证明等相关材料；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（7）医疗机构用房产权证明或经房产主管部门备案的租赁合同等相关材料；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（8）法定代表人身份证复印件及医疗机构工作人员花名册；</w:t>
      </w:r>
    </w:p>
    <w:p>
      <w:pPr>
        <w:spacing w:line="600" w:lineRule="exact"/>
        <w:ind w:firstLine="640" w:firstLineChars="200"/>
        <w:rPr>
          <w:color w:val="auto"/>
          <w:highlight w:val="none"/>
        </w:rPr>
      </w:pPr>
      <w:r>
        <w:rPr>
          <w:rFonts w:hint="eastAsia" w:ascii="仿宋_GB2312" w:hAnsi="仿宋_GB2312" w:cs="仿宋_GB2312"/>
          <w:color w:val="auto"/>
          <w:szCs w:val="32"/>
          <w:highlight w:val="none"/>
        </w:rPr>
        <w:t>（9）上级医疗保障行政部门按相关规定要求提供的其他材料。</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以上材料经办机构如能及时通过数据共享获取的，医疗机构无需提供。</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（二）定点零售药店申请条件及材料</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1.申请条件</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取得药品经营许可证，并同时符合以下条件:　</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（1）在注册地址正式经营至少3个月；</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（2）至少有1名取得执业药师资格证书或具有药学、临床药学、中药学专业技术资格证书的药师，且注册地在该零售药店所在地，药师须签订1年以上劳动合同且在合同期内；</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（3）至少有2名熟悉医疗保障法律法规和相关制度规定的专（兼）职医保管理人员负责管理医保费用，并签订1年以上劳动合同且在合同期内；</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（4）按药品经营质量管理规范要求，开展药品分类分区管理，并对所售药品设立明确的医保用药标识；</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（5）具有符合医保协议管理要求的医保药品管理制度、财务管理制度、医保人员管理制度、统计信息管理制度和医保费用结算制度；</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（6）具备符合医保协议管理要求的信息系统技术和接口标准，实现与医保信息系统有效对接，为参保人员提供直接联网结算，建立医保药品等基础数据库，按规定使用国家统一医保编码；</w:t>
      </w:r>
    </w:p>
    <w:p>
      <w:pPr>
        <w:pStyle w:val="12"/>
        <w:spacing w:before="0" w:beforeAutospacing="0" w:after="0" w:afterAutospacing="0" w:line="60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（7）营业执照经营范围仅限于药品、医疗器械、卫生消毒等医疗相关用品、食品（限药食同源）；卫生消毒等医疗相关用品及食品（限药食同源）经营面积不得超过总经营面积的20%；</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（8）具有规范的药品、医疗器械等进货渠道，对经营药品、医疗器械等医疗用品及保健滋补品实行“进、销、存”管理，相关台账应账册清楚，账物相符，并实现信息化管理；</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（9）符合法律法规和上级医疗保障行政部门规定的其他条件。</w:t>
      </w:r>
    </w:p>
    <w:p>
      <w:pPr>
        <w:spacing w:line="600" w:lineRule="exact"/>
        <w:ind w:firstLine="576" w:firstLineChars="180"/>
        <w:rPr>
          <w:rFonts w:ascii="仿宋_GB2312" w:hAnsi="仿宋_GB2312" w:cs="仿宋_GB2312"/>
          <w:color w:val="auto"/>
          <w:szCs w:val="32"/>
          <w:highlight w:val="none"/>
        </w:rPr>
      </w:pPr>
      <w:r>
        <w:rPr>
          <w:rFonts w:hint="eastAsia" w:ascii="仿宋_GB2312" w:hAnsi="仿宋_GB2312" w:cs="仿宋_GB2312"/>
          <w:color w:val="auto"/>
          <w:szCs w:val="32"/>
          <w:highlight w:val="none"/>
        </w:rPr>
        <w:t>互联网药店可依托其实体零售药店申请签订补充协议，其提供的医药服务所产生的符合医保支付范围的相关费用，纳入该实体定点零售药店按规定结算管理。</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2.申请材料</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零售药店向统筹地区经办机构提出医疗保障定点申请，至少提供以下材料：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（1）定点零售药店申请表；</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（2）药品经营许可证、营业执照和法定代表人、主要负责人或实际控制人身份证复印件；</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（3）执业药师资格证书或药学技术人员相关证书及其劳动合同复印件；</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（4）医保专（兼）职管理人员的劳动合同复印件；</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（5）与医疗保障政策对应的内部管理制度和财务制度文本；</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（6）与医保有关的信息系统相关材料；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（7）纳入定点后使用医疗保障基金的预测性分析报告；</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（8）零售药店营业场所产权证明或经房产主管部门备案的租赁合同、平面布局图等相关资料；</w:t>
      </w:r>
    </w:p>
    <w:p>
      <w:pPr>
        <w:spacing w:line="600" w:lineRule="exact"/>
        <w:ind w:firstLine="600" w:firstLineChars="200"/>
        <w:rPr>
          <w:rFonts w:ascii="仿宋_GB2312" w:hAnsi="仿宋_GB2312" w:cs="仿宋_GB2312"/>
          <w:color w:val="auto"/>
          <w:szCs w:val="32"/>
          <w:highlight w:val="none"/>
        </w:rPr>
      </w:pPr>
      <w:r>
        <w:rPr>
          <w:rFonts w:hint="eastAsia" w:ascii="仿宋_GB2312" w:hAnsi="Arial" w:cs="Arial"/>
          <w:color w:val="auto"/>
          <w:kern w:val="0"/>
          <w:sz w:val="30"/>
          <w:szCs w:val="30"/>
          <w:highlight w:val="none"/>
        </w:rPr>
        <w:t>（9）</w:t>
      </w:r>
      <w:r>
        <w:rPr>
          <w:rFonts w:hint="eastAsia" w:ascii="仿宋_GB2312" w:hAnsi="仿宋_GB2312" w:cs="仿宋_GB2312"/>
          <w:color w:val="auto"/>
          <w:szCs w:val="32"/>
          <w:highlight w:val="none"/>
        </w:rPr>
        <w:t>上级医疗保障行政部门按相关规定要求提供的其他材料。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以上材料经办机构如能及时通过数据共享获取的，零售药店无需提供。</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（三）办理流程</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办理流程包括预登记、受理申请、综合评估及结果公示、党组会审议及协议签订、开通刷卡及公告等主要环节。</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1.预登记</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医药机构到经办机构进行预登记，按要求完成相关软件和硬件安装、联网工作，并试运行3个月。</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2.受理申请</w:t>
      </w:r>
    </w:p>
    <w:p>
      <w:pPr>
        <w:spacing w:line="600" w:lineRule="exact"/>
        <w:ind w:firstLine="6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rPr>
        <w:t>试运行期间不开通刷卡，试运行满3个月后，医疗机构向经办机构提交正式的定点申请书（附表1），</w:t>
      </w:r>
      <w:r>
        <w:rPr>
          <w:rFonts w:hint="eastAsia" w:ascii="仿宋_GB2312" w:hAnsi="仿宋_GB2312" w:cs="仿宋_GB2312"/>
          <w:color w:val="auto"/>
          <w:szCs w:val="32"/>
          <w:highlight w:val="none"/>
          <w:u w:val="none"/>
        </w:rPr>
        <w:t>经办机构原则上每季度应开展1次集中受理审查，经办机构可通过资料审查、现场核查、函询相关主管部门意见等方式，对医疗机构所申报材料和信息进行审核</w:t>
      </w:r>
      <w:r>
        <w:rPr>
          <w:rFonts w:hint="eastAsia" w:ascii="仿宋_GB2312" w:hAnsi="仿宋_GB2312" w:cs="仿宋_GB2312"/>
          <w:color w:val="auto"/>
          <w:szCs w:val="32"/>
          <w:highlight w:val="none"/>
          <w:u w:val="none"/>
          <w:lang w:eastAsia="zh-CN"/>
        </w:rPr>
        <w:t>，</w:t>
      </w:r>
      <w:r>
        <w:rPr>
          <w:rFonts w:hint="eastAsia" w:ascii="仿宋_GB2312" w:hAnsi="仿宋_GB2312" w:cs="仿宋_GB2312"/>
          <w:color w:val="auto"/>
          <w:szCs w:val="32"/>
          <w:highlight w:val="none"/>
          <w:u w:val="none"/>
        </w:rPr>
        <w:t>材料齐全</w:t>
      </w:r>
      <w:r>
        <w:rPr>
          <w:rFonts w:hint="eastAsia" w:ascii="仿宋_GB2312" w:hAnsi="仿宋_GB2312" w:cs="仿宋_GB2312"/>
          <w:color w:val="auto"/>
          <w:szCs w:val="32"/>
          <w:highlight w:val="none"/>
          <w:u w:val="none"/>
          <w:lang w:val="en-US" w:eastAsia="zh-CN"/>
        </w:rPr>
        <w:t>符合</w:t>
      </w:r>
      <w:r>
        <w:rPr>
          <w:rFonts w:hint="eastAsia" w:ascii="仿宋_GB2312" w:hAnsi="仿宋_GB2312" w:cs="仿宋_GB2312"/>
          <w:color w:val="auto"/>
          <w:szCs w:val="32"/>
          <w:highlight w:val="none"/>
          <w:u w:val="none"/>
        </w:rPr>
        <w:t>的予以受理，材</w:t>
      </w:r>
      <w:r>
        <w:rPr>
          <w:rFonts w:hint="eastAsia" w:ascii="仿宋_GB2312" w:hAnsi="仿宋_GB2312" w:cs="仿宋_GB2312"/>
          <w:color w:val="auto"/>
          <w:szCs w:val="32"/>
          <w:highlight w:val="none"/>
        </w:rPr>
        <w:t>料不齐或不符合条件的，应一次性告知医疗机构。医疗机构应自收到材料补正通知之日起5个工作日内补正，逾期不补正的视作放弃申请，须3个月后方可再次申请。</w:t>
      </w:r>
      <w:r>
        <w:rPr>
          <w:rFonts w:hint="eastAsia" w:ascii="仿宋_GB2312" w:hAnsi="仿宋_GB2312" w:cs="仿宋_GB2312"/>
          <w:color w:val="auto"/>
          <w:szCs w:val="32"/>
          <w:highlight w:val="none"/>
          <w:u w:val="none"/>
        </w:rPr>
        <w:t>对提供虚假材料的医疗机构，一经核实，取消本次申请。</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医疗机构有下列情形之一的，不予受理定点申请：</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（1）以医疗美容、辅助生殖、生活照护、种植牙、健康体检等非基本医疗服务为主要执业范围的；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（2）基本医疗服务未执行医疗保障行政部门制定的医药价格政策的；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（3）未依法履行行政处罚责任的；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（4）以弄虚作假等不正当手段申请定点，自发现之日起未满3年的；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（5）因违法违规被解除医保协议未满3年或已满3年但未完全履行行政处罚法律责任的；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（6）因违反</w:t>
      </w:r>
      <w:r>
        <w:rPr>
          <w:rFonts w:hint="eastAsia" w:ascii="仿宋_GB2312" w:hAnsi="仿宋_GB2312" w:cs="仿宋_GB2312"/>
          <w:color w:val="auto"/>
          <w:szCs w:val="32"/>
          <w:highlight w:val="none"/>
          <w:u w:val="none"/>
        </w:rPr>
        <w:t>医保协议约定</w:t>
      </w:r>
      <w:r>
        <w:rPr>
          <w:rFonts w:hint="eastAsia" w:ascii="仿宋_GB2312" w:hAnsi="仿宋_GB2312" w:cs="仿宋_GB2312"/>
          <w:color w:val="auto"/>
          <w:szCs w:val="32"/>
          <w:highlight w:val="none"/>
          <w:u w:val="none"/>
          <w:lang w:eastAsia="zh-CN"/>
        </w:rPr>
        <w:t>或医保相关规定</w:t>
      </w:r>
      <w:r>
        <w:rPr>
          <w:rFonts w:hint="eastAsia" w:ascii="仿宋_GB2312" w:hAnsi="仿宋_GB2312" w:cs="仿宋_GB2312"/>
          <w:color w:val="auto"/>
          <w:szCs w:val="32"/>
          <w:highlight w:val="none"/>
        </w:rPr>
        <w:t>而被解除协议未满1年或已满1年但未完全履行违约责任的；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（7）法定代表人、主要负责人或实际控制人曾因严重违法违规导致原定点医疗机构被解除医保协议，未满5年的；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（8）法定代表人、主要负责人或实际控制人被列入失信人名单的；</w:t>
      </w:r>
    </w:p>
    <w:p>
      <w:pPr>
        <w:spacing w:line="600" w:lineRule="exact"/>
        <w:ind w:firstLine="600" w:firstLineChars="200"/>
        <w:rPr>
          <w:rFonts w:ascii="仿宋_GB2312" w:hAnsi="Arial" w:cs="Arial"/>
          <w:color w:val="auto"/>
          <w:kern w:val="0"/>
          <w:sz w:val="30"/>
          <w:szCs w:val="30"/>
          <w:highlight w:val="none"/>
          <w:u w:val="none"/>
        </w:rPr>
      </w:pPr>
      <w:r>
        <w:rPr>
          <w:rFonts w:hint="eastAsia" w:ascii="仿宋_GB2312" w:hAnsi="Arial" w:cs="Arial"/>
          <w:color w:val="auto"/>
          <w:kern w:val="0"/>
          <w:sz w:val="30"/>
          <w:szCs w:val="30"/>
          <w:highlight w:val="none"/>
          <w:u w:val="none"/>
        </w:rPr>
        <w:t>（9） 因医疗服务行为受到有关行政部门处罚未满1年的；</w:t>
      </w:r>
    </w:p>
    <w:p>
      <w:pPr>
        <w:spacing w:line="600" w:lineRule="exact"/>
        <w:ind w:firstLine="600" w:firstLineChars="200"/>
        <w:rPr>
          <w:rFonts w:ascii="仿宋_GB2312" w:hAnsi="Arial" w:cs="Arial"/>
          <w:color w:val="auto"/>
          <w:kern w:val="0"/>
          <w:sz w:val="30"/>
          <w:szCs w:val="30"/>
          <w:highlight w:val="none"/>
          <w:u w:val="none"/>
        </w:rPr>
      </w:pPr>
      <w:r>
        <w:rPr>
          <w:rFonts w:hint="eastAsia" w:ascii="仿宋_GB2312" w:hAnsi="Arial" w:cs="Arial"/>
          <w:color w:val="auto"/>
          <w:kern w:val="0"/>
          <w:sz w:val="30"/>
          <w:szCs w:val="30"/>
          <w:highlight w:val="none"/>
          <w:u w:val="none"/>
        </w:rPr>
        <w:t>（10）近2年内有非法行医、非法医疗广告、诊室外包等不规范经营行为的；</w:t>
      </w:r>
    </w:p>
    <w:p>
      <w:pPr>
        <w:spacing w:line="600" w:lineRule="exact"/>
        <w:ind w:firstLine="600" w:firstLineChars="200"/>
        <w:rPr>
          <w:rFonts w:ascii="仿宋_GB2312" w:hAnsi="Arial" w:cs="Arial"/>
          <w:color w:val="auto"/>
          <w:kern w:val="0"/>
          <w:sz w:val="30"/>
          <w:szCs w:val="30"/>
          <w:highlight w:val="none"/>
          <w:u w:val="none"/>
        </w:rPr>
      </w:pPr>
      <w:r>
        <w:rPr>
          <w:rFonts w:hint="eastAsia" w:ascii="仿宋_GB2312" w:hAnsi="Arial" w:cs="Arial"/>
          <w:color w:val="auto"/>
          <w:kern w:val="0"/>
          <w:sz w:val="30"/>
          <w:szCs w:val="30"/>
          <w:highlight w:val="none"/>
          <w:u w:val="none"/>
        </w:rPr>
        <w:t>（11）同一法人主体（投资主体）的相关定点医疗机构，1年内有因违规被暂停、解除或终止医保协议和正在接受经办机构调查处理等情况的；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w:t>
      </w:r>
      <w:r>
        <w:rPr>
          <w:rFonts w:ascii="仿宋_GB2312" w:hAnsi="仿宋_GB2312" w:cs="仿宋_GB2312"/>
          <w:color w:val="auto"/>
          <w:szCs w:val="32"/>
          <w:highlight w:val="none"/>
        </w:rPr>
        <w:t>2</w:t>
      </w:r>
      <w:r>
        <w:rPr>
          <w:rFonts w:hint="eastAsia" w:ascii="仿宋_GB2312" w:hAnsi="仿宋_GB2312" w:cs="仿宋_GB2312"/>
          <w:color w:val="auto"/>
          <w:szCs w:val="32"/>
          <w:highlight w:val="none"/>
        </w:rPr>
        <w:t xml:space="preserve">）法律法规规定的其他不予受理的情形。 </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零售药店有下列情形之一的，不予受理定点申请：</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（1）未依法履行行政处罚责任的；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（2）以弄虚作假等不正当手段申请定点，自发现之日起未满3年的；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（3）因违法违规被解除医保协议未满3年或已满3年但未完全履行行政处罚法律责任的；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（4）因违反医保协议约定</w:t>
      </w:r>
      <w:r>
        <w:rPr>
          <w:rFonts w:hint="eastAsia" w:ascii="仿宋_GB2312" w:hAnsi="仿宋_GB2312" w:cs="仿宋_GB2312"/>
          <w:color w:val="auto"/>
          <w:szCs w:val="32"/>
          <w:highlight w:val="none"/>
          <w:lang w:val="en-US" w:eastAsia="zh-CN"/>
        </w:rPr>
        <w:t>或医保相关规定</w:t>
      </w:r>
      <w:r>
        <w:rPr>
          <w:rFonts w:hint="eastAsia" w:ascii="仿宋_GB2312" w:hAnsi="仿宋_GB2312" w:cs="仿宋_GB2312"/>
          <w:color w:val="auto"/>
          <w:szCs w:val="32"/>
          <w:highlight w:val="none"/>
        </w:rPr>
        <w:t>而被解除医保协议未满1年或已满1年但未完全履行违约责任的；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（5）法定代表人、企业负责人或实际控制人曾因严重违法违规导致原定点零售药店被解除医保协议，未满5年的；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（6）法定代表人、企业负责人或实际控制人被列入失信人名单的；</w:t>
      </w:r>
    </w:p>
    <w:p>
      <w:pPr>
        <w:overflowPunct w:val="0"/>
        <w:spacing w:line="600" w:lineRule="exact"/>
        <w:ind w:firstLine="600" w:firstLineChars="200"/>
        <w:jc w:val="left"/>
        <w:outlineLvl w:val="0"/>
        <w:rPr>
          <w:rFonts w:ascii="仿宋_GB2312" w:hAnsi="Arial" w:cs="Arial"/>
          <w:color w:val="auto"/>
          <w:kern w:val="0"/>
          <w:sz w:val="30"/>
          <w:szCs w:val="30"/>
          <w:highlight w:val="none"/>
          <w:u w:val="none"/>
        </w:rPr>
      </w:pPr>
      <w:r>
        <w:rPr>
          <w:rFonts w:hint="eastAsia" w:ascii="仿宋_GB2312" w:hAnsi="Arial" w:cs="Arial"/>
          <w:color w:val="auto"/>
          <w:kern w:val="0"/>
          <w:sz w:val="30"/>
          <w:szCs w:val="30"/>
          <w:highlight w:val="none"/>
          <w:u w:val="none"/>
        </w:rPr>
        <w:t>（7）同一法人主体（投资主体）的相关定点医药机构，1年内有因违规被暂停、解除或终止医保协议和正在接受经办机构调查处理等情况的；</w:t>
      </w:r>
    </w:p>
    <w:p>
      <w:pPr>
        <w:pStyle w:val="10"/>
        <w:spacing w:line="600" w:lineRule="exact"/>
        <w:ind w:firstLine="640" w:firstLineChars="200"/>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rPr>
        <w:t>（</w:t>
      </w:r>
      <w:r>
        <w:rPr>
          <w:rFonts w:hint="default" w:ascii="仿宋_GB2312" w:hAnsi="仿宋_GB2312" w:eastAsia="仿宋_GB2312" w:cs="仿宋_GB2312"/>
          <w:color w:val="auto"/>
          <w:highlight w:val="none"/>
          <w:lang w:val="en"/>
        </w:rPr>
        <w:t>8</w:t>
      </w:r>
      <w:r>
        <w:rPr>
          <w:rFonts w:ascii="仿宋_GB2312" w:hAnsi="仿宋_GB2312" w:eastAsia="仿宋_GB2312" w:cs="仿宋_GB2312"/>
          <w:color w:val="auto"/>
          <w:highlight w:val="none"/>
        </w:rPr>
        <w:t>）法律法规规定的其他不予受理的情形。</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3.综合评估及结果公示</w:t>
      </w:r>
    </w:p>
    <w:p>
      <w:pPr>
        <w:spacing w:line="600" w:lineRule="exact"/>
        <w:ind w:firstLine="601"/>
        <w:rPr>
          <w:rFonts w:hint="default" w:ascii="仿宋_GB2312" w:hAnsi="仿宋_GB2312" w:eastAsia="仿宋_GB2312" w:cs="仿宋_GB2312"/>
          <w:color w:val="auto"/>
          <w:highlight w:val="none"/>
          <w:u w:val="none"/>
        </w:rPr>
      </w:pPr>
      <w:r>
        <w:rPr>
          <w:rFonts w:hint="eastAsia" w:ascii="仿宋_GB2312" w:hAnsi="仿宋_GB2312" w:cs="仿宋_GB2312"/>
          <w:color w:val="auto"/>
          <w:szCs w:val="32"/>
          <w:highlight w:val="none"/>
        </w:rPr>
        <w:t>统筹地区经办机构组织</w:t>
      </w:r>
      <w:r>
        <w:rPr>
          <w:rFonts w:ascii="仿宋_GB2312" w:hAnsi="仿宋_GB2312" w:eastAsia="仿宋_GB2312" w:cs="仿宋_GB2312"/>
          <w:color w:val="auto"/>
          <w:highlight w:val="none"/>
        </w:rPr>
        <w:t>评估小组或委托第三方机构，以书面、现场等形式开展评估（评估内容及标准见附件4）。</w:t>
      </w:r>
      <w:r>
        <w:rPr>
          <w:rFonts w:hint="eastAsia" w:ascii="仿宋_GB2312" w:hAnsi="仿宋_GB2312" w:eastAsia="仿宋_GB2312" w:cs="仿宋_GB2312"/>
          <w:color w:val="auto"/>
          <w:highlight w:val="none"/>
          <w:lang w:eastAsia="zh-CN"/>
        </w:rPr>
        <w:t>其中</w:t>
      </w:r>
      <w:r>
        <w:rPr>
          <w:rFonts w:hint="eastAsia" w:ascii="仿宋_GB2312" w:hAnsi="Arial" w:eastAsia="仿宋_GB2312" w:cs="Arial"/>
          <w:color w:val="auto"/>
          <w:kern w:val="0"/>
          <w:sz w:val="30"/>
          <w:szCs w:val="30"/>
          <w:highlight w:val="none"/>
          <w:lang w:val="en-US" w:eastAsia="zh-CN"/>
        </w:rPr>
        <w:t>规范化村级医疗机构</w:t>
      </w:r>
      <w:r>
        <w:rPr>
          <w:rFonts w:hint="eastAsia" w:ascii="仿宋_GB2312" w:hAnsi="仿宋_GB2312" w:eastAsia="仿宋_GB2312" w:cs="仿宋_GB2312"/>
          <w:color w:val="auto"/>
          <w:highlight w:val="none"/>
          <w:lang w:eastAsia="zh-CN"/>
        </w:rPr>
        <w:t>评估标准</w:t>
      </w:r>
      <w:r>
        <w:rPr>
          <w:rFonts w:hint="eastAsia" w:ascii="仿宋_GB2312" w:hAnsi="仿宋_GB2312" w:eastAsia="仿宋_GB2312" w:cs="仿宋_GB2312"/>
          <w:color w:val="auto"/>
          <w:highlight w:val="none"/>
          <w:lang w:val="en-US" w:eastAsia="zh-CN"/>
        </w:rPr>
        <w:t>结合</w:t>
      </w:r>
      <w:r>
        <w:rPr>
          <w:rFonts w:hint="eastAsia" w:ascii="仿宋_GB2312" w:hAnsi="仿宋_GB2312" w:eastAsia="仿宋_GB2312" w:cs="仿宋_GB2312"/>
          <w:color w:val="auto"/>
          <w:highlight w:val="none"/>
          <w:lang w:eastAsia="zh-CN"/>
        </w:rPr>
        <w:t>卫健</w:t>
      </w:r>
      <w:r>
        <w:rPr>
          <w:rFonts w:hint="eastAsia" w:ascii="仿宋_GB2312" w:hAnsi="仿宋_GB2312" w:eastAsia="仿宋_GB2312" w:cs="仿宋_GB2312"/>
          <w:color w:val="auto"/>
          <w:highlight w:val="none"/>
          <w:lang w:val="en-US" w:eastAsia="zh-CN"/>
        </w:rPr>
        <w:t>部门</w:t>
      </w:r>
      <w:r>
        <w:rPr>
          <w:rFonts w:hint="eastAsia" w:ascii="仿宋_GB2312" w:hAnsi="仿宋_GB2312" w:eastAsia="仿宋_GB2312" w:cs="仿宋_GB2312"/>
          <w:color w:val="auto"/>
          <w:highlight w:val="none"/>
          <w:lang w:eastAsia="zh-CN"/>
        </w:rPr>
        <w:t>规范化</w:t>
      </w:r>
      <w:r>
        <w:rPr>
          <w:rFonts w:hint="eastAsia" w:ascii="仿宋_GB2312" w:hAnsi="仿宋_GB2312" w:eastAsia="仿宋_GB2312" w:cs="仿宋_GB2312"/>
          <w:color w:val="auto"/>
          <w:highlight w:val="none"/>
          <w:lang w:val="en-US" w:eastAsia="zh-CN"/>
        </w:rPr>
        <w:t>村级医疗机构</w:t>
      </w:r>
      <w:r>
        <w:rPr>
          <w:rFonts w:hint="eastAsia" w:ascii="仿宋_GB2312" w:hAnsi="仿宋_GB2312" w:eastAsia="仿宋_GB2312" w:cs="仿宋_GB2312"/>
          <w:color w:val="auto"/>
          <w:highlight w:val="none"/>
          <w:lang w:eastAsia="zh-CN"/>
        </w:rPr>
        <w:t>建设标准、上级医疗机构</w:t>
      </w:r>
      <w:r>
        <w:rPr>
          <w:rFonts w:hint="eastAsia" w:ascii="仿宋_GB2312" w:hAnsi="仿宋_GB2312" w:eastAsia="仿宋_GB2312" w:cs="仿宋_GB2312"/>
          <w:color w:val="auto"/>
          <w:highlight w:val="none"/>
          <w:lang w:val="en-US" w:eastAsia="zh-CN"/>
        </w:rPr>
        <w:t>管理</w:t>
      </w:r>
      <w:r>
        <w:rPr>
          <w:rFonts w:hint="eastAsia" w:ascii="仿宋_GB2312" w:hAnsi="仿宋_GB2312" w:eastAsia="仿宋_GB2312" w:cs="仿宋_GB2312"/>
          <w:color w:val="auto"/>
          <w:highlight w:val="none"/>
          <w:lang w:eastAsia="zh-CN"/>
        </w:rPr>
        <w:t>和村</w:t>
      </w:r>
      <w:r>
        <w:rPr>
          <w:rFonts w:hint="eastAsia" w:ascii="仿宋_GB2312" w:hAnsi="仿宋_GB2312" w:eastAsia="仿宋_GB2312" w:cs="仿宋_GB2312"/>
          <w:color w:val="auto"/>
          <w:highlight w:val="none"/>
          <w:lang w:val="en-US" w:eastAsia="zh-CN"/>
        </w:rPr>
        <w:t>级医疗机构</w:t>
      </w:r>
      <w:r>
        <w:rPr>
          <w:rFonts w:hint="eastAsia" w:ascii="仿宋_GB2312" w:hAnsi="仿宋_GB2312" w:eastAsia="仿宋_GB2312" w:cs="仿宋_GB2312"/>
          <w:color w:val="auto"/>
          <w:highlight w:val="none"/>
          <w:lang w:eastAsia="zh-CN"/>
        </w:rPr>
        <w:t>管理等方面进行综合评估。</w:t>
      </w:r>
      <w:r>
        <w:rPr>
          <w:rFonts w:ascii="仿宋_GB2312" w:hAnsi="仿宋_GB2312" w:eastAsia="仿宋_GB2312" w:cs="仿宋_GB2312"/>
          <w:color w:val="auto"/>
          <w:highlight w:val="none"/>
        </w:rPr>
        <w:t>评估标准必要时可根据管理需要在本办法基础上进行调整。</w:t>
      </w:r>
      <w:r>
        <w:rPr>
          <w:rFonts w:ascii="仿宋_GB2312" w:hAnsi="仿宋_GB2312" w:eastAsia="仿宋_GB2312" w:cs="仿宋_GB2312"/>
          <w:color w:val="auto"/>
          <w:highlight w:val="none"/>
          <w:u w:val="none"/>
        </w:rPr>
        <w:t>专家库成员可由医疗保障、医药卫生、财务管理、信息技术等专业人员，以及经办机构、相关行业协会代表组成，得分取各评估小组成员平均分。自受理申请材料之日起，评估时间不超过20个工作日，机构补充材料时间不计入评估期限。</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u w:val="none"/>
        </w:rPr>
        <w:t>评估分数85分（含）以上的为合格，向社会公示，公示期满无异议的，列入拟签订服务协议的名单。评估分数85分以下的为不合格，告知其理由，提出整改建议。自结果告</w:t>
      </w:r>
      <w:r>
        <w:rPr>
          <w:rFonts w:hint="eastAsia" w:ascii="仿宋_GB2312" w:hAnsi="仿宋_GB2312" w:cs="仿宋_GB2312"/>
          <w:color w:val="auto"/>
          <w:szCs w:val="32"/>
          <w:highlight w:val="none"/>
        </w:rPr>
        <w:t>知送达之日起，整改3个月后可再次组织评估，评估仍不合格的，1年内不得再次申请。评估结果报同级医疗保障行政部门备案。</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4.党组会审议及签订协议</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公示期间无人举报或举报经查不属实的，报党组会审议通过后，确定为定点医药机构。提交逐级审批后，经办机构与医药机构签订医保协议并向同级医疗保障行政部门备案。协议期限一般按自然年度签订至当年12月31日。</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5.开通刷卡及公告</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医保经办机构根据医疗保险管理需要和医药机构特点，开通相应的刷卡权限并向社会公告。</w:t>
      </w:r>
    </w:p>
    <w:p>
      <w:pPr>
        <w:numPr>
          <w:ilvl w:val="0"/>
          <w:numId w:val="1"/>
        </w:numPr>
        <w:spacing w:line="600" w:lineRule="exact"/>
        <w:ind w:firstLine="615"/>
        <w:jc w:val="left"/>
        <w:rPr>
          <w:rFonts w:ascii="仿宋_GB2312" w:hAnsi="仿宋_GB2312" w:cs="仿宋_GB2312"/>
          <w:color w:val="auto"/>
          <w:szCs w:val="32"/>
          <w:highlight w:val="none"/>
        </w:rPr>
      </w:pPr>
      <w:r>
        <w:rPr>
          <w:rFonts w:hint="eastAsia" w:ascii="仿宋_GB2312" w:hAnsi="仿宋_GB2312" w:cs="仿宋_GB2312"/>
          <w:color w:val="auto"/>
          <w:szCs w:val="32"/>
          <w:highlight w:val="none"/>
        </w:rPr>
        <w:t>独立核算的各类分设机构、协作医院应另行独立申请。</w:t>
      </w:r>
    </w:p>
    <w:p>
      <w:pPr>
        <w:numPr>
          <w:ilvl w:val="0"/>
          <w:numId w:val="1"/>
        </w:numPr>
        <w:spacing w:line="600" w:lineRule="exact"/>
        <w:ind w:firstLine="615"/>
        <w:rPr>
          <w:rFonts w:ascii="仿宋_GB2312" w:hAnsi="仿宋_GB2312" w:cs="仿宋_GB2312"/>
          <w:color w:val="auto"/>
          <w:szCs w:val="32"/>
          <w:highlight w:val="none"/>
        </w:rPr>
      </w:pPr>
      <w:r>
        <w:rPr>
          <w:rFonts w:hint="eastAsia" w:ascii="仿宋_GB2312" w:hAnsi="仿宋_GB2312" w:cs="仿宋_GB2312"/>
          <w:color w:val="auto"/>
          <w:szCs w:val="32"/>
          <w:highlight w:val="none"/>
        </w:rPr>
        <w:t>市本级及各县（市、区）医保经办机构签订协议的衢州市范围内的定点医药机构，实行协议互认。</w:t>
      </w:r>
    </w:p>
    <w:p>
      <w:pPr>
        <w:pStyle w:val="12"/>
        <w:shd w:val="clear" w:color="auto" w:fill="FFFFFF"/>
        <w:spacing w:before="0" w:beforeAutospacing="0" w:after="0" w:afterAutospacing="0" w:line="600" w:lineRule="exact"/>
        <w:ind w:firstLine="640" w:firstLineChars="200"/>
        <w:jc w:val="both"/>
        <w:rPr>
          <w:rFonts w:ascii="黑体" w:hAnsi="黑体" w:eastAsia="黑体" w:cs="仿宋_GB2312"/>
          <w:color w:val="auto"/>
          <w:kern w:val="2"/>
          <w:sz w:val="32"/>
          <w:szCs w:val="32"/>
          <w:highlight w:val="none"/>
        </w:rPr>
      </w:pPr>
      <w:r>
        <w:rPr>
          <w:rFonts w:hint="eastAsia" w:ascii="黑体" w:hAnsi="黑体" w:eastAsia="黑体" w:cs="仿宋_GB2312"/>
          <w:color w:val="auto"/>
          <w:kern w:val="2"/>
          <w:sz w:val="32"/>
          <w:szCs w:val="32"/>
          <w:highlight w:val="none"/>
        </w:rPr>
        <w:t>三、定点医药机构运行管理</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 w:val="30"/>
          <w:szCs w:val="30"/>
          <w:highlight w:val="none"/>
        </w:rPr>
        <w:t>（一）</w:t>
      </w:r>
      <w:r>
        <w:rPr>
          <w:rFonts w:hint="eastAsia" w:ascii="仿宋_GB2312" w:hAnsi="仿宋_GB2312" w:cs="仿宋_GB2312"/>
          <w:color w:val="auto"/>
          <w:szCs w:val="32"/>
          <w:highlight w:val="none"/>
        </w:rPr>
        <w:t>定点医药机构具有依法依规为参保人员提供医药服务后获得医保结算费用，对经办机构履约情况进行监督，对完善医保政策提出意见建议等权利。</w:t>
      </w:r>
    </w:p>
    <w:p>
      <w:pPr>
        <w:spacing w:line="600" w:lineRule="exact"/>
        <w:ind w:firstLine="600" w:firstLineChars="200"/>
        <w:rPr>
          <w:rFonts w:ascii="仿宋_GB2312" w:hAnsi="黑体" w:cs="黑体"/>
          <w:bCs/>
          <w:color w:val="auto"/>
          <w:szCs w:val="32"/>
          <w:highlight w:val="none"/>
        </w:rPr>
      </w:pPr>
      <w:r>
        <w:rPr>
          <w:rFonts w:hint="eastAsia" w:ascii="仿宋_GB2312" w:hAnsi="黑体" w:cs="黑体"/>
          <w:bCs/>
          <w:color w:val="auto"/>
          <w:sz w:val="30"/>
          <w:szCs w:val="30"/>
          <w:highlight w:val="none"/>
        </w:rPr>
        <w:t>（二）</w:t>
      </w:r>
      <w:r>
        <w:rPr>
          <w:rFonts w:hint="eastAsia" w:ascii="仿宋_GB2312" w:hAnsi="黑体" w:cs="黑体"/>
          <w:bCs/>
          <w:color w:val="auto"/>
          <w:szCs w:val="32"/>
          <w:highlight w:val="none"/>
        </w:rPr>
        <w:t xml:space="preserve">定点医药机构应当严格执行医保协议，合理诊疗、合理收费，严格执行医保药品、医用耗材和医疗服务项目等目录，优先配备使用医保目录药品，控制患者自费比例，提高医疗保障基金使用效率。定点医药机构不得为非定点医药机构提供医保结算。 </w:t>
      </w:r>
    </w:p>
    <w:p>
      <w:pPr>
        <w:spacing w:line="600" w:lineRule="exact"/>
        <w:ind w:firstLine="600"/>
        <w:rPr>
          <w:rFonts w:ascii="仿宋_GB2312" w:hAnsi="黑体" w:cs="黑体"/>
          <w:bCs/>
          <w:color w:val="auto"/>
          <w:szCs w:val="32"/>
          <w:highlight w:val="none"/>
        </w:rPr>
      </w:pPr>
      <w:r>
        <w:rPr>
          <w:rFonts w:hint="eastAsia" w:ascii="仿宋_GB2312" w:hAnsi="黑体" w:cs="黑体"/>
          <w:bCs/>
          <w:color w:val="auto"/>
          <w:szCs w:val="32"/>
          <w:highlight w:val="none"/>
        </w:rPr>
        <w:t>经办机构不予支付的费用、定点医药机构按医保协议约定支付的违约金和罚款，定点医药机构不得作为医保欠费处理。</w:t>
      </w:r>
    </w:p>
    <w:p>
      <w:pPr>
        <w:spacing w:line="600" w:lineRule="exact"/>
        <w:ind w:firstLine="600"/>
        <w:rPr>
          <w:rFonts w:ascii="仿宋_GB2312" w:hAnsi="仿宋_GB2312" w:cs="仿宋_GB2312"/>
          <w:color w:val="auto"/>
          <w:szCs w:val="32"/>
          <w:highlight w:val="none"/>
        </w:rPr>
      </w:pPr>
      <w:r>
        <w:rPr>
          <w:rFonts w:hint="eastAsia" w:ascii="仿宋_GB2312" w:hAnsi="黑体" w:cs="黑体"/>
          <w:bCs/>
          <w:color w:val="auto"/>
          <w:szCs w:val="32"/>
          <w:highlight w:val="none"/>
        </w:rPr>
        <w:t>（三）定点医</w:t>
      </w:r>
      <w:r>
        <w:rPr>
          <w:rFonts w:hint="eastAsia" w:ascii="仿宋_GB2312" w:hAnsi="仿宋_GB2312" w:cs="仿宋_GB2312"/>
          <w:color w:val="auto"/>
          <w:szCs w:val="32"/>
          <w:highlight w:val="none"/>
        </w:rPr>
        <w:t>药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等。</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定点医药机构应当确保医疗保障基金支付的费用符合规定的支付范围；除急诊、抢救等特殊情形外，提供医疗保障基金支付范围以外的医药服务的，应当经参保人员或者其近亲属、监护人同意。</w:t>
      </w:r>
    </w:p>
    <w:p>
      <w:pPr>
        <w:numPr>
          <w:ilvl w:val="0"/>
          <w:numId w:val="2"/>
        </w:num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疗机构应当制定相应的内部管理措施，严格掌握出入院指征。按照协议执行医保总额预算指标，执行按项目、按病种、按疾病诊断相关分组、按床日、按人头等支付方式。不得以医保支付政策为由拒收患者。</w:t>
      </w:r>
    </w:p>
    <w:p>
      <w:pPr>
        <w:numPr>
          <w:ilvl w:val="0"/>
          <w:numId w:val="2"/>
        </w:num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应真实记录并上报“进、销、存”等情况。定点医疗机构按有关规定执行集中采购政策，优先使用集中采购中选的药品和耗材。鼓励定点民营医疗机构和定点零售药店在医疗保障行政部门规定的平台上采购。</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（六）定点医药机构应当遵守医疗保障行政部门制定的药品价格政策。</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七）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numPr>
          <w:ilvl w:val="0"/>
          <w:numId w:val="3"/>
        </w:num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定点医药机构应当参加由医疗保障行政部门或经办机构组织的宣传和培训。</w:t>
      </w:r>
    </w:p>
    <w:p>
      <w:pPr>
        <w:spacing w:line="600" w:lineRule="exact"/>
        <w:ind w:firstLine="640" w:firstLineChars="200"/>
        <w:rPr>
          <w:rFonts w:ascii="仿宋_GB2312" w:hAnsi="仿宋_GB2312" w:cs="仿宋_GB2312"/>
          <w:color w:val="auto"/>
          <w:szCs w:val="32"/>
          <w:highlight w:val="none"/>
        </w:rPr>
      </w:pPr>
      <w:r>
        <w:rPr>
          <w:rFonts w:hint="eastAsia" w:ascii="仿宋_GB2312" w:hAnsi="黑体" w:cs="黑体"/>
          <w:bCs/>
          <w:color w:val="auto"/>
          <w:szCs w:val="32"/>
          <w:highlight w:val="none"/>
        </w:rPr>
        <w:t>　</w:t>
      </w:r>
      <w:r>
        <w:rPr>
          <w:rFonts w:hint="eastAsia" w:ascii="仿宋_GB2312" w:hAnsi="仿宋_GB2312" w:cs="仿宋_GB2312"/>
          <w:color w:val="auto"/>
          <w:szCs w:val="32"/>
          <w:highlight w:val="none"/>
        </w:rPr>
        <w:t>定点医药机构应当组织开展医疗保障基金相关制度、政策的培训，定期检查本单位医疗保障基金使用情况，及时纠正医疗保障基金使用不规范的行为。</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（九）定点医药机构在显著位置悬挂统一的定点医药机构标识。</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（十）定点医药机构应当通过相关接口上传所有就医（购药）人员医药服务明细数据，及药品、耗材等“进、销、存”的明细数据，并对其真实性负责。</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定点医药机构应当按照规定保管财务账目、会计凭证、处方、病历、治疗检查记录、费用明细、药品和医用耗材入出库记录等资料，向社会公开医药费用、费用结构等信息，接受社会监督。</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（十一）定点医药机构应配合经办机构开展医保费用审核、稽核检查、绩效考核等工作，接受医疗保障行政部门的监督检查，并按规定提供相关材料。</w:t>
      </w:r>
    </w:p>
    <w:p>
      <w:pPr>
        <w:spacing w:line="600" w:lineRule="exact"/>
        <w:ind w:firstLine="640" w:firstLineChars="200"/>
        <w:rPr>
          <w:rFonts w:ascii="仿宋_GB2312" w:hAnsi="黑体" w:cs="黑体"/>
          <w:bCs/>
          <w:color w:val="auto"/>
          <w:szCs w:val="32"/>
          <w:highlight w:val="none"/>
        </w:rPr>
      </w:pPr>
      <w:r>
        <w:rPr>
          <w:rFonts w:hint="eastAsia" w:ascii="仿宋_GB2312" w:hAnsi="黑体" w:cs="黑体"/>
          <w:bCs/>
          <w:color w:val="auto"/>
          <w:szCs w:val="32"/>
          <w:highlight w:val="none"/>
        </w:rPr>
        <w:t>（十二）定点医药机构应当优化医保结算流程，为参保人员提供便捷的医药服务，按规定进行医保费用直接结算，提供费用结算单据和相关资料。</w:t>
      </w:r>
    </w:p>
    <w:p>
      <w:pPr>
        <w:numPr>
          <w:ilvl w:val="0"/>
          <w:numId w:val="4"/>
        </w:num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应遵循衢州市定点医疗机构行为规范。根据经办机构智能监管管理要求，安装相应的设备，遵守数据安全有关制度，保护参保人员隐私。定点医药机构重新安装信息系统时，应当保持信息系统技术接口标准与医保信息系统有效对接，并按规定及时全面准确向医保信息系统传送医保结算和审核所需的有关数据。</w:t>
      </w:r>
    </w:p>
    <w:p>
      <w:pPr>
        <w:adjustRightInd w:val="0"/>
        <w:snapToGrid w:val="0"/>
        <w:spacing w:line="600" w:lineRule="exact"/>
        <w:ind w:firstLine="640" w:firstLineChars="200"/>
        <w:rPr>
          <w:rFonts w:ascii="黑体" w:hAnsi="黑体" w:eastAsia="黑体" w:cs="仿宋_GB2312"/>
          <w:color w:val="auto"/>
          <w:szCs w:val="32"/>
          <w:highlight w:val="none"/>
        </w:rPr>
      </w:pPr>
      <w:r>
        <w:rPr>
          <w:rFonts w:hint="eastAsia" w:ascii="黑体" w:hAnsi="黑体" w:eastAsia="黑体" w:cs="仿宋_GB2312"/>
          <w:color w:val="auto"/>
          <w:szCs w:val="32"/>
          <w:highlight w:val="none"/>
        </w:rPr>
        <w:t>四、 经办管理服务</w:t>
      </w:r>
    </w:p>
    <w:p>
      <w:pPr>
        <w:tabs>
          <w:tab w:val="left" w:pos="3885"/>
        </w:tabs>
        <w:spacing w:line="600" w:lineRule="exact"/>
        <w:ind w:firstLine="640" w:firstLineChars="200"/>
        <w:rPr>
          <w:rFonts w:ascii="仿宋_GB2312" w:hAnsi="等线 Light"/>
          <w:color w:val="auto"/>
          <w:kern w:val="0"/>
          <w:szCs w:val="32"/>
          <w:highlight w:val="none"/>
        </w:rPr>
      </w:pPr>
      <w:r>
        <w:rPr>
          <w:rFonts w:hint="eastAsia" w:ascii="仿宋_GB2312" w:hAnsi="仿宋_GB2312" w:cs="仿宋_GB2312"/>
          <w:color w:val="auto"/>
          <w:szCs w:val="32"/>
          <w:highlight w:val="none"/>
        </w:rPr>
        <w:t>（一）经办机构对定点医药机构实行动态管理，并按年度对定点医药机构开展绩效考核。</w:t>
      </w:r>
    </w:p>
    <w:p>
      <w:pPr>
        <w:adjustRightInd w:val="0"/>
        <w:snapToGrid w:val="0"/>
        <w:spacing w:line="600" w:lineRule="exact"/>
        <w:ind w:firstLine="336" w:firstLineChars="100"/>
        <w:rPr>
          <w:rFonts w:ascii="仿宋_GB2312" w:hAnsi="仿宋_GB2312" w:cs="仿宋_GB2312"/>
          <w:color w:val="auto"/>
          <w:szCs w:val="32"/>
          <w:highlight w:val="none"/>
        </w:rPr>
      </w:pPr>
      <w:r>
        <w:rPr>
          <w:rFonts w:hint="eastAsia" w:ascii="仿宋_GB2312" w:hAnsi="微软雅黑"/>
          <w:color w:val="auto"/>
          <w:spacing w:val="8"/>
          <w:szCs w:val="32"/>
          <w:highlight w:val="none"/>
        </w:rPr>
        <w:t>　（二）</w:t>
      </w:r>
      <w:r>
        <w:rPr>
          <w:rFonts w:hint="eastAsia" w:ascii="仿宋_GB2312" w:hAnsi="仿宋_GB2312" w:cs="仿宋_GB2312"/>
          <w:color w:val="auto"/>
          <w:szCs w:val="32"/>
          <w:highlight w:val="none"/>
        </w:rPr>
        <w:t>经办机构有权掌握定点医药机构运行管理情况，从定点医药机构获得医保费用稽查审核、绩效考核和财务记账等所需要的信息数据等资料。</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定点医药机构实行属地管理，经办机构对属地定点医药机构为本地和异地参保人员提供的医疗服务承担管理服务职责。</w:t>
      </w:r>
    </w:p>
    <w:p>
      <w:pPr>
        <w:adjustRightInd w:val="0"/>
        <w:snapToGrid w:val="0"/>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（三）经</w:t>
      </w:r>
      <w:r>
        <w:rPr>
          <w:rFonts w:hint="eastAsia" w:ascii="仿宋_GB2312" w:hAnsi="仿宋_GB2312" w:cs="仿宋_GB2312"/>
          <w:color w:val="auto"/>
          <w:szCs w:val="32"/>
          <w:highlight w:val="none"/>
        </w:rPr>
        <w:t>办机构应做好对定点医药机构医保政策、管理制度、支付政策、操作</w:t>
      </w:r>
      <w:r>
        <w:rPr>
          <w:rFonts w:hint="eastAsia" w:ascii="仿宋_GB2312" w:hAnsi="等线 Light"/>
          <w:color w:val="auto"/>
          <w:kern w:val="0"/>
          <w:szCs w:val="32"/>
          <w:highlight w:val="none"/>
        </w:rPr>
        <w:t>流程的宣传培训，提供医疗保障咨询、查询服务。</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等线 Light"/>
          <w:color w:val="auto"/>
          <w:kern w:val="0"/>
          <w:szCs w:val="32"/>
          <w:highlight w:val="none"/>
        </w:rPr>
        <w:t>（四）经</w:t>
      </w:r>
      <w:r>
        <w:rPr>
          <w:rFonts w:hint="eastAsia" w:ascii="仿宋_GB2312" w:hAnsi="仿宋_GB2312" w:cs="仿宋_GB2312"/>
          <w:color w:val="auto"/>
          <w:szCs w:val="32"/>
          <w:highlight w:val="none"/>
        </w:rPr>
        <w:t>办机构应当落实医保支付政策，加强医疗保障基金管理。</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等线 Light"/>
          <w:color w:val="auto"/>
          <w:kern w:val="0"/>
          <w:szCs w:val="32"/>
          <w:highlight w:val="none"/>
        </w:rPr>
        <w:t>（五）经</w:t>
      </w:r>
      <w:r>
        <w:rPr>
          <w:rFonts w:hint="eastAsia" w:ascii="仿宋_GB2312" w:hAnsi="仿宋_GB2312" w:cs="仿宋_GB2312"/>
          <w:color w:val="auto"/>
          <w:szCs w:val="32"/>
          <w:highlight w:val="none"/>
        </w:rPr>
        <w:t>办机构应当建立完善的内部控制制度，明确对定点医药机构医保费用的审核、结算、拨付、稽核等岗位责任及风险防控机制。完善重大医保费用支出集体决策制度。</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六）经办机构应当加强医疗保障基金支出管理，通过智能审核、实时监控、现场检查、第三方监管等方式对定点医药机构进行定期和不定期稽查审核。按协议约定及时足额向定点医药机构拨付医保费用，原则上，应当在定点医药机构申报后30个工作日内拨付符合规定的医保费用。</w:t>
      </w:r>
    </w:p>
    <w:p>
      <w:pPr>
        <w:spacing w:line="600" w:lineRule="exact"/>
        <w:ind w:firstLine="600"/>
        <w:rPr>
          <w:rFonts w:ascii="仿宋_GB2312" w:hAnsi="仿宋_GB2312" w:cs="仿宋_GB2312"/>
          <w:color w:val="auto"/>
          <w:szCs w:val="32"/>
          <w:highlight w:val="none"/>
        </w:rPr>
      </w:pPr>
      <w:r>
        <w:rPr>
          <w:rFonts w:hint="eastAsia" w:ascii="仿宋_GB2312" w:hAnsi="等线 Light"/>
          <w:color w:val="auto"/>
          <w:kern w:val="0"/>
          <w:szCs w:val="32"/>
          <w:highlight w:val="none"/>
        </w:rPr>
        <w:t>（七）定</w:t>
      </w:r>
      <w:r>
        <w:rPr>
          <w:rFonts w:hint="eastAsia" w:ascii="仿宋_GB2312" w:hAnsi="仿宋_GB2312" w:cs="仿宋_GB2312"/>
          <w:color w:val="auto"/>
          <w:szCs w:val="32"/>
          <w:highlight w:val="none"/>
        </w:rPr>
        <w:t>点医药机构违规医保费用，经审查核实的，经办机构按相关规定执行。</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等线 Light"/>
          <w:color w:val="auto"/>
          <w:kern w:val="0"/>
          <w:szCs w:val="32"/>
          <w:highlight w:val="none"/>
        </w:rPr>
        <w:t>（八）经</w:t>
      </w:r>
      <w:r>
        <w:rPr>
          <w:rFonts w:hint="eastAsia" w:ascii="仿宋_GB2312" w:hAnsi="仿宋_GB2312" w:cs="仿宋_GB2312"/>
          <w:color w:val="auto"/>
          <w:szCs w:val="32"/>
          <w:highlight w:val="none"/>
        </w:rPr>
        <w:t>办机构应当依法依规支付参保人员在定点医药机构发生的医药费用，为参保人员提供医保政策咨询。除急诊和抢救外，参保人员在非定点医疗机构就医发生的费用医疗保障基金不予支付。</w:t>
      </w:r>
    </w:p>
    <w:p>
      <w:pPr>
        <w:adjustRightInd w:val="0"/>
        <w:snapToGrid w:val="0"/>
        <w:spacing w:line="600" w:lineRule="exact"/>
        <w:ind w:firstLine="320" w:firstLineChars="100"/>
        <w:rPr>
          <w:rFonts w:ascii="仿宋_GB2312" w:hAnsi="仿宋_GB2312" w:cs="仿宋_GB2312"/>
          <w:color w:val="auto"/>
          <w:szCs w:val="32"/>
          <w:highlight w:val="none"/>
        </w:rPr>
      </w:pPr>
      <w:r>
        <w:rPr>
          <w:rFonts w:hint="eastAsia" w:ascii="仿宋_GB2312" w:hAnsi="等线 Light"/>
          <w:color w:val="auto"/>
          <w:kern w:val="0"/>
          <w:szCs w:val="32"/>
          <w:highlight w:val="none"/>
        </w:rPr>
        <w:t>　（九）</w:t>
      </w:r>
      <w:r>
        <w:rPr>
          <w:rFonts w:hint="eastAsia" w:ascii="仿宋_GB2312" w:hAnsi="仿宋_GB2312" w:cs="仿宋_GB2312"/>
          <w:color w:val="auto"/>
          <w:szCs w:val="32"/>
          <w:highlight w:val="none"/>
        </w:rPr>
        <w:t>经办机构向社会公开医保信息系统数据集和接口标准。定点医药机构自主选择与医保对接的有关信息系统的运行和维护供应商。经办机构不得以任何名义收取任何费用及指定供应商。</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（十）经办机构应遵守数据安全有关制度，保护参保人员隐私，确保医疗保障基金安全。</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（十一）经办机构发现定点医药机构存在违反协议约定情形的，可按协议约定相应采取以下处理方式：</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1.约谈医药机构法定代表人、主要负责人或实际控制人；</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w:t>
      </w:r>
      <w:r>
        <w:rPr>
          <w:rFonts w:hint="eastAsia" w:ascii="仿宋_GB2312"/>
          <w:color w:val="auto"/>
          <w:sz w:val="30"/>
          <w:szCs w:val="30"/>
          <w:highlight w:val="none"/>
        </w:rPr>
        <w:t>暂停联网结算或暂缓拨付费用</w:t>
      </w:r>
      <w:r>
        <w:rPr>
          <w:rFonts w:hint="eastAsia" w:ascii="仿宋_GB2312" w:hAnsi="仿宋_GB2312" w:cs="仿宋_GB2312"/>
          <w:color w:val="auto"/>
          <w:szCs w:val="32"/>
          <w:highlight w:val="none"/>
        </w:rPr>
        <w:t>；</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3.不予支付或追回已支付的医保费用；</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4.要求定点医药机构按照协议约定支付违约金；</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5.中止相关责任人员或者所在部门涉及医疗保障基金使用的医药服务；</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6.中止或解除医保协议。</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（十二）经办机构作出中止相关责任人员或者所在部门涉及医疗保障基金使用的医药服务、解除医保协议等处理时，要及时报告同级医疗保障行政部门。</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（十三）经办机构违反医保协议的，定点医药机构有权要求纠正或者提请医疗保障行政部门协调处理、督促整改，也可以依法申请行政复议或者提起行政诉讼。</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（十四）医疗保障行政部门对定点申请、申请受理、专业评估、协议订立、协议履行和解除等进行监督，对经办机构的内部控制制度建设、医保费用的审核和拨付等进行指导和监督。</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五）医疗保障行政部门依法依规通过实地检查、抽查、智能监控、大数据分析等方式对定点医药机构的协议履行情况、医疗保障基金使用情况、医疗服务行为、购买涉及医疗保障基金使用的第三方服务等进行监督。</w:t>
      </w:r>
    </w:p>
    <w:p>
      <w:pPr>
        <w:spacing w:line="600" w:lineRule="exact"/>
        <w:ind w:firstLine="600"/>
        <w:rPr>
          <w:rFonts w:ascii="仿宋_GB2312" w:hAnsi="仿宋_GB2312" w:cs="仿宋_GB2312"/>
          <w:color w:val="auto"/>
          <w:szCs w:val="32"/>
          <w:highlight w:val="none"/>
        </w:rPr>
      </w:pPr>
      <w:r>
        <w:rPr>
          <w:rFonts w:hint="eastAsia" w:ascii="仿宋_GB2312" w:hAnsi="等线 Light"/>
          <w:color w:val="auto"/>
          <w:kern w:val="0"/>
          <w:szCs w:val="32"/>
          <w:highlight w:val="none"/>
        </w:rPr>
        <w:t>（十六）医疗保障行政部门实施监督检查，可以采取下列</w:t>
      </w:r>
      <w:r>
        <w:rPr>
          <w:rFonts w:hint="eastAsia" w:ascii="仿宋_GB2312" w:hAnsi="仿宋_GB2312" w:cs="仿宋_GB2312"/>
          <w:color w:val="auto"/>
          <w:szCs w:val="32"/>
          <w:highlight w:val="none"/>
        </w:rPr>
        <w:t>措施：</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（1）进入现场检查；</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（2）询问有关人员；</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（3）要求被检查对象提供与检查事项相关的文件资料，并作出解释和说明；</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（4）采取记录、录音、录像、照相或者复制等方式收集有关情况和资料；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（5）对可能被转移、隐匿或者灭失的资料等予以封存；</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（6）聘请符合条件的会计师事务所等第三方机构和专业人员协助开展检查；</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（7）法律、法规规定的其他措施。</w:t>
      </w:r>
    </w:p>
    <w:p>
      <w:pPr>
        <w:numPr>
          <w:ilvl w:val="0"/>
          <w:numId w:val="5"/>
        </w:num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等线 Light"/>
          <w:color w:val="auto"/>
          <w:kern w:val="0"/>
          <w:szCs w:val="32"/>
          <w:highlight w:val="none"/>
        </w:rPr>
        <w:t>开</w:t>
      </w:r>
      <w:r>
        <w:rPr>
          <w:rFonts w:hint="eastAsia" w:ascii="仿宋_GB2312" w:hAnsi="仿宋_GB2312" w:cs="仿宋_GB2312"/>
          <w:color w:val="auto"/>
          <w:szCs w:val="32"/>
          <w:highlight w:val="none"/>
        </w:rPr>
        <w:t>展医疗保障基金使用监督检查，监督检查人员不得少于2人，并且应当出示执法证件。医疗保障行政部门进行监督检查时，被检查对象应当予以配合，如实提供相关资料和信息，不得拒绝、阻碍检查或者谎报、瞒报。</w:t>
      </w:r>
    </w:p>
    <w:p>
      <w:pPr>
        <w:numPr>
          <w:ilvl w:val="0"/>
          <w:numId w:val="5"/>
        </w:num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医疗保障行政部门发现定点医药机构存在违约情形的，应当及时责令经办机构按照医保协议处理，经办机构应当及时按照医保协议处理。医疗保障行政部门依法查处违法违规行为时，认为经办机构移交相关违法线索事实不清的，可组织补充调查或要求经办机构补充材料。</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等线 Light"/>
          <w:color w:val="auto"/>
          <w:kern w:val="0"/>
          <w:szCs w:val="32"/>
          <w:highlight w:val="none"/>
        </w:rPr>
        <w:t>（十九）医</w:t>
      </w:r>
      <w:r>
        <w:rPr>
          <w:rFonts w:hint="eastAsia" w:ascii="仿宋_GB2312" w:hAnsi="仿宋_GB2312" w:cs="仿宋_GB2312"/>
          <w:color w:val="auto"/>
          <w:szCs w:val="32"/>
          <w:highlight w:val="none"/>
        </w:rPr>
        <w:t>疗保障行政部门发现经办机构存在违反医保协议的，可视情节相应采取以下处理方式：约谈主要负责人、限期整改、通报批评，对相关责任人员依法依规给予处分。医疗保障行政部门发现经办机构违反相关法律法规和规章的，依法依规进行处理。</w:t>
      </w:r>
    </w:p>
    <w:p>
      <w:pPr>
        <w:adjustRightInd w:val="0"/>
        <w:snapToGrid w:val="0"/>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（二十）医疗保障行政部门可以依法委托符合法定条件的组织开展医疗保障行政执法工作。</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（二十一）医疗保障行政部门和经办机构应拓宽监督途径、创新监督方式，通过满意度调查、第三方评价、聘请社会监督员等方式对定点医药机构进行社会监督，畅通举报投诉渠道，及时发现问题并进行处理。</w:t>
      </w:r>
    </w:p>
    <w:p>
      <w:pPr>
        <w:pStyle w:val="12"/>
        <w:shd w:val="clear" w:color="auto" w:fill="FFFFFF"/>
        <w:spacing w:before="0" w:beforeAutospacing="0" w:after="0" w:afterAutospacing="0" w:line="600" w:lineRule="exact"/>
        <w:ind w:firstLine="640" w:firstLineChars="200"/>
        <w:jc w:val="both"/>
        <w:rPr>
          <w:rFonts w:ascii="黑体" w:hAnsi="黑体" w:eastAsia="黑体" w:cs="仿宋_GB2312"/>
          <w:color w:val="auto"/>
          <w:kern w:val="2"/>
          <w:sz w:val="32"/>
          <w:szCs w:val="32"/>
          <w:highlight w:val="none"/>
        </w:rPr>
      </w:pPr>
      <w:r>
        <w:rPr>
          <w:rFonts w:hint="eastAsia" w:ascii="黑体" w:hAnsi="黑体" w:eastAsia="黑体" w:cs="仿宋_GB2312"/>
          <w:color w:val="auto"/>
          <w:kern w:val="2"/>
          <w:sz w:val="32"/>
          <w:szCs w:val="32"/>
          <w:highlight w:val="none"/>
        </w:rPr>
        <w:t>五、定点医药机构的监督</w:t>
      </w:r>
    </w:p>
    <w:p>
      <w:pPr>
        <w:adjustRightInd w:val="0"/>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一）定点医药机构涉嫌骗取医疗保障基金支出的，在调查期间，医疗保障行政部门可以采取增加监督检查频次、加强费用监控等措施，防止损失扩大。定点医药机构拒不配合调查的，经医疗保障行政部门主要负责人批准，经办机构可以根据医疗保障行政部门的要求，暂缓其医疗保障基金结算。</w:t>
      </w:r>
    </w:p>
    <w:p>
      <w:pPr>
        <w:widowControl/>
        <w:numPr>
          <w:ilvl w:val="0"/>
          <w:numId w:val="6"/>
        </w:numPr>
        <w:spacing w:line="600" w:lineRule="exact"/>
        <w:ind w:firstLine="640" w:firstLineChars="200"/>
        <w:jc w:val="left"/>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定点医药机构违反《医疗保障基金使用监督管理条例》（中华人民共和国国务院令 第735号）相关规定的，医疗保障行政部门依法给予行政处罚。</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（三）经办机构对定点医药机构的协议处理</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1.定点医药机构有以下情形之一的，经办机构可以约谈其有关负责人（指法定代表人、主要负责人或实际控制人，下同），</w:t>
      </w:r>
      <w:r>
        <w:rPr>
          <w:rFonts w:hint="eastAsia" w:ascii="仿宋_GB2312"/>
          <w:color w:val="auto"/>
          <w:sz w:val="30"/>
          <w:szCs w:val="30"/>
          <w:highlight w:val="none"/>
        </w:rPr>
        <w:t>暂停联网结算或暂缓拨付费用</w:t>
      </w:r>
      <w:r>
        <w:rPr>
          <w:rFonts w:hint="eastAsia" w:ascii="仿宋_GB2312" w:hAnsi="仿宋_GB2312" w:cs="仿宋_GB2312"/>
          <w:color w:val="auto"/>
          <w:szCs w:val="32"/>
          <w:highlight w:val="none"/>
        </w:rPr>
        <w:t>：</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（1）未按规定安装、使用监控设备的； </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（2）违反定点医药机构信息系统配置要求的；</w:t>
      </w:r>
    </w:p>
    <w:p>
      <w:pPr>
        <w:spacing w:line="600" w:lineRule="exact"/>
        <w:ind w:firstLine="640" w:firstLineChars="200"/>
        <w:rPr>
          <w:rFonts w:hint="eastAsia" w:ascii="仿宋_GB2312" w:hAnsi="仿宋_GB2312" w:cs="仿宋_GB2312"/>
          <w:color w:val="auto"/>
          <w:szCs w:val="32"/>
          <w:highlight w:val="none"/>
          <w:lang w:val="en"/>
        </w:rPr>
      </w:pPr>
      <w:r>
        <w:rPr>
          <w:rFonts w:hint="eastAsia" w:ascii="仿宋_GB2312" w:hAnsi="仿宋_GB2312" w:cs="仿宋_GB2312"/>
          <w:color w:val="auto"/>
          <w:szCs w:val="32"/>
          <w:highlight w:val="none"/>
          <w:lang w:val="en"/>
        </w:rPr>
        <w:t>（</w:t>
      </w:r>
      <w:r>
        <w:rPr>
          <w:rFonts w:hint="eastAsia" w:ascii="仿宋_GB2312" w:hAnsi="仿宋_GB2312" w:cs="仿宋_GB2312"/>
          <w:color w:val="auto"/>
          <w:szCs w:val="32"/>
          <w:highlight w:val="none"/>
        </w:rPr>
        <w:t>3</w:t>
      </w:r>
      <w:r>
        <w:rPr>
          <w:rFonts w:hint="eastAsia" w:ascii="仿宋_GB2312" w:hAnsi="仿宋_GB2312" w:cs="仿宋_GB2312"/>
          <w:color w:val="auto"/>
          <w:szCs w:val="32"/>
          <w:highlight w:val="none"/>
          <w:lang w:val="en"/>
        </w:rPr>
        <w:t>）无正当理由拒绝为</w:t>
      </w:r>
      <w:r>
        <w:rPr>
          <w:rFonts w:hint="eastAsia" w:ascii="仿宋_GB2312" w:hAnsi="仿宋_GB2312" w:cs="仿宋_GB2312"/>
          <w:color w:val="auto"/>
          <w:szCs w:val="32"/>
          <w:highlight w:val="none"/>
        </w:rPr>
        <w:t>参保人员提供联网结算服务</w:t>
      </w:r>
      <w:r>
        <w:rPr>
          <w:rFonts w:hint="eastAsia" w:ascii="仿宋_GB2312" w:hAnsi="仿宋_GB2312" w:cs="仿宋_GB2312"/>
          <w:color w:val="auto"/>
          <w:szCs w:val="32"/>
          <w:highlight w:val="none"/>
          <w:lang w:val="en"/>
        </w:rPr>
        <w:t>的，经提醒拒不改正的；</w:t>
      </w:r>
    </w:p>
    <w:p>
      <w:pPr>
        <w:spacing w:line="600" w:lineRule="exact"/>
        <w:ind w:firstLine="640" w:firstLineChars="200"/>
        <w:rPr>
          <w:rFonts w:hint="eastAsia" w:ascii="仿宋_GB2312" w:hAnsi="仿宋_GB2312" w:cs="仿宋_GB2312"/>
          <w:color w:val="auto"/>
          <w:szCs w:val="32"/>
          <w:highlight w:val="none"/>
          <w:lang w:val="en"/>
        </w:rPr>
      </w:pPr>
      <w:r>
        <w:rPr>
          <w:rFonts w:hint="eastAsia" w:ascii="仿宋_GB2312" w:hAnsi="仿宋_GB2312" w:cs="仿宋_GB2312"/>
          <w:color w:val="auto"/>
          <w:szCs w:val="32"/>
          <w:highlight w:val="none"/>
          <w:lang w:val="en"/>
        </w:rPr>
        <w:t>（</w:t>
      </w:r>
      <w:r>
        <w:rPr>
          <w:rFonts w:hint="eastAsia" w:ascii="仿宋_GB2312" w:hAnsi="仿宋_GB2312" w:cs="仿宋_GB2312"/>
          <w:color w:val="auto"/>
          <w:szCs w:val="32"/>
          <w:highlight w:val="none"/>
        </w:rPr>
        <w:t>4</w:t>
      </w:r>
      <w:r>
        <w:rPr>
          <w:rFonts w:hint="eastAsia" w:ascii="仿宋_GB2312" w:hAnsi="仿宋_GB2312" w:cs="仿宋_GB2312"/>
          <w:color w:val="auto"/>
          <w:szCs w:val="32"/>
          <w:highlight w:val="none"/>
          <w:lang w:val="en"/>
        </w:rPr>
        <w:t>）人脸识别系统使用月度紧急结算率高于</w:t>
      </w:r>
      <w:r>
        <w:rPr>
          <w:rFonts w:hint="eastAsia" w:ascii="仿宋_GB2312" w:hAnsi="仿宋_GB2312" w:cs="仿宋_GB2312"/>
          <w:color w:val="auto"/>
          <w:szCs w:val="32"/>
          <w:highlight w:val="none"/>
          <w:lang w:val="en" w:eastAsia="zh-CN"/>
        </w:rPr>
        <w:t>医保相关规定</w:t>
      </w:r>
      <w:r>
        <w:rPr>
          <w:rFonts w:hint="eastAsia" w:ascii="仿宋_GB2312" w:hAnsi="仿宋_GB2312" w:cs="仿宋_GB2312"/>
          <w:color w:val="auto"/>
          <w:szCs w:val="32"/>
          <w:highlight w:val="none"/>
          <w:lang w:val="en"/>
        </w:rPr>
        <w:t>且无合理理由的。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（5）其他违反相关管理规定，情节较轻且未造成医保基金实际损失的。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2.定点医药机构有下列情形之一的，经办机构可以约谈其有关负责人，不予支付或追回已支付的医保费用：</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（1）违反财务结算制度，使用现金购销药品耗材涉及的费用的；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（2）违反门诊接诊流程的；</w:t>
      </w:r>
    </w:p>
    <w:p>
      <w:pPr>
        <w:snapToGrid w:val="0"/>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（3）接诊医生不如实记录患者外伤原因和经过、病程记录、手术记录等或未按医保规定对意外伤害对象申请外伤调查的；</w:t>
      </w:r>
    </w:p>
    <w:p>
      <w:pPr>
        <w:snapToGrid w:val="0"/>
        <w:spacing w:line="600" w:lineRule="exact"/>
        <w:ind w:firstLine="600" w:firstLineChars="200"/>
        <w:rPr>
          <w:rFonts w:ascii="仿宋_GB2312"/>
          <w:color w:val="auto"/>
          <w:sz w:val="30"/>
          <w:szCs w:val="30"/>
          <w:highlight w:val="none"/>
        </w:rPr>
      </w:pPr>
      <w:r>
        <w:rPr>
          <w:rFonts w:hint="eastAsia" w:ascii="仿宋_GB2312"/>
          <w:color w:val="auto"/>
          <w:sz w:val="30"/>
          <w:szCs w:val="30"/>
          <w:highlight w:val="none"/>
        </w:rPr>
        <w:t>（4）</w:t>
      </w:r>
      <w:bookmarkStart w:id="0" w:name="_Hlk120797187"/>
      <w:r>
        <w:rPr>
          <w:rFonts w:hint="eastAsia" w:ascii="仿宋_GB2312" w:hAnsi="微软雅黑"/>
          <w:color w:val="auto"/>
          <w:sz w:val="30"/>
          <w:szCs w:val="30"/>
          <w:highlight w:val="none"/>
          <w:shd w:val="clear" w:color="auto" w:fill="FFFFFF"/>
        </w:rPr>
        <w:t>违规提前向参保人员收取医疗服务项目费用的，或以会员（或其他名义）制作并发放提前收取费用的各类预付卡的；</w:t>
      </w:r>
    </w:p>
    <w:bookmarkEnd w:id="0"/>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（5）其他违反相关管理规定，造成医保基金损失但情节较轻的。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定点医药机构有下列情形之一的，经办机构可以约谈其有关负责人，不予支付或追回已支付的医保费用，并要求定点医药机构按照核定医保费用的10%-30%支付违约金，情节严重的予以中止相关责任人员或所在部门涉及医疗保障基金使用的医疗服务，或中止医保协议。中止期原则上不低于30日，不超过180日：</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（1）违反医保医师协议，冒用或出借医保医师账号等为患者提供医药服务并进行医保结算的；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（2）药品、器械及耗材等进销存不符的；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（3）因用医保系统升级等借口隐瞒被处理事实及政策解释不到位等行为，导致参保人员投诉或者上访等现象的；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（4）违规收集参保人员社会保障卡或医保电子凭证的；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（5）经2次提醒监控仍不能正常使用或年度内出现3次非第三方原因导致的监控故障的；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（6）被卫健、市场监管等相关部门查处，涉及医保基金损失的；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（7）处方管理不规范，无处方刷卡、无处方或不按处方配售处方药的；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（8）工作人员未核验病人身份，导致冒用参保人员身份进行冒名住院、冒名就诊及冒名购药的；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（9）将超医保限定支付条件的医疗服务项目、医疗服务设施、药品等纳入医保结算的；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（10）匹配错误导致医保基金损失的；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（11）经相关部门认定的，违反药品说明书适应症范围或功能主治、用法、用量、禁忌等超药品说明书使用的；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（12）定点零售药店销售假药、劣药等行为的；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（13）定点医疗机构违反DRGs结算要求，出现病案不合规、反套高、反套低等行为的；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（14）定点医疗机构违反本办法相关规定和临床诊疗规范的；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（15）定点医疗机构理疗管理不规范的；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（16）定点医疗机构违规销售保健品的；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（17）定点医疗机构违背参保人员意愿，让参保人员自行到药店购买当次就医所需的医保目录内药品、耗材，甚至引发参保人员投诉的；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（18）定点医疗机构违反卫健部门制定的住院标准，将可在门诊或急诊观察治疗的参保人员收治住院的降低入院标准的；将经住院治疗已经好转或痊愈的参保人员留治继续住院的；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（19）定点医疗机构提供未取得卫健部门批准的诊疗项目，不具备执业医师资格或在未注册的医疗机构发生执业等超执业范围诊疗的；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(20）定点医疗机构超人次、超疗程、超床日、超限定部位、超限定频次、超限定价格、改变计量单位收费、违反“计入不计出”原则等变相提高标准收费的；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（21）定点医疗机构在没有医嘱记录、护理记录、检验报告、影像报告或其他执行记录等无医嘱或执行记录收费的；</w:t>
      </w:r>
    </w:p>
    <w:p>
      <w:pPr>
        <w:spacing w:line="600" w:lineRule="exact"/>
        <w:ind w:firstLine="600"/>
        <w:rPr>
          <w:rFonts w:ascii="仿宋_GB2312" w:hAnsi="仿宋_GB2312" w:cs="仿宋_GB2312"/>
          <w:color w:val="auto"/>
          <w:szCs w:val="32"/>
          <w:highlight w:val="none"/>
        </w:rPr>
      </w:pPr>
      <w:r>
        <w:rPr>
          <w:rFonts w:hint="eastAsia" w:ascii="仿宋_GB2312" w:hAnsi="等线 Light"/>
          <w:color w:val="auto"/>
          <w:kern w:val="0"/>
          <w:szCs w:val="32"/>
          <w:highlight w:val="none"/>
        </w:rPr>
        <w:t>（22</w:t>
      </w:r>
      <w:r>
        <w:rPr>
          <w:rFonts w:hint="eastAsia" w:ascii="仿宋_GB2312" w:hAnsi="仿宋_GB2312" w:cs="仿宋_GB2312"/>
          <w:color w:val="auto"/>
          <w:szCs w:val="32"/>
          <w:highlight w:val="none"/>
        </w:rPr>
        <w:t>）定点零售药店违反本办法规定，销售除药品、医疗器械、卫生消毒等医疗相关用品、食品（限药食同源）以外的其他物品的；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（23）定点零售药店药师不在岗配售处方药的；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（24）法律法规和规章规定的应当中止的其他情形。</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4.定点医药机构有下列情形之一的，经办机构可以约谈其有关负责人，予以中止相关责任人员或所在部门涉及医疗保障基金使用的医疗服务，或中止、解除医保协议。中止期原则上不低于60日，不超过180日：</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（1）违反药品管理规范，从非法的供应单位购进药品的；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（2）唆使、诱导参保人员集体投诉或者集体上访的；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（3）法律法规和规章规定的应当中止或解除的其他情形。</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5.定点医药机构有下列情形之一的，经办机构可以约谈其有关负责人，解除医保协议：</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（1）医保协议有效期内累计2次及以上被中止医保协议或中止医保协议期间未按要求整改或整改不到位的；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（2）以弄虚作假等不正当手段申请取得定点的；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（3）为非定点医药机构或处于中止医保协议期间的医药机构提供医保费用结算的；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（4）拒绝、阻挠或不配合医疗保障部门或经办机构开展智能审核、绩效考核、监督检查等，情节恶劣的；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（5）被发现重大信息发生变更但未办理重大信息变更的；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（6）医疗保障行政部门或其他有关部门在行政执法中，发现定点医药机构存在重大违法违规行为且可能造成医疗保障基金重大损失的；</w:t>
      </w:r>
    </w:p>
    <w:p>
      <w:pPr>
        <w:spacing w:line="600" w:lineRule="exact"/>
        <w:ind w:firstLine="640" w:firstLineChars="200"/>
        <w:rPr>
          <w:rFonts w:ascii="仿宋_GB2312" w:hAnsi="等线 Light"/>
          <w:color w:val="auto"/>
          <w:kern w:val="0"/>
          <w:szCs w:val="32"/>
          <w:highlight w:val="none"/>
        </w:rPr>
      </w:pPr>
      <w:r>
        <w:rPr>
          <w:rFonts w:hint="eastAsia" w:ascii="仿宋_GB2312" w:hAnsi="等线 Light"/>
          <w:color w:val="auto"/>
          <w:kern w:val="0"/>
          <w:szCs w:val="32"/>
          <w:highlight w:val="none"/>
        </w:rPr>
        <w:t>（7）被吊销、注销医疗机构执业许可证、中医诊所备案证、药品经营许可证或营业执照的；</w:t>
      </w:r>
    </w:p>
    <w:p>
      <w:pPr>
        <w:spacing w:line="600" w:lineRule="exact"/>
        <w:ind w:firstLine="600"/>
        <w:rPr>
          <w:rFonts w:ascii="仿宋_GB2312" w:hAnsi="仿宋_GB2312" w:cs="仿宋_GB2312"/>
          <w:color w:val="auto"/>
          <w:szCs w:val="32"/>
          <w:highlight w:val="none"/>
        </w:rPr>
      </w:pPr>
      <w:r>
        <w:rPr>
          <w:rFonts w:hint="eastAsia" w:ascii="仿宋_GB2312" w:hAnsi="等线 Light"/>
          <w:color w:val="auto"/>
          <w:kern w:val="0"/>
          <w:szCs w:val="32"/>
          <w:highlight w:val="none"/>
        </w:rPr>
        <w:t>（8）法定代表人、主要负责人、企业负责人或实际控制人不能</w:t>
      </w:r>
      <w:r>
        <w:rPr>
          <w:rFonts w:hint="eastAsia" w:ascii="仿宋_GB2312" w:hAnsi="仿宋_GB2312" w:cs="仿宋_GB2312"/>
          <w:color w:val="auto"/>
          <w:szCs w:val="32"/>
          <w:highlight w:val="none"/>
        </w:rPr>
        <w:t>履行医保协议约定，或有违法失信行为的；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（9）未依法履行医疗保障行政部门作出的行政处罚决定的；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（10）主动提出解除医保协议且经办机构同意的；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（11）</w:t>
      </w:r>
      <w:r>
        <w:rPr>
          <w:rFonts w:hint="eastAsia" w:ascii="仿宋_GB2312" w:hAnsi="仿宋_GB2312" w:cs="仿宋_GB2312"/>
          <w:color w:val="auto"/>
          <w:szCs w:val="32"/>
          <w:highlight w:val="none"/>
          <w:lang w:val="en"/>
        </w:rPr>
        <w:t>单位主体变更、</w:t>
      </w:r>
      <w:r>
        <w:rPr>
          <w:rFonts w:hint="eastAsia" w:ascii="仿宋_GB2312" w:hAnsi="仿宋_GB2312" w:cs="仿宋_GB2312"/>
          <w:color w:val="auto"/>
          <w:szCs w:val="32"/>
          <w:highlight w:val="none"/>
        </w:rPr>
        <w:t>停业或歇业3个月内未按规定向经办机构报告的；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（12）以伪造、变造医保药品“进、销、存”票据和账目、伪造处方或参保人员费用清单等方式，骗取医疗保障基金的；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（13）将医保结算设备转借或赠与他人，改变使用场地的；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（14）发生重大药品质量安全事件的；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15）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（16）根据医保协议约定应当解除医保协议的；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（17）法律法规和规章规定的应当解除的其他情形。</w:t>
      </w:r>
    </w:p>
    <w:p>
      <w:pPr>
        <w:snapToGrid w:val="0"/>
        <w:spacing w:line="600" w:lineRule="exact"/>
        <w:ind w:firstLine="640" w:firstLineChars="200"/>
        <w:rPr>
          <w:rFonts w:ascii="仿宋_GB2312"/>
          <w:color w:val="auto"/>
          <w:sz w:val="30"/>
          <w:szCs w:val="30"/>
          <w:highlight w:val="none"/>
        </w:rPr>
      </w:pPr>
      <w:r>
        <w:rPr>
          <w:rFonts w:hint="eastAsia" w:ascii="仿宋_GB2312" w:hAnsi="等线 Light"/>
          <w:color w:val="auto"/>
          <w:kern w:val="0"/>
          <w:szCs w:val="32"/>
          <w:highlight w:val="none"/>
        </w:rPr>
        <w:t>（四）</w:t>
      </w:r>
      <w:r>
        <w:rPr>
          <w:rFonts w:hint="eastAsia" w:ascii="仿宋_GB2312"/>
          <w:color w:val="auto"/>
          <w:sz w:val="30"/>
          <w:szCs w:val="30"/>
          <w:highlight w:val="none"/>
        </w:rPr>
        <w:t>乙方经查实的违法违约行为，按照规定纳入诚信记分、</w:t>
      </w:r>
      <w:r>
        <w:rPr>
          <w:rFonts w:hint="eastAsia" w:ascii="仿宋_GB2312"/>
          <w:color w:val="auto"/>
          <w:sz w:val="30"/>
          <w:szCs w:val="30"/>
          <w:highlight w:val="none"/>
          <w:lang w:val="en"/>
        </w:rPr>
        <w:t>医保</w:t>
      </w:r>
      <w:r>
        <w:rPr>
          <w:rFonts w:ascii="仿宋_GB2312"/>
          <w:color w:val="auto"/>
          <w:sz w:val="30"/>
          <w:szCs w:val="30"/>
          <w:highlight w:val="none"/>
          <w:lang w:val="en"/>
        </w:rPr>
        <w:t>信用评价、医保医师</w:t>
      </w:r>
      <w:r>
        <w:rPr>
          <w:rFonts w:hint="eastAsia" w:ascii="仿宋_GB2312"/>
          <w:color w:val="auto"/>
          <w:sz w:val="30"/>
          <w:szCs w:val="30"/>
          <w:highlight w:val="none"/>
          <w:lang w:val="en"/>
        </w:rPr>
        <w:t>积分</w:t>
      </w:r>
      <w:r>
        <w:rPr>
          <w:rFonts w:ascii="仿宋_GB2312"/>
          <w:color w:val="auto"/>
          <w:sz w:val="30"/>
          <w:szCs w:val="30"/>
          <w:highlight w:val="none"/>
          <w:lang w:val="en"/>
        </w:rPr>
        <w:t>扣分等</w:t>
      </w:r>
      <w:r>
        <w:rPr>
          <w:rFonts w:hint="eastAsia" w:ascii="仿宋_GB2312"/>
          <w:color w:val="auto"/>
          <w:sz w:val="30"/>
          <w:szCs w:val="30"/>
          <w:highlight w:val="none"/>
        </w:rPr>
        <w:t>，具体记分标准见《衢州市基本医疗保险定点医药机构诚信记分管理办法》</w:t>
      </w:r>
      <w:r>
        <w:rPr>
          <w:rFonts w:ascii="仿宋_GB2312"/>
          <w:color w:val="auto"/>
          <w:sz w:val="30"/>
          <w:szCs w:val="30"/>
          <w:highlight w:val="none"/>
          <w:lang w:val="en"/>
        </w:rPr>
        <w:t>《衢州市医疗保障信用管理办法》《浙江省医保医师实施细则》</w:t>
      </w:r>
      <w:r>
        <w:rPr>
          <w:rFonts w:hint="eastAsia" w:ascii="仿宋_GB2312"/>
          <w:color w:val="auto"/>
          <w:sz w:val="30"/>
          <w:szCs w:val="30"/>
          <w:highlight w:val="none"/>
          <w:lang w:val="en"/>
        </w:rPr>
        <w:t>，</w:t>
      </w:r>
      <w:r>
        <w:rPr>
          <w:rFonts w:hint="eastAsia" w:ascii="仿宋_GB2312"/>
          <w:color w:val="auto"/>
          <w:sz w:val="30"/>
          <w:szCs w:val="30"/>
          <w:highlight w:val="none"/>
        </w:rPr>
        <w:t>同时按照医保相关规定进行处理。</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（五）定点医药机构违反医保协议约定，经办机构适用违约金处理，违约金金额原则上不超过核定违规医保费用的30%，计算公式为：违约金金额=核定违规医保费用×违约支付比例。</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医药机构被经办机构实行违约金处理后，原则上应在30日内完成缴款。</w:t>
      </w:r>
    </w:p>
    <w:p>
      <w:pPr>
        <w:numPr>
          <w:ilvl w:val="0"/>
          <w:numId w:val="2"/>
        </w:num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定点医药机构在超过协议中止期后，整改验收不合格或拒不整改的，按照解除协议处理。</w:t>
      </w:r>
    </w:p>
    <w:p>
      <w:pPr>
        <w:snapToGrid w:val="0"/>
        <w:spacing w:line="600" w:lineRule="exact"/>
        <w:ind w:firstLine="600" w:firstLineChars="200"/>
        <w:rPr>
          <w:rFonts w:ascii="仿宋_GB2312"/>
          <w:color w:val="auto"/>
          <w:sz w:val="30"/>
          <w:szCs w:val="30"/>
          <w:highlight w:val="none"/>
        </w:rPr>
      </w:pPr>
      <w:r>
        <w:rPr>
          <w:rFonts w:hint="eastAsia" w:ascii="仿宋_GB2312"/>
          <w:color w:val="auto"/>
          <w:sz w:val="30"/>
          <w:szCs w:val="30"/>
          <w:highlight w:val="none"/>
        </w:rPr>
        <w:t>（七）乙方违反</w:t>
      </w:r>
      <w:r>
        <w:rPr>
          <w:rFonts w:ascii="仿宋_GB2312"/>
          <w:color w:val="auto"/>
          <w:sz w:val="30"/>
          <w:szCs w:val="30"/>
          <w:highlight w:val="none"/>
          <w:lang w:val="en"/>
        </w:rPr>
        <w:t>国家、省</w:t>
      </w:r>
      <w:r>
        <w:rPr>
          <w:rFonts w:hint="eastAsia" w:ascii="仿宋_GB2312"/>
          <w:color w:val="auto"/>
          <w:sz w:val="30"/>
          <w:szCs w:val="30"/>
          <w:highlight w:val="none"/>
          <w:lang w:val="en"/>
        </w:rPr>
        <w:t>、</w:t>
      </w:r>
      <w:r>
        <w:rPr>
          <w:rFonts w:hint="eastAsia" w:ascii="仿宋_GB2312"/>
          <w:color w:val="auto"/>
          <w:sz w:val="30"/>
          <w:szCs w:val="30"/>
          <w:highlight w:val="none"/>
        </w:rPr>
        <w:t>市级</w:t>
      </w:r>
      <w:r>
        <w:rPr>
          <w:rFonts w:ascii="仿宋_GB2312"/>
          <w:color w:val="auto"/>
          <w:sz w:val="30"/>
          <w:szCs w:val="30"/>
          <w:highlight w:val="none"/>
          <w:lang w:val="en"/>
        </w:rPr>
        <w:t>医保行政部门相关规章规定</w:t>
      </w:r>
      <w:r>
        <w:rPr>
          <w:rFonts w:hint="eastAsia" w:ascii="仿宋_GB2312"/>
          <w:color w:val="auto"/>
          <w:sz w:val="30"/>
          <w:szCs w:val="30"/>
          <w:highlight w:val="none"/>
        </w:rPr>
        <w:t>的</w:t>
      </w:r>
      <w:r>
        <w:rPr>
          <w:rFonts w:ascii="仿宋_GB2312"/>
          <w:color w:val="auto"/>
          <w:sz w:val="30"/>
          <w:szCs w:val="30"/>
          <w:highlight w:val="none"/>
          <w:lang w:val="en"/>
        </w:rPr>
        <w:t>违法违规行为</w:t>
      </w:r>
      <w:r>
        <w:rPr>
          <w:rFonts w:hint="eastAsia" w:ascii="仿宋_GB2312"/>
          <w:color w:val="auto"/>
          <w:sz w:val="30"/>
          <w:szCs w:val="30"/>
          <w:highlight w:val="none"/>
        </w:rPr>
        <w:t>按其规定</w:t>
      </w:r>
      <w:r>
        <w:rPr>
          <w:rFonts w:ascii="仿宋_GB2312"/>
          <w:color w:val="auto"/>
          <w:sz w:val="30"/>
          <w:szCs w:val="30"/>
          <w:highlight w:val="none"/>
          <w:lang w:val="en"/>
        </w:rPr>
        <w:t>执行。</w:t>
      </w:r>
    </w:p>
    <w:p>
      <w:pPr>
        <w:spacing w:line="600" w:lineRule="exact"/>
        <w:ind w:firstLine="640" w:firstLineChars="200"/>
        <w:rPr>
          <w:rFonts w:ascii="黑体" w:hAnsi="黑体" w:eastAsia="黑体" w:cs="仿宋_GB2312"/>
          <w:color w:val="auto"/>
          <w:szCs w:val="32"/>
          <w:highlight w:val="none"/>
        </w:rPr>
      </w:pPr>
      <w:r>
        <w:rPr>
          <w:rFonts w:hint="eastAsia" w:ascii="黑体" w:hAnsi="黑体" w:eastAsia="黑体" w:cs="仿宋_GB2312"/>
          <w:color w:val="auto"/>
          <w:szCs w:val="32"/>
          <w:highlight w:val="none"/>
        </w:rPr>
        <w:t>六、附 则</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（一）定点医疗机构是指自愿与统筹地区经办机构签订医保协议，为参保人员提供医疗服务的医疗机构。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定点零售药店是指自愿与统筹地区经办机构签订医保协议，为参保人员提供药品服务的零售药店。</w:t>
      </w: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医保协议是指由经办机构与医药机构经协商谈判而签订的，用于规范医药服务行为以及明确双方权利、义务及责任等内容的协议。</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（二）职工基本医疗保险、城乡居民基本医疗保险、生育保险、医疗救助、大病保险、公务员补助、离休资金等医疗保障定点管理工作按照本办法执行。</w:t>
      </w:r>
    </w:p>
    <w:p>
      <w:pPr>
        <w:numPr>
          <w:ilvl w:val="0"/>
          <w:numId w:val="6"/>
        </w:num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医保协议内容应与法律、法规、规章和医疗保障政策调整变化相一致，医疗保障行政部门调整医保协议内容时，应征求相关定点医药机构意见。</w:t>
      </w:r>
    </w:p>
    <w:p>
      <w:pPr>
        <w:spacing w:line="600" w:lineRule="exact"/>
        <w:ind w:firstLine="602"/>
        <w:rPr>
          <w:rFonts w:ascii="仿宋_GB2312" w:hAnsi="仿宋_GB2312" w:cs="仿宋_GB2312"/>
          <w:color w:val="auto"/>
          <w:szCs w:val="32"/>
          <w:highlight w:val="none"/>
        </w:rPr>
      </w:pPr>
      <w:r>
        <w:rPr>
          <w:rFonts w:hint="eastAsia" w:ascii="仿宋_GB2312" w:hAnsi="仿宋_GB2312" w:cs="仿宋_GB2312"/>
          <w:color w:val="auto"/>
          <w:szCs w:val="32"/>
          <w:highlight w:val="none"/>
        </w:rPr>
        <w:t>（四）本办法由医疗保障行政部门负责解释，自</w:t>
      </w:r>
      <w:r>
        <w:rPr>
          <w:rFonts w:hint="eastAsia" w:ascii="仿宋_GB2312" w:hAnsi="仿宋_GB2312" w:cs="仿宋_GB2312"/>
          <w:color w:val="auto"/>
          <w:szCs w:val="32"/>
          <w:highlight w:val="none"/>
          <w:lang w:val="en-US" w:eastAsia="zh-CN"/>
        </w:rPr>
        <w:t>2023</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val="en-US" w:eastAsia="zh-CN"/>
        </w:rPr>
        <w:t>2</w:t>
      </w:r>
      <w:r>
        <w:rPr>
          <w:rFonts w:hint="eastAsia" w:ascii="仿宋_GB2312" w:hAnsi="仿宋_GB2312" w:cs="仿宋_GB2312"/>
          <w:color w:val="auto"/>
          <w:szCs w:val="32"/>
          <w:highlight w:val="none"/>
        </w:rPr>
        <w:t>月</w:t>
      </w:r>
      <w:r>
        <w:rPr>
          <w:rFonts w:hint="eastAsia" w:ascii="仿宋_GB2312" w:hAnsi="仿宋_GB2312" w:cs="仿宋_GB2312"/>
          <w:color w:val="auto"/>
          <w:szCs w:val="32"/>
          <w:highlight w:val="none"/>
          <w:lang w:val="en-US" w:eastAsia="zh-CN"/>
        </w:rPr>
        <w:t>18日</w:t>
      </w:r>
      <w:r>
        <w:rPr>
          <w:rFonts w:hint="eastAsia" w:ascii="仿宋_GB2312" w:hAnsi="仿宋_GB2312" w:cs="仿宋_GB2312"/>
          <w:color w:val="auto"/>
          <w:szCs w:val="32"/>
          <w:highlight w:val="none"/>
        </w:rPr>
        <w:t>起施行。原《衢州市医疗保障局关于印发衢州市医药机构医疗保障定点管理暂行办法(试行)的通知》（衢医保发〔202</w:t>
      </w:r>
      <w:r>
        <w:rPr>
          <w:rFonts w:ascii="仿宋_GB2312" w:hAnsi="仿宋_GB2312" w:cs="仿宋_GB2312"/>
          <w:color w:val="auto"/>
          <w:szCs w:val="32"/>
          <w:highlight w:val="none"/>
          <w:lang w:val="en"/>
        </w:rPr>
        <w:t>1</w:t>
      </w:r>
      <w:r>
        <w:rPr>
          <w:rFonts w:hint="eastAsia" w:ascii="仿宋_GB2312" w:hAnsi="仿宋_GB2312" w:cs="仿宋_GB2312"/>
          <w:color w:val="auto"/>
          <w:szCs w:val="32"/>
          <w:highlight w:val="none"/>
        </w:rPr>
        <w:t>〕31号）同步废止。今后上级有新规定的，从其规定。</w:t>
      </w:r>
    </w:p>
    <w:p>
      <w:pPr>
        <w:spacing w:line="600" w:lineRule="exact"/>
        <w:ind w:firstLine="640" w:firstLineChars="200"/>
        <w:rPr>
          <w:rFonts w:ascii="仿宋_GB2312" w:hAnsi="仿宋_GB2312" w:cs="仿宋_GB2312"/>
          <w:color w:val="auto"/>
          <w:szCs w:val="32"/>
          <w:highlight w:val="none"/>
        </w:rPr>
      </w:pP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附件: 1.衢州市定点医药机构动态管理及绩效考核准则</w:t>
      </w:r>
    </w:p>
    <w:p>
      <w:pPr>
        <w:spacing w:line="600" w:lineRule="exact"/>
        <w:ind w:firstLine="1600" w:firstLineChars="500"/>
        <w:rPr>
          <w:rFonts w:ascii="仿宋_GB2312" w:hAnsi="仿宋_GB2312" w:cs="仿宋_GB2312"/>
          <w:color w:val="auto"/>
          <w:szCs w:val="32"/>
          <w:highlight w:val="none"/>
        </w:rPr>
      </w:pPr>
      <w:r>
        <w:rPr>
          <w:rFonts w:hint="eastAsia" w:ascii="仿宋_GB2312" w:hAnsi="仿宋_GB2312" w:cs="仿宋_GB2312"/>
          <w:color w:val="auto"/>
          <w:szCs w:val="32"/>
          <w:highlight w:val="none"/>
        </w:rPr>
        <w:t>2.衢州市定点医</w:t>
      </w:r>
      <w:r>
        <w:rPr>
          <w:rFonts w:hint="eastAsia" w:ascii="仿宋_GB2312" w:hAnsi="仿宋_GB2312" w:cs="仿宋_GB2312"/>
          <w:color w:val="auto"/>
          <w:szCs w:val="32"/>
          <w:highlight w:val="none"/>
          <w:lang w:eastAsia="zh-CN"/>
        </w:rPr>
        <w:t>药</w:t>
      </w:r>
      <w:r>
        <w:rPr>
          <w:rFonts w:hint="eastAsia" w:ascii="仿宋_GB2312" w:hAnsi="仿宋_GB2312" w:cs="仿宋_GB2312"/>
          <w:color w:val="auto"/>
          <w:szCs w:val="32"/>
          <w:highlight w:val="none"/>
        </w:rPr>
        <w:t>机构行为规范</w:t>
      </w:r>
    </w:p>
    <w:p>
      <w:pPr>
        <w:spacing w:line="600" w:lineRule="exact"/>
        <w:ind w:firstLine="1600" w:firstLineChars="500"/>
        <w:rPr>
          <w:rFonts w:ascii="仿宋_GB2312" w:hAnsi="仿宋_GB2312" w:cs="仿宋_GB2312"/>
          <w:color w:val="auto"/>
          <w:szCs w:val="32"/>
          <w:highlight w:val="none"/>
        </w:rPr>
      </w:pPr>
      <w:r>
        <w:rPr>
          <w:rFonts w:hint="eastAsia" w:ascii="仿宋_GB2312" w:hAnsi="仿宋_GB2312" w:cs="仿宋_GB2312"/>
          <w:color w:val="auto"/>
          <w:szCs w:val="32"/>
          <w:highlight w:val="none"/>
        </w:rPr>
        <w:t>3.衢州市定点医药机构监督管理规定</w:t>
      </w:r>
    </w:p>
    <w:p>
      <w:pPr>
        <w:spacing w:line="600" w:lineRule="exact"/>
        <w:ind w:firstLine="1600" w:firstLineChars="500"/>
        <w:rPr>
          <w:rFonts w:ascii="仿宋_GB2312"/>
          <w:color w:val="auto"/>
          <w:sz w:val="30"/>
          <w:szCs w:val="30"/>
          <w:highlight w:val="none"/>
        </w:rPr>
      </w:pPr>
      <w:r>
        <w:rPr>
          <w:rFonts w:hint="eastAsia" w:ascii="仿宋_GB2312" w:hAnsi="仿宋_GB2312" w:cs="仿宋_GB2312"/>
          <w:color w:val="auto"/>
          <w:szCs w:val="32"/>
          <w:highlight w:val="none"/>
        </w:rPr>
        <w:t>4.相关附表</w:t>
      </w:r>
    </w:p>
    <w:p>
      <w:pPr>
        <w:spacing w:line="600" w:lineRule="exact"/>
        <w:jc w:val="left"/>
        <w:rPr>
          <w:rFonts w:cs="仿宋_GB2312" w:asciiTheme="minorEastAsia" w:hAnsiTheme="minorEastAsia" w:eastAsiaTheme="minorEastAsia"/>
          <w:color w:val="auto"/>
          <w:szCs w:val="32"/>
          <w:highlight w:val="none"/>
        </w:rPr>
      </w:pPr>
    </w:p>
    <w:p>
      <w:pPr>
        <w:spacing w:line="600" w:lineRule="exact"/>
        <w:jc w:val="left"/>
        <w:rPr>
          <w:rFonts w:cs="仿宋_GB2312" w:asciiTheme="minorEastAsia" w:hAnsiTheme="minorEastAsia" w:eastAsiaTheme="minorEastAsia"/>
          <w:color w:val="auto"/>
          <w:szCs w:val="32"/>
          <w:highlight w:val="none"/>
        </w:rPr>
      </w:pPr>
    </w:p>
    <w:p>
      <w:pPr>
        <w:pStyle w:val="10"/>
        <w:spacing w:line="600" w:lineRule="exact"/>
        <w:rPr>
          <w:rFonts w:hint="default" w:cs="仿宋_GB2312" w:asciiTheme="minorEastAsia" w:hAnsiTheme="minorEastAsia" w:eastAsiaTheme="minorEastAsia"/>
          <w:color w:val="auto"/>
          <w:highlight w:val="none"/>
        </w:rPr>
      </w:pPr>
    </w:p>
    <w:p>
      <w:pPr>
        <w:spacing w:line="600" w:lineRule="exact"/>
        <w:rPr>
          <w:rFonts w:cs="仿宋_GB2312" w:asciiTheme="minorEastAsia" w:hAnsiTheme="minorEastAsia" w:eastAsiaTheme="minorEastAsia"/>
          <w:color w:val="auto"/>
          <w:szCs w:val="32"/>
          <w:highlight w:val="none"/>
        </w:rPr>
      </w:pPr>
    </w:p>
    <w:p>
      <w:pPr>
        <w:pStyle w:val="10"/>
        <w:spacing w:line="600" w:lineRule="exact"/>
        <w:rPr>
          <w:rFonts w:hint="default" w:cs="仿宋_GB2312" w:asciiTheme="minorEastAsia" w:hAnsiTheme="minorEastAsia" w:eastAsiaTheme="minorEastAsia"/>
          <w:color w:val="auto"/>
          <w:highlight w:val="none"/>
        </w:rPr>
      </w:pPr>
    </w:p>
    <w:p>
      <w:pPr>
        <w:spacing w:line="600" w:lineRule="exact"/>
        <w:rPr>
          <w:rFonts w:cs="仿宋_GB2312" w:asciiTheme="minorEastAsia" w:hAnsiTheme="minorEastAsia" w:eastAsiaTheme="minorEastAsia"/>
          <w:color w:val="auto"/>
          <w:szCs w:val="32"/>
          <w:highlight w:val="none"/>
        </w:rPr>
      </w:pPr>
    </w:p>
    <w:p>
      <w:pPr>
        <w:pStyle w:val="10"/>
        <w:spacing w:line="600" w:lineRule="exact"/>
        <w:rPr>
          <w:rFonts w:hint="default" w:cs="仿宋_GB2312" w:asciiTheme="minorEastAsia" w:hAnsiTheme="minorEastAsia" w:eastAsiaTheme="minorEastAsia"/>
          <w:color w:val="auto"/>
          <w:highlight w:val="none"/>
        </w:rPr>
      </w:pPr>
    </w:p>
    <w:p>
      <w:pPr>
        <w:rPr>
          <w:rFonts w:hint="default" w:cs="仿宋_GB2312" w:asciiTheme="minorEastAsia" w:hAnsiTheme="minorEastAsia" w:eastAsiaTheme="minorEastAsia"/>
          <w:color w:val="auto"/>
          <w:highlight w:val="none"/>
        </w:rPr>
      </w:pPr>
    </w:p>
    <w:p>
      <w:pPr>
        <w:rPr>
          <w:rFonts w:hint="default"/>
        </w:rPr>
      </w:pPr>
      <w:r>
        <w:rPr>
          <w:rFonts w:hint="default"/>
        </w:rPr>
        <w:br w:type="page"/>
      </w:r>
    </w:p>
    <w:p>
      <w:pPr>
        <w:spacing w:line="600" w:lineRule="exact"/>
        <w:jc w:val="left"/>
        <w:rPr>
          <w:rFonts w:asciiTheme="minorEastAsia" w:hAnsiTheme="minorEastAsia" w:eastAsiaTheme="minorEastAsia"/>
          <w:color w:val="auto"/>
          <w:szCs w:val="32"/>
          <w:highlight w:val="none"/>
        </w:rPr>
      </w:pPr>
      <w:r>
        <w:rPr>
          <w:rFonts w:hint="eastAsia" w:cs="仿宋_GB2312" w:asciiTheme="minorEastAsia" w:hAnsiTheme="minorEastAsia" w:eastAsiaTheme="minorEastAsia"/>
          <w:color w:val="auto"/>
          <w:szCs w:val="32"/>
          <w:highlight w:val="none"/>
        </w:rPr>
        <w:t>附件1</w:t>
      </w:r>
    </w:p>
    <w:p>
      <w:pPr>
        <w:tabs>
          <w:tab w:val="left" w:pos="3885"/>
        </w:tabs>
        <w:spacing w:line="600" w:lineRule="exact"/>
        <w:ind w:firstLine="640"/>
        <w:jc w:val="center"/>
        <w:rPr>
          <w:rFonts w:ascii="方正小标宋简体" w:hAnsi="仿宋_GB2312" w:eastAsia="方正小标宋简体" w:cs="仿宋_GB2312"/>
          <w:bCs/>
          <w:color w:val="auto"/>
          <w:sz w:val="44"/>
          <w:szCs w:val="44"/>
          <w:highlight w:val="none"/>
        </w:rPr>
      </w:pPr>
      <w:r>
        <w:rPr>
          <w:rFonts w:hint="eastAsia" w:ascii="方正小标宋简体" w:hAnsi="仿宋_GB2312" w:eastAsia="方正小标宋简体" w:cs="仿宋_GB2312"/>
          <w:bCs/>
          <w:color w:val="auto"/>
          <w:sz w:val="44"/>
          <w:szCs w:val="44"/>
          <w:highlight w:val="none"/>
        </w:rPr>
        <w:t>衢州市定点医药机构动态管理及绩效</w:t>
      </w:r>
    </w:p>
    <w:p>
      <w:pPr>
        <w:tabs>
          <w:tab w:val="left" w:pos="3885"/>
        </w:tabs>
        <w:spacing w:line="600" w:lineRule="exact"/>
        <w:ind w:firstLine="640"/>
        <w:jc w:val="center"/>
        <w:rPr>
          <w:rFonts w:ascii="方正小标宋简体" w:hAnsi="仿宋_GB2312" w:eastAsia="方正小标宋简体" w:cs="仿宋_GB2312"/>
          <w:bCs/>
          <w:color w:val="auto"/>
          <w:sz w:val="44"/>
          <w:szCs w:val="44"/>
          <w:highlight w:val="none"/>
        </w:rPr>
      </w:pPr>
      <w:r>
        <w:rPr>
          <w:rFonts w:hint="eastAsia" w:ascii="方正小标宋简体" w:hAnsi="仿宋_GB2312" w:eastAsia="方正小标宋简体" w:cs="仿宋_GB2312"/>
          <w:bCs/>
          <w:color w:val="auto"/>
          <w:sz w:val="44"/>
          <w:szCs w:val="44"/>
          <w:highlight w:val="none"/>
        </w:rPr>
        <w:t>考核准则</w:t>
      </w:r>
    </w:p>
    <w:p>
      <w:pPr>
        <w:tabs>
          <w:tab w:val="left" w:pos="3885"/>
        </w:tabs>
        <w:spacing w:line="600" w:lineRule="exact"/>
        <w:ind w:firstLine="640"/>
        <w:jc w:val="center"/>
        <w:rPr>
          <w:rFonts w:ascii="方正小标宋简体" w:hAnsi="仿宋_GB2312" w:eastAsia="方正小标宋简体" w:cs="仿宋_GB2312"/>
          <w:bCs/>
          <w:color w:val="auto"/>
          <w:sz w:val="44"/>
          <w:szCs w:val="44"/>
          <w:highlight w:val="none"/>
        </w:rPr>
      </w:pP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经办机构对定点医药机构实行动态管理，且按年度对定点医药机构开展绩效考核，绩效考核结果与稽核检查力度、基金月度预拨比例、协议续签等挂钩。</w:t>
      </w:r>
    </w:p>
    <w:p>
      <w:pPr>
        <w:pStyle w:val="22"/>
        <w:numPr>
          <w:ilvl w:val="0"/>
          <w:numId w:val="7"/>
        </w:numPr>
        <w:spacing w:line="600" w:lineRule="exact"/>
        <w:ind w:firstLineChars="0"/>
        <w:jc w:val="left"/>
        <w:rPr>
          <w:rFonts w:ascii="黑体" w:hAnsi="黑体" w:eastAsia="黑体" w:cs="仿宋_GB2312"/>
          <w:color w:val="auto"/>
          <w:szCs w:val="32"/>
          <w:highlight w:val="none"/>
        </w:rPr>
      </w:pPr>
      <w:r>
        <w:rPr>
          <w:rFonts w:hint="eastAsia" w:ascii="黑体" w:hAnsi="黑体" w:eastAsia="黑体" w:cs="仿宋_GB2312"/>
          <w:color w:val="auto"/>
          <w:szCs w:val="32"/>
          <w:highlight w:val="none"/>
        </w:rPr>
        <w:t>定点医药机构动态管理</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（一）协议变更</w:t>
      </w:r>
    </w:p>
    <w:p>
      <w:pPr>
        <w:spacing w:line="560" w:lineRule="exact"/>
        <w:ind w:firstLine="640" w:firstLineChars="200"/>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定点医疗机构的名称、法定代表人、主要负责人或实际控制人、注册地址、银行账户、诊疗科目、机构规模、机构性质、等级和类别及定点零售药店的名称、法定代表人、企业负责人、实际控制人、注册地址和药品经营范围等重大信息变更时，应自有关部门批准之日起30个工作日内向统筹地区经办机构提出变更申请。</w:t>
      </w:r>
      <w:bookmarkStart w:id="1" w:name="_Hlk122536737"/>
      <w:r>
        <w:rPr>
          <w:rFonts w:hint="eastAsia" w:ascii="仿宋_GB2312" w:hAnsi="仿宋_GB2312" w:cs="仿宋_GB2312"/>
          <w:color w:val="auto"/>
          <w:szCs w:val="32"/>
          <w:highlight w:val="none"/>
        </w:rPr>
        <w:t>其中医疗机构在等级发生变化一个月内应向医保经办机构提交备案登记；医疗机构在等级发生变化六个月内，必须做好调整前相关准备，医保经办机构</w:t>
      </w:r>
      <w:r>
        <w:rPr>
          <w:rFonts w:hint="eastAsia" w:ascii="仿宋_GB2312" w:hAnsi="仿宋_GB2312" w:cs="仿宋_GB2312"/>
          <w:color w:val="auto"/>
          <w:szCs w:val="32"/>
          <w:highlight w:val="none"/>
          <w:lang w:val="en-US" w:eastAsia="zh-CN"/>
        </w:rPr>
        <w:t>验收通过后，</w:t>
      </w:r>
      <w:r>
        <w:rPr>
          <w:rFonts w:hint="eastAsia" w:ascii="仿宋_GB2312" w:hAnsi="仿宋_GB2312" w:cs="仿宋_GB2312"/>
          <w:color w:val="auto"/>
          <w:szCs w:val="32"/>
          <w:highlight w:val="none"/>
        </w:rPr>
        <w:t>自次月1日起按新等级标准进行相关医保结算。</w:t>
      </w:r>
      <w:bookmarkEnd w:id="1"/>
    </w:p>
    <w:p>
      <w:pPr>
        <w:spacing w:line="600" w:lineRule="exact"/>
        <w:ind w:firstLine="615"/>
        <w:jc w:val="left"/>
        <w:rPr>
          <w:rFonts w:ascii="仿宋_GB2312" w:hAnsi="仿宋_GB2312" w:cs="仿宋_GB2312"/>
          <w:color w:val="auto"/>
          <w:szCs w:val="32"/>
          <w:highlight w:val="none"/>
        </w:rPr>
      </w:pPr>
      <w:r>
        <w:rPr>
          <w:rFonts w:hint="eastAsia" w:ascii="仿宋_GB2312" w:hAnsi="仿宋_GB2312" w:cs="仿宋_GB2312"/>
          <w:color w:val="auto"/>
          <w:szCs w:val="32"/>
          <w:highlight w:val="none"/>
        </w:rPr>
        <w:t>二级以下定点医疗机构及定点零售药店跨社区移址的，须事先报备，获得许可后方可移址。其他一般信息变更应及时书面告知。</w:t>
      </w:r>
    </w:p>
    <w:p>
      <w:pPr>
        <w:spacing w:line="600" w:lineRule="exact"/>
        <w:ind w:firstLine="600"/>
        <w:rPr>
          <w:rFonts w:hint="eastAsia" w:ascii="方正楷体_GBK" w:hAnsi="方正楷体_GBK" w:eastAsia="方正楷体_GBK" w:cs="方正楷体_GBK"/>
          <w:color w:val="auto"/>
          <w:szCs w:val="32"/>
          <w:highlight w:val="none"/>
        </w:rPr>
      </w:pPr>
      <w:r>
        <w:rPr>
          <w:rFonts w:hint="eastAsia" w:ascii="楷体_GB2312" w:hAnsi="楷体_GB2312" w:eastAsia="楷体_GB2312" w:cs="楷体_GB2312"/>
          <w:color w:val="auto"/>
          <w:szCs w:val="32"/>
          <w:highlight w:val="none"/>
        </w:rPr>
        <w:t>（二）协议有效期及协议续签</w:t>
      </w: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协议有效期原则上为1年，续签医保协议由经办机构统一组织。统筹地区经办机构与定点医药机构就医保协议续签事宜进行协商谈判，双方根据医保协议履行情况和绩效考核情况等决定是否续签。协商一致的，可续签医保协议；未达成一致的，医保协议到期后自动解除。</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（三）医保协议中止及解除</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1.医保协议中止</w:t>
      </w:r>
    </w:p>
    <w:p>
      <w:pPr>
        <w:spacing w:line="600" w:lineRule="exact"/>
        <w:ind w:firstLine="601"/>
        <w:rPr>
          <w:rFonts w:ascii="仿宋_GB2312" w:hAnsi="仿宋_GB2312" w:cs="仿宋_GB2312"/>
          <w:color w:val="auto"/>
          <w:szCs w:val="32"/>
          <w:highlight w:val="none"/>
        </w:rPr>
      </w:pPr>
      <w:r>
        <w:rPr>
          <w:rFonts w:hint="eastAsia" w:ascii="仿宋_GB2312" w:hAnsi="仿宋_GB2312" w:cs="仿宋_GB2312"/>
          <w:color w:val="auto"/>
          <w:szCs w:val="32"/>
          <w:highlight w:val="none"/>
        </w:rPr>
        <w:t>医保协议中止是指经办机构与定点医药机构暂停履行医保协议约定，中止期间发生的医保费用（不含原在院人员）不予结算。中止期结束，未超过医保协议有效期的，医保协议可继续履行；超过医保协议有效期的，本协议期医保协议解除。</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可提出中止医保协议申请，经经办机构同意，可以中止医保协议但中止时间原则上不得超过180日，定点医药机构在医保协议中止超过180日仍未提出继续履行医保协议申请的，原则上医保协议自动解除。</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2.医保协议解除</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医保协议解除是指经办机构与定点医药机构之间的医保协议解除，协议关系不再存续，协议解除后产生的医药费用，医疗保障基金不再结算。</w:t>
      </w:r>
    </w:p>
    <w:p>
      <w:pPr>
        <w:tabs>
          <w:tab w:val="left" w:pos="3885"/>
        </w:tabs>
        <w:spacing w:line="600" w:lineRule="exact"/>
        <w:ind w:firstLine="640"/>
        <w:rPr>
          <w:rFonts w:ascii="仿宋_GB2312" w:hAnsi="黑体" w:cs="黑体"/>
          <w:b/>
          <w:color w:val="auto"/>
          <w:szCs w:val="32"/>
          <w:highlight w:val="none"/>
        </w:rPr>
      </w:pPr>
      <w:r>
        <w:rPr>
          <w:rFonts w:hint="eastAsia" w:ascii="仿宋_GB2312" w:hAnsi="仿宋_GB2312" w:cs="仿宋_GB2312"/>
          <w:color w:val="auto"/>
          <w:szCs w:val="32"/>
          <w:highlight w:val="none"/>
        </w:rPr>
        <w:t>3.其他</w:t>
      </w: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定点医药机构主动提出中止、解除医保协议或不再续签医保协议的，应提前3个月向经办机构提出申请。公立医疗机构不得主动提出中止或解除医保协议。</w:t>
      </w: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地市级经办机构与定点医药机构中止或解除医保协议，该医药机构在其他统筹区的医保协议也同时中止或解除。</w:t>
      </w: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定点医疗机构的部分人员或科室有违反协议管理要求的，可对该人员或科室暂停医保结算。</w:t>
      </w:r>
    </w:p>
    <w:p>
      <w:pPr>
        <w:tabs>
          <w:tab w:val="left" w:pos="3885"/>
        </w:tabs>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医药机构与统筹地区经办机构就医保协议签订、履行、变更和解除发生争议的，可以自行协商解决或者请求同级医疗保障行政部门协调处理，也可以依法提起行政复议或行政诉讼。          </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（四） 解除协议办理程序</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定点医药机构出现上述解除协议情形的，经办机构按以下程序办理：</w:t>
      </w:r>
    </w:p>
    <w:p>
      <w:pPr>
        <w:spacing w:line="600" w:lineRule="exact"/>
        <w:jc w:val="left"/>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    1.暂停联网结算。经办机构暂停定点医药机构医保服务功能，停止联网刷卡结算。</w:t>
      </w:r>
    </w:p>
    <w:p>
      <w:pPr>
        <w:spacing w:line="600" w:lineRule="exact"/>
        <w:jc w:val="left"/>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    2.下达处理意见。医疗保险经办机构下达解除原医保协议的处理意见。</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3.完成日常费用结算。医疗保险经办机构根据相关处理意见，及时完成与定点医药机构的日常费用结算，并解除医保协议。           </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已被解除协议的定点医药机构，清算年度产生的医疗费用仍须列入清算范围，根据清算结果多退少补。如定点医药机构拒绝履行清算结果，医保经办机构可通过法律途径追回医保基金损失。</w:t>
      </w:r>
    </w:p>
    <w:p>
      <w:pPr>
        <w:tabs>
          <w:tab w:val="left" w:pos="3885"/>
        </w:tabs>
        <w:spacing w:line="600" w:lineRule="exact"/>
        <w:ind w:firstLine="640"/>
        <w:rPr>
          <w:rFonts w:ascii="黑体" w:hAnsi="黑体" w:eastAsia="黑体" w:cs="黑体"/>
          <w:color w:val="auto"/>
          <w:szCs w:val="32"/>
          <w:highlight w:val="none"/>
        </w:rPr>
      </w:pPr>
      <w:r>
        <w:rPr>
          <w:rFonts w:hint="eastAsia" w:ascii="黑体" w:hAnsi="黑体" w:eastAsia="黑体" w:cs="黑体"/>
          <w:color w:val="auto"/>
          <w:szCs w:val="32"/>
          <w:highlight w:val="none"/>
        </w:rPr>
        <w:t>二、定点医药机构绩效考核</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（一）考核对象</w:t>
      </w:r>
    </w:p>
    <w:p>
      <w:pPr>
        <w:tabs>
          <w:tab w:val="left" w:pos="3885"/>
        </w:tabs>
        <w:spacing w:line="600" w:lineRule="exact"/>
        <w:ind w:firstLine="640" w:firstLineChars="200"/>
        <w:rPr>
          <w:rFonts w:ascii="仿宋_GB2312" w:hAnsi="黑体" w:cs="黑体"/>
          <w:color w:val="auto"/>
          <w:szCs w:val="32"/>
          <w:highlight w:val="none"/>
        </w:rPr>
      </w:pPr>
      <w:r>
        <w:rPr>
          <w:rFonts w:hint="eastAsia" w:ascii="仿宋_GB2312" w:hAnsi="黑体" w:cs="黑体"/>
          <w:color w:val="auto"/>
          <w:szCs w:val="32"/>
          <w:highlight w:val="none"/>
        </w:rPr>
        <w:t>衢州市范围内与医疗保险经办机构签订医保协议的定点医药机构。</w:t>
      </w:r>
    </w:p>
    <w:p>
      <w:pPr>
        <w:tabs>
          <w:tab w:val="left" w:pos="3885"/>
        </w:tabs>
        <w:spacing w:line="600" w:lineRule="exact"/>
        <w:ind w:firstLine="640" w:firstLineChars="200"/>
        <w:rPr>
          <w:rFonts w:ascii="仿宋_GB2312" w:hAnsi="黑体" w:cs="黑体"/>
          <w:color w:val="auto"/>
          <w:szCs w:val="32"/>
          <w:highlight w:val="none"/>
        </w:rPr>
      </w:pPr>
      <w:r>
        <w:rPr>
          <w:rFonts w:hint="eastAsia" w:ascii="仿宋_GB2312" w:hAnsi="黑体" w:cs="黑体"/>
          <w:color w:val="auto"/>
          <w:szCs w:val="32"/>
          <w:highlight w:val="none"/>
        </w:rPr>
        <w:t>各统筹区经办机构分别负责与本统筹区签订协议的定点医药机构年度医保服务质量评价工作。</w:t>
      </w:r>
    </w:p>
    <w:p>
      <w:pPr>
        <w:tabs>
          <w:tab w:val="left" w:pos="3885"/>
        </w:tabs>
        <w:spacing w:line="600" w:lineRule="exact"/>
        <w:ind w:firstLine="640" w:firstLineChars="200"/>
        <w:rPr>
          <w:rFonts w:ascii="仿宋_GB2312" w:hAnsi="黑体" w:cs="黑体"/>
          <w:color w:val="auto"/>
          <w:szCs w:val="32"/>
          <w:highlight w:val="none"/>
        </w:rPr>
      </w:pPr>
      <w:r>
        <w:rPr>
          <w:rFonts w:hint="eastAsia" w:ascii="仿宋_GB2312" w:hAnsi="黑体" w:cs="黑体"/>
          <w:color w:val="auto"/>
          <w:szCs w:val="32"/>
          <w:highlight w:val="none"/>
          <w:lang w:val="en-US" w:eastAsia="zh-CN"/>
        </w:rPr>
        <w:t>规范化</w:t>
      </w:r>
      <w:r>
        <w:rPr>
          <w:rFonts w:hint="eastAsia" w:ascii="仿宋_GB2312" w:hAnsi="黑体" w:cs="黑体"/>
          <w:color w:val="auto"/>
          <w:szCs w:val="32"/>
          <w:highlight w:val="none"/>
        </w:rPr>
        <w:t>管理的服务站（或村卫生室）不单独进行评价。</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（二）考核原则</w:t>
      </w:r>
    </w:p>
    <w:p>
      <w:pPr>
        <w:widowControl/>
        <w:spacing w:line="560" w:lineRule="exact"/>
        <w:rPr>
          <w:rFonts w:ascii="仿宋_GB2312" w:hAnsi="仿宋_GB2312" w:cs="仿宋_GB2312"/>
          <w:color w:val="auto"/>
          <w:szCs w:val="32"/>
          <w:highlight w:val="none"/>
        </w:rPr>
      </w:pPr>
      <w:r>
        <w:rPr>
          <w:rFonts w:hint="eastAsia" w:ascii="Ubuntu" w:hAnsi="Ubuntu" w:eastAsia="Ubuntu" w:cs="Ubuntu"/>
          <w:color w:val="auto"/>
          <w:kern w:val="0"/>
          <w:sz w:val="28"/>
          <w:szCs w:val="28"/>
          <w:highlight w:val="none"/>
          <w:shd w:val="clear" w:color="auto" w:fill="FFFFFF"/>
          <w:lang w:bidi="ar"/>
        </w:rPr>
        <w:t xml:space="preserve">     </w:t>
      </w:r>
      <w:r>
        <w:rPr>
          <w:rFonts w:hint="eastAsia" w:ascii="仿宋_GB2312" w:hAnsi="仿宋_GB2312" w:cs="仿宋_GB2312"/>
          <w:color w:val="auto"/>
          <w:szCs w:val="32"/>
          <w:highlight w:val="none"/>
        </w:rPr>
        <w:t>定点医药机构绩效考核坚持公平、公正、公开、客观、诚信的原则。</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（三）考核方式</w:t>
      </w:r>
    </w:p>
    <w:p>
      <w:pPr>
        <w:spacing w:line="56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定点医药机构绩效考核工作在各级医保行政部门的领导下组织开展，由所辖医保经办机构具体实施。必要时可邀请相关部门、单位和第三方社会机构参与考核。</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定点医药机构绩效考核采用“半年拟评、年度总评”相结合的方式进行。半年拟评，1月1号至6月30为考核时间段；年度总评，以一个自然年度为考核时间段。半年进行一次评价打分，并将评分结果公布给各定点医药机构。半年拟评在八月底前完成。年度总评，以一个自然年度为考核时间段，考核在次年一季度完成。</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半年拟评和年度总评采用相同评价指标，根据定点医药机构医保服务权限不同进行分类评价，分为综合类定点医药机构、门诊类定点医药机构和定点零售药店，不同类型医药机构设置不同的评分指标和评价标准，详见附表。</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绩效考核最终得分由上半年拟评得分与年度总评得分按照不同权重计算求和，即年度绩效考核最终得分=半年拟评得分*权重比30%+年度总评得分*权重比70%）。</w:t>
      </w:r>
    </w:p>
    <w:p>
      <w:pPr>
        <w:spacing w:line="600" w:lineRule="exact"/>
        <w:ind w:firstLine="600"/>
        <w:rPr>
          <w:rFonts w:hint="eastAsia" w:ascii="方正楷体_GBK" w:hAnsi="方正楷体_GBK" w:eastAsia="方正楷体_GBK" w:cs="方正楷体_GBK"/>
          <w:color w:val="auto"/>
          <w:szCs w:val="32"/>
          <w:highlight w:val="none"/>
        </w:rPr>
      </w:pPr>
      <w:r>
        <w:rPr>
          <w:rFonts w:hint="eastAsia" w:ascii="楷体_GB2312" w:hAnsi="楷体_GB2312" w:eastAsia="楷体_GB2312" w:cs="楷体_GB2312"/>
          <w:color w:val="auto"/>
          <w:szCs w:val="32"/>
          <w:highlight w:val="none"/>
        </w:rPr>
        <w:t>（四）结果运用</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根据得分结果将定点医药机构分为“A、B、C、D”四个等级。对于当年新增的定点医药机构，不予考核。对年度考核被解除医保协议的定点医药机构，一年内不得再次申请医保定点。</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1.综合类定点医疗机构考核结果运用</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（1）考核得分90分以上且居前10%的，评为A级。减少日常监督检查频次、增加基金预拨、张榜公布树立正面典型。</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（2）考核得分70分以下且居后5%的，评为D级。加大日常监督检查频次，至少每年检查三次及以上，减少基金预拨、同时予以通报公布。</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（3）考核得分80分（含）以上的（除“A”级外的），评为B级。加大日常监督检查频次、减少基金预拨、同时予以通报公布。</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（4） 考核得分80分以下的（除“D”级外的），评为C级。加大日常监督检查频次，至少每年检查2次及以上，减少基金预拨、同时予以通报公布。</w:t>
      </w:r>
    </w:p>
    <w:p>
      <w:pPr>
        <w:spacing w:line="600" w:lineRule="exact"/>
        <w:ind w:firstLine="601"/>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2.门诊类定点医药机构和定点零售药店考核结果运用</w:t>
      </w:r>
    </w:p>
    <w:p>
      <w:pPr>
        <w:spacing w:line="560" w:lineRule="exact"/>
        <w:ind w:firstLine="640" w:firstLineChars="200"/>
        <w:rPr>
          <w:rFonts w:ascii="仿宋_GB2312" w:hAnsi="仿宋_GB2312" w:cs="仿宋_GB2312"/>
          <w:color w:val="auto"/>
          <w:szCs w:val="32"/>
          <w:highlight w:val="none"/>
          <w:u w:val="none"/>
        </w:rPr>
      </w:pPr>
      <w:r>
        <w:rPr>
          <w:rFonts w:hint="eastAsia" w:ascii="仿宋_GB2312" w:hAnsi="仿宋_GB2312" w:cs="仿宋_GB2312"/>
          <w:color w:val="auto"/>
          <w:szCs w:val="32"/>
          <w:highlight w:val="none"/>
          <w:u w:val="none"/>
        </w:rPr>
        <w:t>（1）考核得分90分以上且居前5%的，评为A级。减少日常监督检查频次、增加基金预拨、张榜公布树立正面典型。</w:t>
      </w:r>
    </w:p>
    <w:p>
      <w:pPr>
        <w:spacing w:line="56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u w:val="none"/>
        </w:rPr>
        <w:t>（2）考核得分70分以下且居后5%的，评为D级。根据优胜劣汰、动态管理原则，将排名末两位的或考核得分低于60分的予以</w:t>
      </w:r>
      <w:r>
        <w:rPr>
          <w:rFonts w:hint="eastAsia" w:ascii="仿宋_GB2312" w:hAnsi="仿宋_GB2312" w:cs="仿宋_GB2312"/>
          <w:color w:val="auto"/>
          <w:szCs w:val="32"/>
          <w:highlight w:val="none"/>
          <w:lang w:eastAsia="zh-CN"/>
        </w:rPr>
        <w:t>暂停联网结算，</w:t>
      </w:r>
      <w:r>
        <w:rPr>
          <w:rFonts w:hint="eastAsia" w:ascii="仿宋_GB2312" w:hAnsi="仿宋_GB2312" w:cs="仿宋_GB2312"/>
          <w:color w:val="auto"/>
          <w:szCs w:val="32"/>
          <w:highlight w:val="none"/>
        </w:rPr>
        <w:t>整改3个月后再次</w:t>
      </w:r>
      <w:r>
        <w:rPr>
          <w:rFonts w:hint="eastAsia" w:ascii="仿宋_GB2312" w:hAnsi="仿宋_GB2312" w:cs="仿宋_GB2312"/>
          <w:color w:val="auto"/>
          <w:szCs w:val="32"/>
          <w:highlight w:val="none"/>
          <w:lang w:val="en-US" w:eastAsia="zh-CN"/>
        </w:rPr>
        <w:t>进行考核</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考核</w:t>
      </w:r>
      <w:r>
        <w:rPr>
          <w:rFonts w:hint="eastAsia" w:ascii="仿宋_GB2312" w:hAnsi="仿宋_GB2312" w:cs="仿宋_GB2312"/>
          <w:color w:val="auto"/>
          <w:szCs w:val="32"/>
          <w:highlight w:val="none"/>
        </w:rPr>
        <w:t>仍不合格的，</w:t>
      </w:r>
      <w:r>
        <w:rPr>
          <w:rFonts w:hint="eastAsia" w:ascii="仿宋_GB2312" w:hAnsi="仿宋_GB2312" w:cs="仿宋_GB2312"/>
          <w:color w:val="auto"/>
          <w:szCs w:val="32"/>
          <w:highlight w:val="none"/>
          <w:lang w:eastAsia="zh-CN"/>
        </w:rPr>
        <w:t>予以</w:t>
      </w:r>
      <w:r>
        <w:rPr>
          <w:rFonts w:hint="eastAsia" w:ascii="仿宋_GB2312" w:hAnsi="仿宋_GB2312" w:cs="仿宋_GB2312"/>
          <w:color w:val="auto"/>
          <w:szCs w:val="32"/>
          <w:highlight w:val="none"/>
        </w:rPr>
        <w:t>解除医保协议，退出医保定点管理。</w:t>
      </w:r>
    </w:p>
    <w:p>
      <w:pPr>
        <w:spacing w:line="560" w:lineRule="exact"/>
        <w:ind w:firstLine="640" w:firstLineChars="200"/>
        <w:rPr>
          <w:rFonts w:ascii="仿宋_GB2312" w:hAnsi="仿宋_GB2312" w:cs="仿宋_GB2312"/>
          <w:color w:val="auto"/>
          <w:szCs w:val="32"/>
          <w:highlight w:val="none"/>
        </w:rPr>
      </w:pPr>
      <w:bookmarkStart w:id="2" w:name="_Hlk58350154"/>
      <w:r>
        <w:rPr>
          <w:rFonts w:hint="eastAsia" w:ascii="仿宋_GB2312" w:hAnsi="仿宋_GB2312" w:cs="仿宋_GB2312"/>
          <w:color w:val="auto"/>
          <w:szCs w:val="32"/>
          <w:highlight w:val="none"/>
        </w:rPr>
        <w:t>（3）考核得分80分（含）以上的（除“A”级外的），评为B级。加大日常监督检查频次，至少每年检查2次及以上，减少基金预拨，同时予以通报公布。</w:t>
      </w:r>
    </w:p>
    <w:p>
      <w:pPr>
        <w:spacing w:line="56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（4） 考核得分80分以下的（除“D”级外的），评为C级。</w:t>
      </w:r>
      <w:bookmarkEnd w:id="2"/>
      <w:r>
        <w:rPr>
          <w:rFonts w:hint="eastAsia" w:ascii="仿宋_GB2312" w:hAnsi="仿宋_GB2312" w:cs="仿宋_GB2312"/>
          <w:color w:val="auto"/>
          <w:szCs w:val="32"/>
          <w:highlight w:val="none"/>
        </w:rPr>
        <w:t>加大日常监督检查频次，至少每年检查3次及以上，减少基金预拨，同时予以通报公布。</w:t>
      </w:r>
    </w:p>
    <w:p>
      <w:pPr>
        <w:spacing w:line="600" w:lineRule="exact"/>
        <w:jc w:val="left"/>
        <w:rPr>
          <w:rFonts w:cs="仿宋_GB2312" w:asciiTheme="minorEastAsia" w:hAnsiTheme="minorEastAsia" w:eastAsiaTheme="minorEastAsia"/>
          <w:color w:val="auto"/>
          <w:szCs w:val="32"/>
          <w:highlight w:val="none"/>
        </w:rPr>
      </w:pPr>
    </w:p>
    <w:p>
      <w:pPr>
        <w:pStyle w:val="10"/>
        <w:rPr>
          <w:rFonts w:hint="default" w:cs="仿宋_GB2312" w:asciiTheme="minorEastAsia" w:hAnsiTheme="minorEastAsia" w:eastAsiaTheme="minorEastAsia"/>
          <w:color w:val="auto"/>
          <w:highlight w:val="none"/>
        </w:rPr>
      </w:pPr>
    </w:p>
    <w:p>
      <w:pPr>
        <w:pStyle w:val="10"/>
        <w:rPr>
          <w:rFonts w:hint="default"/>
          <w:color w:val="auto"/>
          <w:highlight w:val="none"/>
        </w:rPr>
      </w:pPr>
    </w:p>
    <w:p>
      <w:pPr>
        <w:rPr>
          <w:rFonts w:hint="default"/>
          <w:color w:val="auto"/>
          <w:highlight w:val="none"/>
        </w:rPr>
      </w:pPr>
    </w:p>
    <w:p>
      <w:pPr>
        <w:pStyle w:val="10"/>
        <w:rPr>
          <w:rFonts w:hint="default"/>
          <w:color w:val="auto"/>
          <w:highlight w:val="none"/>
        </w:rPr>
      </w:pPr>
    </w:p>
    <w:p>
      <w:pPr>
        <w:rPr>
          <w:rFonts w:hint="default"/>
          <w:color w:val="auto"/>
          <w:highlight w:val="none"/>
        </w:rPr>
      </w:pPr>
    </w:p>
    <w:p>
      <w:pPr>
        <w:pStyle w:val="10"/>
        <w:rPr>
          <w:rFonts w:hint="default"/>
          <w:color w:val="auto"/>
          <w:highlight w:val="none"/>
        </w:rPr>
      </w:pPr>
    </w:p>
    <w:p>
      <w:pPr>
        <w:rPr>
          <w:rFonts w:hint="default"/>
          <w:color w:val="auto"/>
          <w:highlight w:val="none"/>
        </w:rPr>
      </w:pPr>
    </w:p>
    <w:p>
      <w:pPr>
        <w:pStyle w:val="10"/>
        <w:rPr>
          <w:rFonts w:hint="default"/>
          <w:color w:val="auto"/>
          <w:highlight w:val="none"/>
        </w:rPr>
      </w:pPr>
    </w:p>
    <w:p>
      <w:pPr>
        <w:rPr>
          <w:color w:val="auto"/>
          <w:highlight w:val="none"/>
        </w:rPr>
      </w:pPr>
    </w:p>
    <w:p>
      <w:pPr>
        <w:pStyle w:val="10"/>
        <w:rPr>
          <w:color w:val="auto"/>
          <w:highlight w:val="none"/>
        </w:rPr>
      </w:pPr>
    </w:p>
    <w:p>
      <w:pPr>
        <w:rPr>
          <w:color w:val="auto"/>
          <w:highlight w:val="none"/>
        </w:rPr>
      </w:pPr>
    </w:p>
    <w:p>
      <w:pPr>
        <w:rPr>
          <w:rFonts w:hint="default"/>
          <w:color w:val="auto"/>
          <w:highlight w:val="none"/>
        </w:rPr>
      </w:pPr>
      <w:r>
        <w:rPr>
          <w:rFonts w:hint="default"/>
          <w:color w:val="auto"/>
          <w:highlight w:val="none"/>
        </w:rPr>
        <w:br w:type="page"/>
      </w:r>
    </w:p>
    <w:p>
      <w:pPr>
        <w:spacing w:line="600" w:lineRule="exact"/>
        <w:jc w:val="left"/>
        <w:rPr>
          <w:rFonts w:cs="仿宋_GB2312" w:asciiTheme="minorEastAsia" w:hAnsiTheme="minorEastAsia" w:eastAsiaTheme="minorEastAsia"/>
          <w:color w:val="auto"/>
          <w:szCs w:val="32"/>
          <w:highlight w:val="none"/>
        </w:rPr>
      </w:pPr>
      <w:r>
        <w:rPr>
          <w:rFonts w:hint="eastAsia" w:cs="仿宋_GB2312" w:asciiTheme="minorEastAsia" w:hAnsiTheme="minorEastAsia" w:eastAsiaTheme="minorEastAsia"/>
          <w:color w:val="auto"/>
          <w:szCs w:val="32"/>
          <w:highlight w:val="none"/>
        </w:rPr>
        <w:t>附件2</w:t>
      </w:r>
    </w:p>
    <w:p>
      <w:pPr>
        <w:tabs>
          <w:tab w:val="left" w:pos="3885"/>
        </w:tabs>
        <w:spacing w:line="600" w:lineRule="exact"/>
        <w:ind w:firstLine="440" w:firstLineChars="100"/>
        <w:jc w:val="center"/>
        <w:rPr>
          <w:rFonts w:ascii="方正小标宋简体" w:hAnsi="仿宋_GB2312" w:eastAsia="方正小标宋简体" w:cs="仿宋_GB2312"/>
          <w:bCs/>
          <w:color w:val="auto"/>
          <w:sz w:val="44"/>
          <w:szCs w:val="44"/>
          <w:highlight w:val="none"/>
        </w:rPr>
      </w:pPr>
      <w:r>
        <w:rPr>
          <w:rFonts w:hint="eastAsia" w:ascii="方正小标宋简体" w:hAnsi="仿宋_GB2312" w:eastAsia="方正小标宋简体" w:cs="仿宋_GB2312"/>
          <w:bCs/>
          <w:color w:val="auto"/>
          <w:sz w:val="44"/>
          <w:szCs w:val="44"/>
          <w:highlight w:val="none"/>
        </w:rPr>
        <w:t>衢州市定点医药机构行为规范</w:t>
      </w:r>
    </w:p>
    <w:p>
      <w:pPr>
        <w:tabs>
          <w:tab w:val="left" w:pos="3885"/>
        </w:tabs>
        <w:spacing w:line="600" w:lineRule="exact"/>
        <w:ind w:firstLine="440" w:firstLineChars="100"/>
        <w:jc w:val="center"/>
        <w:rPr>
          <w:rFonts w:ascii="方正小标宋简体" w:hAnsi="仿宋_GB2312" w:eastAsia="方正小标宋简体" w:cs="仿宋_GB2312"/>
          <w:color w:val="auto"/>
          <w:sz w:val="44"/>
          <w:szCs w:val="44"/>
          <w:highlight w:val="none"/>
        </w:rPr>
      </w:pP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为进一步规范定点医药机构的医疗服务行为，提高参保人员就医满意度，制定本行为规范。</w:t>
      </w:r>
    </w:p>
    <w:p>
      <w:pPr>
        <w:tabs>
          <w:tab w:val="left" w:pos="3885"/>
        </w:tabs>
        <w:spacing w:line="600" w:lineRule="exact"/>
        <w:ind w:firstLine="640" w:firstLineChars="200"/>
        <w:rPr>
          <w:rFonts w:ascii="黑体" w:hAnsi="黑体" w:eastAsia="黑体" w:cs="仿宋_GB2312"/>
          <w:color w:val="auto"/>
          <w:szCs w:val="32"/>
          <w:highlight w:val="none"/>
        </w:rPr>
      </w:pPr>
      <w:r>
        <w:rPr>
          <w:rFonts w:hint="eastAsia" w:ascii="黑体" w:hAnsi="黑体" w:eastAsia="黑体" w:cs="仿宋_GB2312"/>
          <w:color w:val="auto"/>
          <w:szCs w:val="32"/>
          <w:highlight w:val="none"/>
        </w:rPr>
        <w:t>一、信息系统安全保障行为规范</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（一）定点医药机构软件的安装使用规范</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本办法规定的软件是指医保结算系统、进销存系统、智能审核系统、人脸识别系统等用于医保结算、监管相关的信息系统。</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1.定点医药机构的医保专用电脑操作系统应符合医保相应软件要求类型及版本，且操作系统进行过正版激活。</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2.定点医药机构用于医保业务的电脑只能安装医保结算、医保监管、防病毒、办公软件等与定点医药机构业务相关的软件。</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3.不同医保软件操作人员应设置不同系统用户账号，操作员应定期更换自已账号的密码，账号密码需满足6位以上大小字母加数字组成的强度。</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4.为保证医保业务数据一致性和结算的准确性，定点医药机构应使用最新版本的医保业务软件，及时更新医保相关应用软件，承担拒不按要求及时升级而造成的基金损失。</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（二）定点医药机构设备的安装使用规范</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本办法规定的设备是指用于医保业务监管的符合医保部门规定的视频监控设备。</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1.设备管理按定点医药机构单门店管理，定点医药机构及其连锁或下属分点联网机构应独自申报设备的安装与管理。</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 xml:space="preserve">2.为确保设备接入智能监控系统平台的适用性和稳定性，推荐定点医药机构使用经办机构提供已适配过产品型号目录中的产品，若自行选择产品目录以外的产品，需满足推荐目录产品中最低参数要求以上的产品，并确保能正常接入平台。 </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3.如计算机主机系统需要暂停对外服务时，定点医药机构应按经办机构要求停止数据交换，并向服务对象做好解释工作。</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4.定点医药机构应完善其计算机软件系统的管理功能，配备药房、药库计算机管理子系统等，按要求安装使用医保软件系统，并按时反馈相关数据信息。定点医药机构须及时将本单位的药品、项目及疾病名称与经办机构对应目录进行准确匹配。发票及明细清单应按医保规定进行分割。</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5.经办机构</w:t>
      </w:r>
      <w:r>
        <w:rPr>
          <w:rFonts w:hint="eastAsia" w:ascii="仿宋_GB2312"/>
          <w:color w:val="auto"/>
          <w:szCs w:val="32"/>
          <w:highlight w:val="none"/>
        </w:rPr>
        <w:t>对定点医药机构有视频监控要求的，应按以下规定安装视频监控：</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无住院的定点医药机构应安装视频监控摄像机，要求视角能全覆盖收银区、取药区（药店、诊所要求全覆盖药房）、输液区等关键位置，其中覆盖收银区或进出口的摄像机要求有一路满足人脸抓拍功能。有住院的定点医药机构应安装满足人脸抓拍功能的摄像机，且视角能覆盖住院病区廊道、进出口等关键位置。人脸抓拍功能的摄像机人脸图片双瞳像素点应在40*40以上，视频分辨率应在1080P以上。</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定点医药机构确保视频监控设备日常正常运行，有故障的须在24小时内予以修复，未正常运行超过24小时的定点医药机构即被自动暂停医保结算。有特殊情形的定点医药机构可提交书面说明，申请临时开通48小时医保结算服务，届时仍未能修复的重新暂停医保结算直至修复为止。</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6.连接医保刷卡收费的电脑的USB摄像头应安装在离收银台方两米以内处，确保收费刷卡时参保人员正面对着摄像头，整个刷卡过程处于摄像范围内。</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7.定点医药机构负责设备的日常维护，保证营业时间内设备运转正常。</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8.根据定点医药机构监管的实际发展要求或监控管理系统平台升级需要，要求定点医药机构新增、升级设备时，定点医药机构应按新的要求新增、升级或更换相关设备。</w:t>
      </w:r>
    </w:p>
    <w:p>
      <w:pPr>
        <w:spacing w:line="600" w:lineRule="exact"/>
        <w:ind w:firstLine="600"/>
        <w:rPr>
          <w:rFonts w:hint="eastAsia" w:ascii="方正楷体_GBK" w:hAnsi="方正楷体_GBK" w:eastAsia="方正楷体_GBK" w:cs="方正楷体_GBK"/>
          <w:color w:val="auto"/>
          <w:szCs w:val="32"/>
          <w:highlight w:val="none"/>
        </w:rPr>
      </w:pPr>
      <w:r>
        <w:rPr>
          <w:rFonts w:hint="eastAsia" w:ascii="楷体_GB2312" w:hAnsi="楷体_GB2312" w:eastAsia="楷体_GB2312" w:cs="楷体_GB2312"/>
          <w:color w:val="auto"/>
          <w:szCs w:val="32"/>
          <w:highlight w:val="none"/>
        </w:rPr>
        <w:t>（三）定点医药机构网络的接入使用规范</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本办法规定的网络是指网络运营商为定点医药机构提供的用于医保刷卡结算和视频监控的医保网络专线。</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1.定点医药机构网络安装、使用需遵循国家《国家网络安全法》相关规定。</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2.定点医药机构选择接入医保专网的光纤专线，其网络运营商应向经办机构提出申请并签署过服务承诺书，且用于医保业务的电脑只能接入医保专网。</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3.定点医药机构将连锁或下属联网机构的电脑接入医保专网，须经过经办机构同意。</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（四）定点医药机构信息系统使用人员行为规范</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1.定点医药机构应设置一名医保软件及设备管理员，专门负责协助软件及设备提供商的安装、调试工作，以及软件与设备的维护、调整配置、培训其他操作人员等日常管理工作。</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2.定点医药机构的医保业务软件及专用设备操作人员应学习医保软件、设备操作手册及操作规范，具备操作能力才能上岗操作医保业务软件及专用设备。</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3.定点医药机构应及时收回离职人员系统操作账号权限。</w:t>
      </w:r>
    </w:p>
    <w:p>
      <w:pPr>
        <w:tabs>
          <w:tab w:val="left" w:pos="3885"/>
        </w:tabs>
        <w:spacing w:line="600" w:lineRule="exact"/>
        <w:ind w:firstLine="640" w:firstLineChars="200"/>
        <w:rPr>
          <w:rFonts w:ascii="黑体" w:hAnsi="黑体" w:eastAsia="黑体" w:cs="仿宋_GB2312"/>
          <w:color w:val="auto"/>
          <w:szCs w:val="32"/>
          <w:highlight w:val="none"/>
        </w:rPr>
      </w:pPr>
      <w:r>
        <w:rPr>
          <w:rFonts w:hint="eastAsia" w:ascii="黑体" w:hAnsi="黑体" w:eastAsia="黑体" w:cs="仿宋_GB2312"/>
          <w:color w:val="auto"/>
          <w:szCs w:val="32"/>
          <w:highlight w:val="none"/>
        </w:rPr>
        <w:t>二、医药服务行为规范</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（一） 定点医药机构应坚持“以病人为中心”的服务准则，热心为参保人员服务；参保人员投诉工作人员态度恶劣的，定点医药机构应认真调查，如情况属实，按照有关规定严肃处理。</w:t>
      </w:r>
    </w:p>
    <w:p>
      <w:pPr>
        <w:spacing w:line="600" w:lineRule="exact"/>
        <w:ind w:firstLine="640" w:firstLineChars="200"/>
        <w:rPr>
          <w:rFonts w:ascii="仿宋_GB2312"/>
          <w:color w:val="auto"/>
          <w:szCs w:val="32"/>
          <w:highlight w:val="none"/>
        </w:rPr>
      </w:pPr>
      <w:r>
        <w:rPr>
          <w:rFonts w:hint="eastAsia" w:ascii="仿宋_GB2312" w:hAnsi="仿宋_GB2312" w:cs="仿宋_GB2312"/>
          <w:color w:val="auto"/>
          <w:szCs w:val="32"/>
          <w:highlight w:val="none"/>
        </w:rPr>
        <w:t>（二）</w:t>
      </w:r>
      <w:r>
        <w:rPr>
          <w:rFonts w:hint="eastAsia" w:ascii="仿宋_GB2312"/>
          <w:color w:val="auto"/>
          <w:szCs w:val="32"/>
          <w:highlight w:val="none"/>
        </w:rPr>
        <w:t>定点医药机构应</w:t>
      </w:r>
      <w:r>
        <w:rPr>
          <w:rFonts w:hint="eastAsia" w:ascii="仿宋_GB2312" w:hAnsi="仿宋_GB2312" w:cs="仿宋_GB2312"/>
          <w:color w:val="auto"/>
          <w:szCs w:val="32"/>
          <w:highlight w:val="none"/>
        </w:rPr>
        <w:t>按要求开通医保电子凭证结算，因未开通医保电子凭证结算导致参保人未正常享受医保待遇并投诉的，一切损失由</w:t>
      </w:r>
      <w:r>
        <w:rPr>
          <w:rFonts w:hint="eastAsia" w:ascii="仿宋_GB2312"/>
          <w:color w:val="auto"/>
          <w:szCs w:val="32"/>
          <w:highlight w:val="none"/>
        </w:rPr>
        <w:t>定点医药机构</w:t>
      </w:r>
      <w:r>
        <w:rPr>
          <w:rFonts w:hint="eastAsia" w:ascii="仿宋_GB2312" w:hAnsi="仿宋_GB2312" w:cs="仿宋_GB2312"/>
          <w:color w:val="auto"/>
          <w:szCs w:val="32"/>
          <w:highlight w:val="none"/>
        </w:rPr>
        <w:t>承担。</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（三）经办机构</w:t>
      </w:r>
      <w:r>
        <w:rPr>
          <w:rFonts w:hint="eastAsia" w:ascii="仿宋_GB2312"/>
          <w:color w:val="auto"/>
          <w:szCs w:val="32"/>
          <w:highlight w:val="none"/>
        </w:rPr>
        <w:t>对定点医药机构有人脸识别验证要求的，定点医药机构在参保人员就医购药过程中须对所有人员进行人脸识别系统验证</w:t>
      </w:r>
      <w:r>
        <w:rPr>
          <w:rFonts w:hint="eastAsia" w:ascii="仿宋_GB2312" w:hAnsi="仿宋_GB2312" w:cs="仿宋_GB2312"/>
          <w:color w:val="auto"/>
          <w:szCs w:val="32"/>
          <w:highlight w:val="none"/>
        </w:rPr>
        <w:t>。通过验证的可予以刷卡结算，未通过的按下列办法处理：</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（1）系统人脸库中无该参保人员照片，定点医药机构通过结算系统确认是本人的，拍照上传照片后予以结算。系统自动将本次照片在人脸库中建模，用于后续就医购药时比对。</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系统人脸库中有该参保人员照片，但无法通过人脸识别验证的，定点医药机构在结算系统中登记、录像、拍照上传后予以刷卡结算。同时，定点医药机构如实登记该参保人员姓名、身份证号码、联系电话、诊疾病诊断等相关信息，并经参保人员本人（或亲属）及工作人员签名后，按月装订成册，留存备查。定点医药机构还应提醒参保人员及时到公安部门重新办理身份证，更新人脸库。</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他人代配药的，定点医药机构通过结算系统录入代配人员姓名、身份证号码、代配理由并经代配者人脸识别后予以刷卡结算（代配者人脸比对无法通过的参照本条前两条规定执行），代配者在首次代配过程中自动建立代配关系。</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如经办机构人脸视频系统发生故障，系统自动暂停人脸识别校验，定点医药机构可正常为参保人员进行医保结算。</w:t>
      </w:r>
    </w:p>
    <w:p>
      <w:pPr>
        <w:spacing w:line="600" w:lineRule="exact"/>
        <w:ind w:firstLine="600"/>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（四）代配药服务</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1.参保人具有以下情形之一的，其本人或监护人可委托1至3名代理人进行代配药，所配药品限于治疗经临床医师诊断明确、病情稳定、治疗方案确定的慢性病、特殊病、精神病，委托长期有效：</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（1）因残疾、瘫痪、高龄等原因行动不便的参保人；</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（2）患有精神类疾病相关规定的、且属于无民事行为能力或限制行为能力的参保人；</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（3）未成年人。</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2.参保人因外伤等原因造成行动不便的，其本人或监护人可以委托1至3名代理人进行代配药，所配药品范围不限，委托有效期为3个月。</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3.代理人须符合以下条件：</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（1）具有完全民事行为能力的成年人；</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（2）原则上须为参保人或监护人的直系亲属或近亲属，特殊情况可为照护人员；</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（3）每名代理人至多关联3名委托人；</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（4）除短期委托情形外，其他委托人一个医保年度内可以变更一次代理人。</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（五）定点医药机构应严格按基本医疗保险有关规定，单次配药量原则上急性病不超过7天量，一般慢性病不超过15天量，纳入特殊病种及慢性病管理的疾病不超过12周量。</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（六）定点医药机构违反药品支付价格相关规定，所售药品价格高于药品支付价格的，超额部分经办机构不予支付，定点医药机构应向参保人解释清楚。</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（七）经办机构和定点医药机构应严格执行相关部门制定的基本医疗保险费用结算办法。确定定点后，医药机构需向经办机构提供开户行、户名及账号等信息，遇有变更的，需及时向经办机构申请变更。</w:t>
      </w:r>
    </w:p>
    <w:p>
      <w:pPr>
        <w:tabs>
          <w:tab w:val="left" w:pos="3885"/>
        </w:tabs>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（八）经办机构与定点医药机构每月结算一次联网上传的医药费用。定点医药机构应每日对帐并按月下载（打印）核对医药费用拨付信息，遇有错误的，及时与经办机构核对。</w:t>
      </w:r>
    </w:p>
    <w:p>
      <w:pPr>
        <w:snapToGrid w:val="0"/>
        <w:spacing w:line="600" w:lineRule="exact"/>
        <w:ind w:firstLine="640" w:firstLineChars="200"/>
        <w:rPr>
          <w:rFonts w:ascii="仿宋_GB2312" w:hAnsi="仿宋_GB2312" w:cs="仿宋_GB2312"/>
          <w:color w:val="auto"/>
          <w:szCs w:val="32"/>
          <w:highlight w:val="none"/>
        </w:rPr>
      </w:pPr>
      <w:r>
        <w:rPr>
          <w:rFonts w:hint="eastAsia" w:ascii="仿宋_GB2312"/>
          <w:color w:val="auto"/>
          <w:szCs w:val="32"/>
          <w:highlight w:val="none"/>
        </w:rPr>
        <w:t>（九）定点医药机构应建立、健全并严格执行财务管理会计核算制度，如实反映本单位的药品、器械购销和资金收支情况；应严格遵守人民银行有关银行账户的管理规定，所有资金收支均应通过本单位基本存款账户办理结算，药品和器械购销不得使用现金结算管理。</w:t>
      </w:r>
    </w:p>
    <w:p>
      <w:pPr>
        <w:tabs>
          <w:tab w:val="left" w:pos="3885"/>
        </w:tabs>
        <w:spacing w:line="600" w:lineRule="exact"/>
        <w:ind w:firstLine="640" w:firstLineChars="200"/>
        <w:rPr>
          <w:rFonts w:ascii="仿宋_GB2312"/>
          <w:color w:val="auto"/>
          <w:szCs w:val="32"/>
          <w:highlight w:val="none"/>
        </w:rPr>
      </w:pPr>
      <w:r>
        <w:rPr>
          <w:rFonts w:hint="eastAsia" w:ascii="仿宋_GB2312"/>
          <w:color w:val="auto"/>
          <w:szCs w:val="32"/>
          <w:highlight w:val="none"/>
        </w:rPr>
        <w:t>（十）定点医疗机构在收治各种外伤病人时，应在其病历中如实、详细记录外伤的时间、地点和受伤原因，办理住院手续按相关规定执行，根据经办机构对外伤认定反馈情况进行结算。</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（十一）定点医疗机构应及时为符合出院指征的参保人员办理出院手续；参保人员拒绝出院的，定点医疗机构应自通知其出院之日起，停止记账，按自费病人处理，并及时将有关情况通知经办机构。</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（十二）参保人员在经办机构其它定点医疗机构的检查、化验结果，定点医疗机构应充分利用，避免不必要的重复检查。</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（十三）参保人员就医时，定点医疗机构应及时提供清晰、准确和真实的医保结算单，以及医疗费用汇总清单和每日明细，保障参保人员的消费知情权。</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十四）除基本医疗保险规定不予支付的情况外，定点医疗机构应当及时为就诊的参保人员提供联网结算服务；参保人员在办理住院时因急诊等原因暂时不能出示社会保障卡或医保电子凭证的，定点医疗机构应当允许其在两个工作日内补办。</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（十五）定点医疗机构应认真执行《执业医师法》等法律法规，为参保人员提供医疗服务的协议医师须是经国家卫生行政部门登记注册后的执业医师、助理执业医师或乡村医师。</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十六）定点医疗机构开展《浙江省基本医疗保险医疗服务项目目录》中物理治疗、康复治疗和中医及民族医诊疗类项目的，须事先向经办机构书面备案，并如实提供经治医务人员姓名、身份证复印件、医疗执业或技术资格证书原件和复印件等相关资料。经治医务人员须中医学、康复医学或相关医学专业毕业，并具有执业（助理）医师资格或技师资格。</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十七）定点医疗机构应严格执行浙江省基本医疗保险用药管理规定，并做好药品和器械的匹配、出入库管理等工作。定点医疗机构应严格按照药品编码、药品名称、产地、规格、剂型进行匹配，不得将基本医疗保险支付范围外的药品、保健品及其他物品变通记录为支付范围内药品和诊疗项目，或将按比例支付药品诊疗项目变通记录为全额支付药品诊疗项目。</w:t>
      </w:r>
    </w:p>
    <w:p>
      <w:pPr>
        <w:snapToGrid w:val="0"/>
        <w:spacing w:line="600" w:lineRule="exact"/>
        <w:ind w:firstLine="640" w:firstLineChars="200"/>
        <w:rPr>
          <w:rFonts w:ascii="仿宋_GB2312"/>
          <w:color w:val="auto"/>
          <w:szCs w:val="32"/>
          <w:highlight w:val="none"/>
        </w:rPr>
      </w:pPr>
      <w:r>
        <w:rPr>
          <w:rFonts w:hint="eastAsia" w:ascii="仿宋_GB2312"/>
          <w:color w:val="auto"/>
          <w:szCs w:val="32"/>
          <w:highlight w:val="none"/>
        </w:rPr>
        <w:t>定点医疗机构不得上传虚假药品信息。</w:t>
      </w:r>
    </w:p>
    <w:p>
      <w:pPr>
        <w:pStyle w:val="12"/>
        <w:spacing w:beforeAutospacing="0" w:afterAutospacing="0" w:line="600" w:lineRule="exact"/>
        <w:ind w:firstLine="640" w:firstLineChars="200"/>
        <w:jc w:val="both"/>
        <w:rPr>
          <w:rFonts w:ascii="仿宋_GB2312" w:hAnsi="Times New Roman" w:eastAsia="仿宋_GB2312" w:cs="Times New Roman"/>
          <w:color w:val="auto"/>
          <w:kern w:val="2"/>
          <w:sz w:val="32"/>
          <w:szCs w:val="32"/>
          <w:highlight w:val="none"/>
        </w:rPr>
      </w:pPr>
      <w:r>
        <w:rPr>
          <w:rFonts w:hint="eastAsia" w:ascii="仿宋_GB2312" w:hAnsi="Times New Roman" w:eastAsia="仿宋_GB2312" w:cs="Times New Roman"/>
          <w:color w:val="auto"/>
          <w:kern w:val="2"/>
          <w:sz w:val="32"/>
          <w:szCs w:val="32"/>
          <w:highlight w:val="none"/>
        </w:rPr>
        <w:t>（十八）定点零售药店应当为参保人员提供药品咨询、用药安全、医保药品销售、医保费用结算等服务。</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（十九）定点零售药店在营业时间内至少有1名药师在岗，为参保人员提供服务。</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二十）定点零售药店应依据有关法律、法规关于处方调配的有关规定为参保人员提供医保药品配售服务。其中处方药应凭定点医疗执业医师开具的符合卫健部门规定的处方配售，外配处方应有相应定点医疗机构加盖的外配处方专用章。定点零售药店无正当理由，不得拒绝参保人员持外配处方购药的请求。处于中止、解除医保协议期间的定点医疗机构开具的定点医药机构应当自觉遵守医疗保障法律、法规、规章及有关政策，按照规定向参保人员提供医疗和药品服务。医疗保障行政部门及经办机构依法依规查处违法违规使用医疗保障基金的行为。</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外配处方不纳入医保结算，定点零售药店如对外配处方配伍或剂量有疑义的，应告知参保人员，由原处方医师更正并重新签字后再给与调配。药师调配OTC西药须符合西医疾病诊治原则，调配OTC中成药须遵循中医辨证施治原则和理法方药。</w:t>
      </w:r>
    </w:p>
    <w:p>
      <w:pPr>
        <w:spacing w:line="600" w:lineRule="exact"/>
        <w:ind w:firstLine="640" w:firstLineChars="200"/>
        <w:rPr>
          <w:rFonts w:ascii="仿宋_GB2312"/>
          <w:color w:val="auto"/>
          <w:szCs w:val="32"/>
          <w:highlight w:val="none"/>
        </w:rPr>
      </w:pPr>
      <w:r>
        <w:rPr>
          <w:rFonts w:hint="eastAsia" w:ascii="仿宋_GB2312"/>
          <w:color w:val="auto"/>
          <w:szCs w:val="32"/>
          <w:highlight w:val="none"/>
        </w:rPr>
        <w:t>（二十一）参保人员在定点零售药店购药时，定点零售药店若因各种原因不能满足供应，应告知参保人员并负责联系其他药店。参保人员选购非处方药时，定点零售药店应提供用药指导。</w:t>
      </w:r>
    </w:p>
    <w:p>
      <w:pPr>
        <w:tabs>
          <w:tab w:val="left" w:pos="3885"/>
        </w:tabs>
        <w:spacing w:line="600" w:lineRule="exact"/>
        <w:ind w:firstLine="640" w:firstLineChars="200"/>
        <w:rPr>
          <w:rFonts w:ascii="仿宋_GB2312" w:hAnsi="仿宋_GB2312" w:cs="仿宋_GB2312"/>
          <w:b/>
          <w:color w:val="auto"/>
          <w:szCs w:val="32"/>
          <w:highlight w:val="none"/>
        </w:rPr>
      </w:pPr>
      <w:r>
        <w:rPr>
          <w:rFonts w:hint="eastAsia" w:ascii="仿宋_GB2312"/>
          <w:color w:val="auto"/>
          <w:szCs w:val="32"/>
          <w:highlight w:val="none"/>
        </w:rPr>
        <w:t>（二十二）符合慢性病门诊政策的参保人员，可在医保定点零售药店刷卡购买慢性病病种规定药品。鼓励定点零售药店根据参保人员需求，开展药品配送服务。鼓励定点零售药店按照医疗保障部门的民生实事工作要求和进展情况，开通处方“云平台”服务。定点零售药店可依托处方“云平台”服务，根据医疗机构上传的处方信息提供门店售药服务，也可在保证药品安全的前提下，自行或与快递物流等第三方机构合作，通过信息化、智能化平台，提供药品送货上门服务。</w:t>
      </w:r>
    </w:p>
    <w:p>
      <w:pPr>
        <w:spacing w:line="600" w:lineRule="exact"/>
        <w:jc w:val="left"/>
        <w:rPr>
          <w:rFonts w:ascii="仿宋_GB2312" w:hAnsi="仿宋_GB2312" w:cs="仿宋_GB2312"/>
          <w:b/>
          <w:color w:val="auto"/>
          <w:szCs w:val="32"/>
          <w:highlight w:val="none"/>
        </w:rPr>
      </w:pPr>
    </w:p>
    <w:p>
      <w:pPr>
        <w:spacing w:line="600" w:lineRule="exact"/>
        <w:jc w:val="left"/>
        <w:rPr>
          <w:rFonts w:cs="仿宋_GB2312" w:asciiTheme="minorEastAsia" w:hAnsiTheme="minorEastAsia" w:eastAsiaTheme="minorEastAsia"/>
          <w:color w:val="auto"/>
          <w:szCs w:val="32"/>
          <w:highlight w:val="none"/>
        </w:rPr>
      </w:pPr>
    </w:p>
    <w:p>
      <w:pPr>
        <w:rPr>
          <w:rFonts w:cs="仿宋_GB2312" w:asciiTheme="minorEastAsia" w:hAnsiTheme="minorEastAsia" w:eastAsiaTheme="minorEastAsia"/>
          <w:color w:val="auto"/>
          <w:szCs w:val="32"/>
          <w:highlight w:val="none"/>
        </w:rPr>
      </w:pPr>
      <w:r>
        <w:rPr>
          <w:rFonts w:cs="仿宋_GB2312" w:asciiTheme="minorEastAsia" w:hAnsiTheme="minorEastAsia" w:eastAsiaTheme="minorEastAsia"/>
          <w:color w:val="auto"/>
          <w:szCs w:val="32"/>
          <w:highlight w:val="none"/>
        </w:rPr>
        <w:br w:type="page"/>
      </w:r>
    </w:p>
    <w:p>
      <w:pPr>
        <w:spacing w:line="600" w:lineRule="exact"/>
        <w:jc w:val="left"/>
        <w:rPr>
          <w:rFonts w:cs="仿宋_GB2312" w:asciiTheme="minorEastAsia" w:hAnsiTheme="minorEastAsia" w:eastAsiaTheme="minorEastAsia"/>
          <w:color w:val="auto"/>
          <w:szCs w:val="32"/>
          <w:highlight w:val="none"/>
        </w:rPr>
      </w:pPr>
      <w:r>
        <w:rPr>
          <w:rFonts w:hint="eastAsia" w:cs="仿宋_GB2312" w:asciiTheme="minorEastAsia" w:hAnsiTheme="minorEastAsia" w:eastAsiaTheme="minorEastAsia"/>
          <w:color w:val="auto"/>
          <w:szCs w:val="32"/>
          <w:highlight w:val="none"/>
        </w:rPr>
        <w:t>附件3</w:t>
      </w:r>
    </w:p>
    <w:p>
      <w:pPr>
        <w:spacing w:line="600" w:lineRule="exact"/>
        <w:jc w:val="center"/>
        <w:rPr>
          <w:rFonts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衢州市定点医药机构监督管理规定</w:t>
      </w:r>
    </w:p>
    <w:p>
      <w:pPr>
        <w:spacing w:line="600" w:lineRule="exact"/>
        <w:jc w:val="center"/>
        <w:rPr>
          <w:rFonts w:ascii="方正小标宋简体" w:hAnsi="仿宋_GB2312" w:eastAsia="方正小标宋简体" w:cs="仿宋_GB2312"/>
          <w:color w:val="auto"/>
          <w:sz w:val="44"/>
          <w:szCs w:val="44"/>
          <w:highlight w:val="none"/>
        </w:rPr>
      </w:pP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医疗保障行政部门及经办机构对违法违约行为的认定标准如下，并视情形予以从重或从轻处理。</w:t>
      </w:r>
    </w:p>
    <w:p>
      <w:pPr>
        <w:spacing w:line="600" w:lineRule="exact"/>
        <w:ind w:firstLine="600"/>
        <w:rPr>
          <w:rFonts w:ascii="仿宋_GB2312" w:hAnsi="仿宋_GB2312" w:cs="仿宋_GB2312"/>
          <w:color w:val="auto"/>
          <w:szCs w:val="32"/>
          <w:highlight w:val="none"/>
        </w:rPr>
      </w:pPr>
      <w:r>
        <w:rPr>
          <w:rFonts w:hint="eastAsia" w:ascii="黑体" w:hAnsi="黑体" w:eastAsia="黑体" w:cs="仿宋_GB2312"/>
          <w:color w:val="auto"/>
          <w:szCs w:val="32"/>
          <w:highlight w:val="none"/>
        </w:rPr>
        <w:t>一、违法违约行为的认定标准</w:t>
      </w:r>
      <w:r>
        <w:rPr>
          <w:rFonts w:hint="eastAsia" w:ascii="仿宋_GB2312" w:hAnsi="仿宋_GB2312" w:cs="仿宋_GB2312"/>
          <w:color w:val="auto"/>
          <w:szCs w:val="32"/>
          <w:highlight w:val="none"/>
        </w:rPr>
        <w:t>。</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（一）为未达到出院标准的参保患者办理出院，在短时间内因同一种疾病或相同症状再次办理入院，将参保患者应当一次住院完成的诊疗过程分解为两次及以上住院诊疗过程的，可作出分解住院的认定。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（二）参保患者在住院期间长时间离开医院或实际未进行相关诊疗的，可作出挂床住院的认定。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（三）实施不必要的诊疗项目或实施与疾病关联性不高的诊疗项目的，可作出过度诊疗的认定。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（四）对某一项诊疗服务项目按多个项目进行收费的，可作出重复收费的认定。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（五）将一个收费项目分解为两个及以上不同的项目进行收费，或将诊疗服务项目实施过程分解成多个环节逐个收费的，可作出分解收费的认定。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（六）对医疗服务的收费标准高于国家、省（自治区、直辖市）、市相关部门规定的价格标准的行为，可作出超标准收费的认定。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七）将医保不予支付的医疗服务项目、药品、耗材等串换成医保目录内的医疗服务项目、药品、耗材等进行医保结算，或将无收费项目的项目套收医保目录内项目进行医保结算，或将低标准收费项目套入高标准收费项目行医保结算等。即把A项目替换为B项目进行医保结算的，可作出串换的四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（八）医疗服务提供方未取得卫健部门批准的诊疗项目，开展该项目诊疗；超范围执业，不具备执业医师资格，从事项目诊疗，并将发生的医疗费用纳入医保结算的，可作出超执业范围诊疗的认定。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（九）以下行为可作出诱导、协助他入冒名或者虚假就医，提供虚假证明材料，虚开票据的认定。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以减免费用、虚假宣传等方式吸引、协助他人冒名或者虚假住院、购药的；伪造医疗文书、医保结算数据，提供虚假证明材料，串通他人虚开医疗费用单据等套取医保基金的。</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违反《浙江省医疗服务价格手册（修订版）》和《浙江省基本医疗保险医疗服务项目目录》规定，超人次、超疗程、超床日、超限定部位、超限定次数、超限定价格、改变计价单位收费、违反“计入不计出”原则等收费并进行医保结算的，可作出变相提高标准收费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一）医药服务提供方违反《浙江省基本医疗保险医疗服务项目目录》和《浙江省基本医疗保险、工伤保险和生育保险药品目录》规定，将不符合医保限定支付条件的医疗服务项目、医疗服务设施、药品等纳入医保结算的，可作出超医保限定支付范围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（十二）医药服务提供方违反药品说明书适应症范围或功能主治、用法、用量、禁忌等为患者开具药品并进行医保结算的，可作出超药品说明书使用的认定。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三）医保医师违反《医疗机构医疗保障定点管理暂行办法》和《浙江省基本医疗保险协议医师管理暂行办法》规定，冒用或出借医保医师账号等为患者提供医药服务并进行医保结算的行为，可作出违反医保医师协议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四）违反《医疗机构医疗保障定点管理暂行办法》、《零售药店医疗保障定点管理暂行办法》规定，在明知不是患者本人就诊情况下仍为其提供就医配药服务并进行医保结算的，可作出协助他人冒名就医的认定。</w:t>
      </w:r>
    </w:p>
    <w:p>
      <w:pPr>
        <w:spacing w:line="600" w:lineRule="exact"/>
        <w:ind w:firstLine="640" w:firstLineChars="200"/>
        <w:rPr>
          <w:rFonts w:ascii="仿宋_GB2312" w:hAnsi="仿宋_GB2312" w:cs="仿宋_GB2312"/>
          <w:color w:val="auto"/>
          <w:szCs w:val="32"/>
          <w:highlight w:val="none"/>
        </w:rPr>
      </w:pPr>
      <w:r>
        <w:rPr>
          <w:rFonts w:hint="eastAsia" w:ascii="仿宋_GB2312" w:hAnsi="仿宋_GB2312" w:cs="仿宋_GB2312"/>
          <w:color w:val="auto"/>
          <w:szCs w:val="32"/>
          <w:highlight w:val="none"/>
        </w:rPr>
        <w:t>（十五）经办机构检查发现无病历、无医嘱、无床位的，可作出虚假住院的认定。</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十六）对收治住院，但也可在门诊或急诊观察治疗的，或者以提供生活护理和照顾生活起居为主、治疗为辅情况的，经办机构根据医疗机构上报的资料，必要时调阅或现场查阅住院病历资料，经过认真审核后，医疗机构无法提供收治住院正当理由的，可做出降低入院标准的认定。</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对经住院治疗已经好转或痊愈的参保人员仍然留治继续住院治疗的，经办机构根据病人实际情况，必要时调阅或现场查阅住院病历资料，经过认真审核后，医疗机构无法提供留治住院正当理由的，可作出提高出院标准的认定。</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（十七）经办机构在对住院参保人员检查时，查验人证不一致，可作出冒名住院的认定。</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（十八）经办机构对门诊无医学处方或无就诊记录，或医患串通虚构、伪造医学处方或就诊记录的，可作出虚假就诊的认定。</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（十九）经办机构对门诊发现人证不符情况的，可作出冒名就诊认定。</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（二十）经办机构对以下情况可作出不合理用药认定：</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开具的药品和被诊断疾病无明显关联的；违反门（急）诊药量规定的；违反《浙江省基本医疗保险、工伤保险和生育保险药品目录》的；超病种超范围使用辅助用药；违反中药饮片等相关规定的。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（二十一）经办机构对无明显适应症，却实施物理治疗、康复和中医及民族医诊疗类项目行为的，可作出不合理诊疗的认定。</w:t>
      </w:r>
    </w:p>
    <w:p>
      <w:pPr>
        <w:spacing w:line="600" w:lineRule="exact"/>
        <w:ind w:firstLine="600"/>
        <w:rPr>
          <w:rFonts w:ascii="仿宋_GB2312" w:hAnsi="仿宋_GB2312" w:cs="仿宋_GB2312"/>
          <w:color w:val="auto"/>
          <w:szCs w:val="32"/>
          <w:highlight w:val="none"/>
        </w:rPr>
      </w:pPr>
      <w:r>
        <w:rPr>
          <w:rFonts w:hint="eastAsia" w:ascii="黑体" w:hAnsi="黑体" w:eastAsia="黑体" w:cs="仿宋_GB2312"/>
          <w:color w:val="auto"/>
          <w:szCs w:val="32"/>
          <w:highlight w:val="none"/>
        </w:rPr>
        <w:t>二、违规使用医疗保障基金中有下列情形之一的，医疗保障部门可从轻或减轻处理：</w:t>
      </w:r>
      <w:r>
        <w:rPr>
          <w:rFonts w:hint="eastAsia" w:ascii="黑体" w:hAnsi="黑体" w:eastAsia="黑体" w:cs="仿宋_GB2312"/>
          <w:color w:val="auto"/>
          <w:szCs w:val="32"/>
          <w:highlight w:val="none"/>
        </w:rPr>
        <w:br w:type="textWrapping"/>
      </w:r>
      <w:r>
        <w:rPr>
          <w:rFonts w:hint="eastAsia" w:ascii="仿宋_GB2312" w:hAnsi="仿宋_GB2312" w:cs="仿宋_GB2312"/>
          <w:color w:val="auto"/>
          <w:szCs w:val="32"/>
          <w:highlight w:val="none"/>
        </w:rPr>
        <w:t xml:space="preserve">    （一）主动消除或者减轻基金使用违规违法行为危害后果的；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（二）主动供述尚未掌握的基金使用违规违法行为的；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（三）主动中止违规违法行为的；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（四）配合查处违规违法行为如主动提供线索、证据等有立功表现得；</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（五）主动投案如实交代违规违法行为的；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（六）其他依法应当从轻或减轻处罚的；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w:t>
      </w:r>
      <w:r>
        <w:rPr>
          <w:rFonts w:hint="eastAsia" w:ascii="黑体" w:hAnsi="黑体" w:eastAsia="黑体" w:cs="仿宋_GB2312"/>
          <w:color w:val="auto"/>
          <w:szCs w:val="32"/>
          <w:highlight w:val="none"/>
        </w:rPr>
        <w:t>三、违规使用医疗保障基金中有下列情形之一的，医疗保障部门可从重处理：</w:t>
      </w:r>
      <w:r>
        <w:rPr>
          <w:rFonts w:hint="eastAsia" w:ascii="黑体" w:hAnsi="黑体" w:eastAsia="黑体" w:cs="仿宋_GB2312"/>
          <w:color w:val="auto"/>
          <w:szCs w:val="32"/>
          <w:highlight w:val="none"/>
        </w:rPr>
        <w:br w:type="textWrapping"/>
      </w:r>
      <w:r>
        <w:rPr>
          <w:rFonts w:hint="eastAsia" w:ascii="仿宋_GB2312" w:hAnsi="仿宋_GB2312" w:cs="仿宋_GB2312"/>
          <w:color w:val="auto"/>
          <w:szCs w:val="32"/>
          <w:highlight w:val="none"/>
        </w:rPr>
        <w:t xml:space="preserve">    （一）违规违法情节恶劣，造成严重危害后果的；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（二）责令改正拒不改正，或者一年内实施两次以上同种违规违法行为的；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（三）妨碍、阻挠或者抗拒执法人员依法调查、处理其违规违法行为的；</w:t>
      </w:r>
      <w:r>
        <w:rPr>
          <w:rFonts w:hint="eastAsia" w:ascii="仿宋_GB2312" w:hAnsi="仿宋_GB2312" w:cs="仿宋_GB2312"/>
          <w:color w:val="auto"/>
          <w:szCs w:val="32"/>
          <w:highlight w:val="none"/>
        </w:rPr>
        <w:br w:type="textWrapping"/>
      </w:r>
      <w:r>
        <w:rPr>
          <w:rFonts w:hint="eastAsia" w:ascii="仿宋_GB2312" w:hAnsi="仿宋_GB2312" w:cs="仿宋_GB2312"/>
          <w:color w:val="auto"/>
          <w:szCs w:val="32"/>
          <w:highlight w:val="none"/>
        </w:rPr>
        <w:t xml:space="preserve">    （四）故意转移、隐匿、毁坏或伪造证据，或者对举报投诉人、证人打击报复的；定点医药机构应当自觉遵守医疗保障法律、法规、规章及有关政策，按照规定向参保人员提供医疗和药品服务。医疗保障行政部门及经办机构依法依规查处违法违规使用医疗保障基金的行为。</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（五）在医保行政部门或经办机构日常工作开展中不配合的；</w:t>
      </w:r>
    </w:p>
    <w:p>
      <w:pPr>
        <w:spacing w:line="600" w:lineRule="exact"/>
        <w:ind w:firstLine="600"/>
        <w:rPr>
          <w:rFonts w:ascii="仿宋_GB2312" w:hAnsi="仿宋_GB2312" w:cs="仿宋_GB2312"/>
          <w:color w:val="auto"/>
          <w:szCs w:val="32"/>
          <w:highlight w:val="none"/>
        </w:rPr>
      </w:pPr>
      <w:r>
        <w:rPr>
          <w:rFonts w:hint="eastAsia" w:ascii="仿宋_GB2312" w:hAnsi="仿宋_GB2312" w:cs="仿宋_GB2312"/>
          <w:color w:val="auto"/>
          <w:szCs w:val="32"/>
          <w:highlight w:val="none"/>
        </w:rPr>
        <w:t>（六）在医保行政部门或经办机构组织的自查自纠工作中敷衍应付的；</w:t>
      </w:r>
    </w:p>
    <w:p>
      <w:pPr>
        <w:adjustRightInd w:val="0"/>
        <w:snapToGrid w:val="0"/>
        <w:spacing w:line="600" w:lineRule="exact"/>
        <w:ind w:firstLine="640" w:firstLineChars="200"/>
        <w:rPr>
          <w:rFonts w:ascii="仿宋_GB2312" w:hAnsi="仿宋_GB2312" w:cs="仿宋_GB2312"/>
          <w:color w:val="auto"/>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NumType w:fmt="numberInDash"/>
          <w:cols w:space="720" w:num="1"/>
          <w:titlePg/>
          <w:docGrid w:type="lines" w:linePitch="435" w:charSpace="-5735"/>
        </w:sectPr>
      </w:pPr>
      <w:r>
        <w:rPr>
          <w:rFonts w:hint="eastAsia" w:ascii="仿宋_GB2312" w:hAnsi="仿宋_GB2312" w:cs="仿宋_GB2312"/>
          <w:color w:val="auto"/>
          <w:szCs w:val="32"/>
          <w:highlight w:val="none"/>
        </w:rPr>
        <w:t>（七）其他依法应当从重处罚的。</w:t>
      </w:r>
    </w:p>
    <w:p>
      <w:pPr>
        <w:adjustRightInd w:val="0"/>
        <w:snapToGrid w:val="0"/>
        <w:spacing w:line="600" w:lineRule="exact"/>
        <w:rPr>
          <w:rFonts w:asciiTheme="minorEastAsia" w:hAnsiTheme="minorEastAsia" w:eastAsiaTheme="minorEastAsia"/>
          <w:color w:val="auto"/>
          <w:szCs w:val="32"/>
          <w:highlight w:val="none"/>
        </w:rPr>
      </w:pPr>
      <w:r>
        <w:rPr>
          <w:rFonts w:hint="eastAsia" w:cs="仿宋_GB2312" w:asciiTheme="minorEastAsia" w:hAnsiTheme="minorEastAsia" w:eastAsiaTheme="minorEastAsia"/>
          <w:color w:val="auto"/>
          <w:szCs w:val="32"/>
          <w:highlight w:val="none"/>
        </w:rPr>
        <w:t>附件4</w:t>
      </w:r>
    </w:p>
    <w:p>
      <w:pPr>
        <w:adjustRightInd w:val="0"/>
        <w:snapToGrid w:val="0"/>
        <w:spacing w:line="600" w:lineRule="exact"/>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 xml:space="preserve">表1 </w:t>
      </w:r>
    </w:p>
    <w:p>
      <w:pPr>
        <w:adjustRightInd w:val="0"/>
        <w:snapToGrid w:val="0"/>
        <w:spacing w:line="600" w:lineRule="exact"/>
        <w:ind w:firstLine="3196" w:firstLineChars="995"/>
        <w:rPr>
          <w:rFonts w:ascii="仿宋_GB2312" w:hAnsi="仿宋_GB2312" w:cs="仿宋_GB2312"/>
          <w:b/>
          <w:color w:val="auto"/>
          <w:szCs w:val="32"/>
          <w:highlight w:val="none"/>
        </w:rPr>
      </w:pPr>
      <w:r>
        <w:rPr>
          <w:rFonts w:hint="eastAsia" w:ascii="仿宋_GB2312" w:hAnsi="仿宋_GB2312" w:cs="仿宋_GB2312"/>
          <w:b/>
          <w:color w:val="auto"/>
          <w:szCs w:val="32"/>
          <w:highlight w:val="none"/>
        </w:rPr>
        <w:t>衢州市新增医疗保险定点医疗机构评估标准</w:t>
      </w:r>
    </w:p>
    <w:p>
      <w:pPr>
        <w:widowControl/>
        <w:spacing w:line="600" w:lineRule="exact"/>
        <w:rPr>
          <w:color w:val="auto"/>
          <w:highlight w:val="none"/>
        </w:rPr>
      </w:pPr>
      <w:r>
        <w:rPr>
          <w:rFonts w:hint="eastAsia" w:ascii="宋体" w:hAnsi="宋体" w:cs="宋体"/>
          <w:color w:val="auto"/>
          <w:kern w:val="0"/>
          <w:sz w:val="24"/>
          <w:szCs w:val="24"/>
          <w:highlight w:val="none"/>
        </w:rPr>
        <w:t>医疗机构名称：                      评估人员签名：                       医疗机构负责人签名（或盖章）：</w:t>
      </w:r>
    </w:p>
    <w:tbl>
      <w:tblPr>
        <w:tblStyle w:val="13"/>
        <w:tblW w:w="137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01"/>
        <w:gridCol w:w="562"/>
        <w:gridCol w:w="1846"/>
        <w:gridCol w:w="8795"/>
        <w:gridCol w:w="996"/>
        <w:gridCol w:w="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701" w:type="dxa"/>
            <w:vAlign w:val="center"/>
          </w:tcPr>
          <w:p>
            <w:pPr>
              <w:overflowPunct w:val="0"/>
              <w:spacing w:line="280" w:lineRule="exact"/>
              <w:jc w:val="center"/>
              <w:rPr>
                <w:rFonts w:ascii="黑体" w:hAnsi="黑体" w:eastAsia="黑体"/>
                <w:color w:val="auto"/>
                <w:sz w:val="24"/>
                <w:highlight w:val="none"/>
              </w:rPr>
            </w:pPr>
            <w:r>
              <w:rPr>
                <w:rFonts w:ascii="黑体" w:hAnsi="黑体" w:eastAsia="黑体"/>
                <w:color w:val="auto"/>
                <w:sz w:val="24"/>
                <w:highlight w:val="none"/>
              </w:rPr>
              <w:t>指标类型</w:t>
            </w:r>
          </w:p>
        </w:tc>
        <w:tc>
          <w:tcPr>
            <w:tcW w:w="562" w:type="dxa"/>
            <w:vAlign w:val="center"/>
          </w:tcPr>
          <w:p>
            <w:pPr>
              <w:overflowPunct w:val="0"/>
              <w:spacing w:line="280" w:lineRule="exact"/>
              <w:jc w:val="center"/>
              <w:rPr>
                <w:rFonts w:ascii="黑体" w:hAnsi="黑体" w:eastAsia="黑体"/>
                <w:color w:val="auto"/>
                <w:sz w:val="24"/>
                <w:highlight w:val="none"/>
              </w:rPr>
            </w:pPr>
            <w:r>
              <w:rPr>
                <w:rFonts w:ascii="黑体" w:hAnsi="黑体" w:eastAsia="黑体"/>
                <w:color w:val="auto"/>
                <w:sz w:val="24"/>
                <w:highlight w:val="none"/>
              </w:rPr>
              <w:t>序号</w:t>
            </w:r>
          </w:p>
        </w:tc>
        <w:tc>
          <w:tcPr>
            <w:tcW w:w="1846" w:type="dxa"/>
            <w:vAlign w:val="center"/>
          </w:tcPr>
          <w:p>
            <w:pPr>
              <w:overflowPunct w:val="0"/>
              <w:spacing w:line="280" w:lineRule="exact"/>
              <w:jc w:val="center"/>
              <w:rPr>
                <w:rFonts w:ascii="黑体" w:hAnsi="黑体" w:eastAsia="黑体"/>
                <w:color w:val="auto"/>
                <w:sz w:val="24"/>
                <w:highlight w:val="none"/>
              </w:rPr>
            </w:pPr>
            <w:r>
              <w:rPr>
                <w:rFonts w:ascii="黑体" w:hAnsi="黑体" w:eastAsia="黑体"/>
                <w:color w:val="auto"/>
                <w:sz w:val="24"/>
                <w:highlight w:val="none"/>
              </w:rPr>
              <w:t>评估项目及分值</w:t>
            </w:r>
          </w:p>
        </w:tc>
        <w:tc>
          <w:tcPr>
            <w:tcW w:w="8795" w:type="dxa"/>
            <w:vAlign w:val="center"/>
          </w:tcPr>
          <w:p>
            <w:pPr>
              <w:overflowPunct w:val="0"/>
              <w:spacing w:line="280" w:lineRule="exact"/>
              <w:jc w:val="center"/>
              <w:rPr>
                <w:rFonts w:ascii="黑体" w:hAnsi="黑体" w:eastAsia="黑体"/>
                <w:color w:val="auto"/>
                <w:sz w:val="24"/>
                <w:highlight w:val="none"/>
              </w:rPr>
            </w:pPr>
            <w:r>
              <w:rPr>
                <w:rFonts w:ascii="黑体" w:hAnsi="黑体" w:eastAsia="黑体"/>
                <w:color w:val="auto"/>
                <w:sz w:val="24"/>
                <w:highlight w:val="none"/>
              </w:rPr>
              <w:t>评</w:t>
            </w:r>
            <w:r>
              <w:rPr>
                <w:rFonts w:hint="eastAsia" w:ascii="黑体" w:hAnsi="黑体" w:eastAsia="黑体"/>
                <w:color w:val="auto"/>
                <w:sz w:val="24"/>
                <w:highlight w:val="none"/>
              </w:rPr>
              <w:t xml:space="preserve">  </w:t>
            </w:r>
            <w:r>
              <w:rPr>
                <w:rFonts w:ascii="黑体" w:hAnsi="黑体" w:eastAsia="黑体"/>
                <w:color w:val="auto"/>
                <w:sz w:val="24"/>
                <w:highlight w:val="none"/>
              </w:rPr>
              <w:t>分</w:t>
            </w:r>
            <w:r>
              <w:rPr>
                <w:rFonts w:hint="eastAsia" w:ascii="黑体" w:hAnsi="黑体" w:eastAsia="黑体"/>
                <w:color w:val="auto"/>
                <w:sz w:val="24"/>
                <w:highlight w:val="none"/>
              </w:rPr>
              <w:t xml:space="preserve">  </w:t>
            </w:r>
            <w:r>
              <w:rPr>
                <w:rFonts w:ascii="黑体" w:hAnsi="黑体" w:eastAsia="黑体"/>
                <w:color w:val="auto"/>
                <w:sz w:val="24"/>
                <w:highlight w:val="none"/>
              </w:rPr>
              <w:t>标</w:t>
            </w:r>
            <w:r>
              <w:rPr>
                <w:rFonts w:hint="eastAsia" w:ascii="黑体" w:hAnsi="黑体" w:eastAsia="黑体"/>
                <w:color w:val="auto"/>
                <w:sz w:val="24"/>
                <w:highlight w:val="none"/>
              </w:rPr>
              <w:t xml:space="preserve">  </w:t>
            </w:r>
            <w:r>
              <w:rPr>
                <w:rFonts w:ascii="黑体" w:hAnsi="黑体" w:eastAsia="黑体"/>
                <w:color w:val="auto"/>
                <w:sz w:val="24"/>
                <w:highlight w:val="none"/>
              </w:rPr>
              <w:t>准</w:t>
            </w:r>
          </w:p>
        </w:tc>
        <w:tc>
          <w:tcPr>
            <w:tcW w:w="996" w:type="dxa"/>
            <w:vAlign w:val="center"/>
          </w:tcPr>
          <w:p>
            <w:pPr>
              <w:overflowPunct w:val="0"/>
              <w:spacing w:line="280" w:lineRule="exact"/>
              <w:ind w:firstLine="240" w:firstLineChars="100"/>
              <w:rPr>
                <w:rFonts w:ascii="黑体" w:hAnsi="黑体" w:eastAsia="黑体"/>
                <w:color w:val="auto"/>
                <w:sz w:val="24"/>
                <w:highlight w:val="none"/>
              </w:rPr>
            </w:pPr>
            <w:r>
              <w:rPr>
                <w:rFonts w:hint="eastAsia" w:ascii="黑体" w:hAnsi="黑体" w:eastAsia="黑体"/>
                <w:color w:val="auto"/>
                <w:sz w:val="24"/>
                <w:highlight w:val="none"/>
              </w:rPr>
              <w:t>得分</w:t>
            </w:r>
          </w:p>
        </w:tc>
        <w:tc>
          <w:tcPr>
            <w:tcW w:w="843" w:type="dxa"/>
            <w:vAlign w:val="center"/>
          </w:tcPr>
          <w:p>
            <w:pPr>
              <w:overflowPunct w:val="0"/>
              <w:spacing w:line="280" w:lineRule="exact"/>
              <w:rPr>
                <w:rFonts w:ascii="黑体" w:hAnsi="黑体" w:eastAsia="黑体"/>
                <w:color w:val="auto"/>
                <w:sz w:val="24"/>
                <w:highlight w:val="none"/>
              </w:rPr>
            </w:pPr>
            <w:r>
              <w:rPr>
                <w:rFonts w:hint="eastAsia" w:ascii="黑体" w:hAnsi="黑体" w:eastAsia="黑体"/>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restart"/>
            <w:vAlign w:val="center"/>
          </w:tcPr>
          <w:p>
            <w:pPr>
              <w:overflowPunct w:val="0"/>
              <w:spacing w:line="280" w:lineRule="exact"/>
              <w:jc w:val="center"/>
              <w:rPr>
                <w:color w:val="auto"/>
                <w:sz w:val="21"/>
                <w:szCs w:val="21"/>
                <w:highlight w:val="none"/>
              </w:rPr>
            </w:pPr>
            <w:r>
              <w:rPr>
                <w:rFonts w:hint="eastAsia"/>
                <w:color w:val="auto"/>
                <w:sz w:val="21"/>
                <w:szCs w:val="21"/>
                <w:highlight w:val="none"/>
              </w:rPr>
              <w:t>基础指标</w:t>
            </w: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1</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经营时间</w:t>
            </w:r>
          </w:p>
        </w:tc>
        <w:tc>
          <w:tcPr>
            <w:tcW w:w="8795" w:type="dxa"/>
            <w:vAlign w:val="center"/>
          </w:tcPr>
          <w:p>
            <w:pPr>
              <w:overflowPunct w:val="0"/>
              <w:spacing w:line="280" w:lineRule="exact"/>
              <w:rPr>
                <w:color w:val="auto"/>
                <w:sz w:val="21"/>
                <w:szCs w:val="21"/>
                <w:highlight w:val="none"/>
              </w:rPr>
            </w:pPr>
            <w:r>
              <w:rPr>
                <w:color w:val="auto"/>
                <w:sz w:val="21"/>
                <w:szCs w:val="21"/>
                <w:highlight w:val="none"/>
              </w:rPr>
              <w:t>正式运营是否已达3个月，“否”即为不合格。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2</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执业医师和经营场所</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机构是否至少有1名取得医师执业证书、乡村医生执业证书或中医（专长）医师资格证书且第一注册地在该医疗机构的医师</w:t>
            </w:r>
            <w:r>
              <w:rPr>
                <w:rFonts w:hint="eastAsia"/>
                <w:color w:val="auto"/>
                <w:sz w:val="21"/>
                <w:szCs w:val="21"/>
                <w:highlight w:val="none"/>
                <w:u w:val="none"/>
              </w:rPr>
              <w:t>；其中盲人医疗按摩所应配备持有中国残联核发的《盲人医疗按摩人员从事医疗按摩资格证书》的专业技术人员3名（含）以上，按摩床10张（含）以上，服务场所建筑面积120平方米（含）以上；</w:t>
            </w:r>
            <w:r>
              <w:rPr>
                <w:color w:val="auto"/>
                <w:sz w:val="21"/>
                <w:szCs w:val="21"/>
                <w:highlight w:val="none"/>
                <w:u w:val="none"/>
              </w:rPr>
              <w:t>“否”即为不合格。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3</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医保管理</w:t>
            </w:r>
          </w:p>
        </w:tc>
        <w:tc>
          <w:tcPr>
            <w:tcW w:w="8795" w:type="dxa"/>
            <w:vAlign w:val="center"/>
          </w:tcPr>
          <w:p>
            <w:pPr>
              <w:overflowPunct w:val="0"/>
              <w:spacing w:line="280" w:lineRule="exact"/>
              <w:rPr>
                <w:color w:val="auto"/>
                <w:spacing w:val="-2"/>
                <w:sz w:val="21"/>
                <w:szCs w:val="21"/>
                <w:highlight w:val="none"/>
                <w:u w:val="none"/>
              </w:rPr>
            </w:pPr>
            <w:r>
              <w:rPr>
                <w:color w:val="auto"/>
                <w:spacing w:val="-2"/>
                <w:sz w:val="21"/>
                <w:szCs w:val="21"/>
                <w:highlight w:val="none"/>
                <w:u w:val="none"/>
              </w:rPr>
              <w:t>是否由</w:t>
            </w:r>
            <w:r>
              <w:rPr>
                <w:rFonts w:hint="eastAsia"/>
                <w:color w:val="auto"/>
                <w:spacing w:val="-2"/>
                <w:sz w:val="21"/>
                <w:szCs w:val="21"/>
                <w:highlight w:val="none"/>
                <w:u w:val="none"/>
                <w:lang w:val="en-US" w:eastAsia="zh-CN"/>
              </w:rPr>
              <w:t>机构领导</w:t>
            </w:r>
            <w:r>
              <w:rPr>
                <w:color w:val="auto"/>
                <w:spacing w:val="-2"/>
                <w:sz w:val="21"/>
                <w:szCs w:val="21"/>
                <w:highlight w:val="none"/>
                <w:u w:val="none"/>
              </w:rPr>
              <w:t>负责医保工作，且配备专（兼）职医保管理人员；100张床位以上的医疗机构是否设内部医保管理部门，并安排专职工作人员，“否”即为不合格。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4</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制度建设</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是否具有符合医保协议管理要求的医保管理制度、财务制度、统计信息管理制度、医疗质量安全核心制度等，“否”即为不合格。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5</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信息系统</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是否已确定系统开发商，并已签订合作协议，“否”即为不合格。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6</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基础数据库</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是否已设立医保药品、诊疗项目、医用耗材</w:t>
            </w:r>
            <w:r>
              <w:rPr>
                <w:rFonts w:hint="eastAsia"/>
                <w:color w:val="auto"/>
                <w:sz w:val="21"/>
                <w:szCs w:val="21"/>
                <w:highlight w:val="none"/>
                <w:u w:val="none"/>
              </w:rPr>
              <w:t>、疾病病种</w:t>
            </w:r>
            <w:r>
              <w:rPr>
                <w:color w:val="auto"/>
                <w:sz w:val="21"/>
                <w:szCs w:val="21"/>
                <w:highlight w:val="none"/>
                <w:u w:val="none"/>
              </w:rPr>
              <w:t>等基础数据库，并按规定使用国家统一的医保编码，“否”即为不合格。</w:t>
            </w:r>
            <w:r>
              <w:rPr>
                <w:rFonts w:hint="eastAsia"/>
                <w:color w:val="auto"/>
                <w:sz w:val="21"/>
                <w:szCs w:val="21"/>
                <w:highlight w:val="none"/>
                <w:u w:val="none"/>
              </w:rPr>
              <w:t>（未开展的可不要求）</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7</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执业范围</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是否以医疗美容、辅助生殖、生活照护、种植牙</w:t>
            </w:r>
            <w:r>
              <w:rPr>
                <w:rFonts w:hint="eastAsia"/>
                <w:color w:val="auto"/>
                <w:sz w:val="21"/>
                <w:szCs w:val="21"/>
                <w:highlight w:val="none"/>
                <w:u w:val="none"/>
              </w:rPr>
              <w:t>、健康体检</w:t>
            </w:r>
            <w:r>
              <w:rPr>
                <w:color w:val="auto"/>
                <w:sz w:val="21"/>
                <w:szCs w:val="21"/>
                <w:highlight w:val="none"/>
                <w:u w:val="none"/>
              </w:rPr>
              <w:t>等非基本医疗服务为主要执业范围，“是”即为不合格。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8</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医药价格政策</w:t>
            </w:r>
          </w:p>
        </w:tc>
        <w:tc>
          <w:tcPr>
            <w:tcW w:w="8795" w:type="dxa"/>
            <w:vAlign w:val="center"/>
          </w:tcPr>
          <w:p>
            <w:pPr>
              <w:overflowPunct w:val="0"/>
              <w:spacing w:line="280" w:lineRule="exact"/>
              <w:rPr>
                <w:color w:val="auto"/>
                <w:spacing w:val="-2"/>
                <w:sz w:val="21"/>
                <w:szCs w:val="21"/>
                <w:highlight w:val="none"/>
                <w:u w:val="none"/>
              </w:rPr>
            </w:pPr>
            <w:r>
              <w:rPr>
                <w:color w:val="auto"/>
                <w:spacing w:val="-2"/>
                <w:sz w:val="21"/>
                <w:szCs w:val="21"/>
                <w:highlight w:val="none"/>
                <w:u w:val="none"/>
              </w:rPr>
              <w:t>基本医疗服务是否执行医疗保障行政部门制定的医药价格政策，“否”即为不合格</w:t>
            </w:r>
            <w:r>
              <w:rPr>
                <w:color w:val="auto"/>
                <w:sz w:val="21"/>
                <w:szCs w:val="21"/>
                <w:highlight w:val="none"/>
                <w:u w:val="none"/>
              </w:rPr>
              <w:t>。</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9</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信用制度</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机构的法定代表人、主要负责人或实际控制人是否有被列入失信人名单的</w:t>
            </w:r>
            <w:r>
              <w:rPr>
                <w:rFonts w:hint="eastAsia"/>
                <w:color w:val="auto"/>
                <w:sz w:val="21"/>
                <w:szCs w:val="21"/>
                <w:highlight w:val="none"/>
                <w:u w:val="none"/>
              </w:rPr>
              <w:t>；</w:t>
            </w:r>
          </w:p>
          <w:p>
            <w:pPr>
              <w:overflowPunct w:val="0"/>
              <w:spacing w:line="280" w:lineRule="exact"/>
              <w:rPr>
                <w:color w:val="auto"/>
                <w:sz w:val="21"/>
                <w:szCs w:val="21"/>
                <w:highlight w:val="none"/>
                <w:u w:val="none"/>
              </w:rPr>
            </w:pPr>
            <w:r>
              <w:rPr>
                <w:rFonts w:hint="eastAsia"/>
                <w:color w:val="auto"/>
                <w:sz w:val="21"/>
                <w:szCs w:val="21"/>
                <w:highlight w:val="none"/>
                <w:u w:val="none"/>
              </w:rPr>
              <w:t>因医疗服务行为受到有关行政部门处罚未满1年的；</w:t>
            </w:r>
          </w:p>
          <w:p>
            <w:pPr>
              <w:overflowPunct w:val="0"/>
              <w:spacing w:line="280" w:lineRule="exact"/>
              <w:rPr>
                <w:color w:val="auto"/>
                <w:sz w:val="21"/>
                <w:szCs w:val="21"/>
                <w:highlight w:val="none"/>
                <w:u w:val="none"/>
              </w:rPr>
            </w:pPr>
            <w:r>
              <w:rPr>
                <w:rFonts w:hint="eastAsia"/>
                <w:color w:val="auto"/>
                <w:sz w:val="21"/>
                <w:szCs w:val="21"/>
                <w:highlight w:val="none"/>
                <w:u w:val="none"/>
              </w:rPr>
              <w:t>法定代表人、主要负责人或实际控制人曾因严重违法违规导致原定点医疗机构被解除医保协议，未满5年的；</w:t>
            </w:r>
          </w:p>
          <w:p>
            <w:pPr>
              <w:overflowPunct w:val="0"/>
              <w:spacing w:line="280" w:lineRule="exact"/>
              <w:rPr>
                <w:color w:val="auto"/>
                <w:sz w:val="21"/>
                <w:szCs w:val="21"/>
                <w:highlight w:val="none"/>
                <w:u w:val="none"/>
              </w:rPr>
            </w:pPr>
            <w:r>
              <w:rPr>
                <w:rFonts w:hint="eastAsia"/>
                <w:color w:val="auto"/>
                <w:sz w:val="21"/>
                <w:szCs w:val="21"/>
                <w:highlight w:val="none"/>
                <w:u w:val="none"/>
              </w:rPr>
              <w:t>近2年内有非法行医、非法医疗广告、诊室外包等不规范经营行为的；</w:t>
            </w:r>
          </w:p>
          <w:p>
            <w:pPr>
              <w:overflowPunct w:val="0"/>
              <w:spacing w:line="280" w:lineRule="exact"/>
              <w:rPr>
                <w:color w:val="auto"/>
                <w:sz w:val="21"/>
                <w:szCs w:val="21"/>
                <w:highlight w:val="none"/>
                <w:u w:val="none"/>
              </w:rPr>
            </w:pPr>
            <w:r>
              <w:rPr>
                <w:rFonts w:hint="eastAsia"/>
                <w:color w:val="auto"/>
                <w:sz w:val="21"/>
                <w:szCs w:val="21"/>
                <w:highlight w:val="none"/>
                <w:u w:val="none"/>
              </w:rPr>
              <w:t>同一法人主体（投资主体）的相关定点医疗机构，1年内有因违规被暂停、解除或终止医保协议和正在接受经办机构调查处理等情况的；</w:t>
            </w:r>
          </w:p>
          <w:p>
            <w:pPr>
              <w:overflowPunct w:val="0"/>
              <w:spacing w:line="280" w:lineRule="exact"/>
              <w:rPr>
                <w:color w:val="auto"/>
                <w:sz w:val="21"/>
                <w:szCs w:val="21"/>
                <w:highlight w:val="none"/>
                <w:u w:val="none"/>
              </w:rPr>
            </w:pPr>
            <w:r>
              <w:rPr>
                <w:rFonts w:hint="eastAsia"/>
                <w:color w:val="auto"/>
                <w:sz w:val="21"/>
                <w:szCs w:val="21"/>
                <w:highlight w:val="none"/>
                <w:u w:val="none"/>
              </w:rPr>
              <w:t>因违反医保协议约定</w:t>
            </w:r>
            <w:r>
              <w:rPr>
                <w:rFonts w:hint="eastAsia"/>
                <w:color w:val="auto"/>
                <w:sz w:val="21"/>
                <w:szCs w:val="21"/>
                <w:highlight w:val="none"/>
                <w:u w:val="none"/>
                <w:lang w:eastAsia="zh-CN"/>
              </w:rPr>
              <w:t>或医保相关规定</w:t>
            </w:r>
            <w:r>
              <w:rPr>
                <w:rFonts w:hint="eastAsia"/>
                <w:color w:val="auto"/>
                <w:sz w:val="21"/>
                <w:szCs w:val="21"/>
                <w:highlight w:val="none"/>
                <w:u w:val="none"/>
              </w:rPr>
              <w:t>而被解除协议未满1年或已满1年但未完全履行违约责任的；</w:t>
            </w:r>
          </w:p>
          <w:p>
            <w:pPr>
              <w:overflowPunct w:val="0"/>
              <w:spacing w:line="280" w:lineRule="exact"/>
              <w:rPr>
                <w:color w:val="auto"/>
                <w:sz w:val="21"/>
                <w:szCs w:val="21"/>
                <w:highlight w:val="none"/>
                <w:u w:val="none"/>
              </w:rPr>
            </w:pPr>
            <w:r>
              <w:rPr>
                <w:rFonts w:hint="eastAsia"/>
                <w:color w:val="auto"/>
                <w:sz w:val="21"/>
                <w:szCs w:val="21"/>
                <w:highlight w:val="none"/>
                <w:u w:val="none"/>
              </w:rPr>
              <w:t>因违法违规被解除医保协议未满3年或已满3年但未完全履行行政处罚法律责任的；</w:t>
            </w:r>
          </w:p>
          <w:p>
            <w:pPr>
              <w:overflowPunct w:val="0"/>
              <w:spacing w:line="280" w:lineRule="exact"/>
              <w:rPr>
                <w:color w:val="auto"/>
                <w:sz w:val="21"/>
                <w:szCs w:val="21"/>
                <w:highlight w:val="none"/>
                <w:u w:val="none"/>
              </w:rPr>
            </w:pPr>
            <w:r>
              <w:rPr>
                <w:rFonts w:hint="eastAsia"/>
                <w:color w:val="auto"/>
                <w:sz w:val="21"/>
                <w:szCs w:val="21"/>
                <w:highlight w:val="none"/>
                <w:u w:val="none"/>
              </w:rPr>
              <w:t>未依法履行行政处罚责任的；</w:t>
            </w:r>
          </w:p>
          <w:p>
            <w:pPr>
              <w:overflowPunct w:val="0"/>
              <w:spacing w:line="280" w:lineRule="exact"/>
              <w:rPr>
                <w:color w:val="auto"/>
                <w:sz w:val="21"/>
                <w:szCs w:val="21"/>
                <w:highlight w:val="none"/>
                <w:u w:val="none"/>
              </w:rPr>
            </w:pPr>
            <w:r>
              <w:rPr>
                <w:rFonts w:hint="eastAsia"/>
                <w:color w:val="auto"/>
                <w:sz w:val="21"/>
                <w:szCs w:val="21"/>
                <w:highlight w:val="none"/>
                <w:u w:val="none"/>
              </w:rPr>
              <w:t>以上任何一项</w:t>
            </w:r>
            <w:r>
              <w:rPr>
                <w:color w:val="auto"/>
                <w:sz w:val="21"/>
                <w:szCs w:val="21"/>
                <w:highlight w:val="none"/>
                <w:u w:val="none"/>
              </w:rPr>
              <w:t>“是”即为不合格。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10</w:t>
            </w:r>
          </w:p>
        </w:tc>
        <w:tc>
          <w:tcPr>
            <w:tcW w:w="1846" w:type="dxa"/>
            <w:vAlign w:val="center"/>
          </w:tcPr>
          <w:p>
            <w:pPr>
              <w:overflowPunct w:val="0"/>
              <w:spacing w:line="280" w:lineRule="exact"/>
              <w:rPr>
                <w:color w:val="auto"/>
                <w:sz w:val="21"/>
                <w:szCs w:val="21"/>
                <w:highlight w:val="none"/>
              </w:rPr>
            </w:pPr>
            <w:r>
              <w:rPr>
                <w:color w:val="auto"/>
                <w:sz w:val="21"/>
                <w:szCs w:val="21"/>
                <w:highlight w:val="none"/>
              </w:rPr>
              <w:t>其他不予受理的情形</w:t>
            </w:r>
          </w:p>
        </w:tc>
        <w:tc>
          <w:tcPr>
            <w:tcW w:w="8795" w:type="dxa"/>
            <w:vAlign w:val="center"/>
          </w:tcPr>
          <w:p>
            <w:pPr>
              <w:overflowPunct w:val="0"/>
              <w:spacing w:line="280" w:lineRule="exact"/>
              <w:rPr>
                <w:color w:val="auto"/>
                <w:sz w:val="21"/>
                <w:szCs w:val="21"/>
                <w:highlight w:val="none"/>
                <w:u w:val="none"/>
              </w:rPr>
            </w:pPr>
            <w:r>
              <w:rPr>
                <w:color w:val="auto"/>
                <w:sz w:val="21"/>
                <w:szCs w:val="21"/>
                <w:highlight w:val="none"/>
                <w:u w:val="none"/>
              </w:rPr>
              <w:t>机构是否有国家、省医保部门规定的其他不予受理情形，“是”即为不合格。</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2" w:hRule="atLeast"/>
          <w:jc w:val="center"/>
        </w:trPr>
        <w:tc>
          <w:tcPr>
            <w:tcW w:w="701" w:type="dxa"/>
            <w:vMerge w:val="restart"/>
            <w:vAlign w:val="center"/>
          </w:tcPr>
          <w:p>
            <w:pPr>
              <w:overflowPunct w:val="0"/>
              <w:spacing w:line="280" w:lineRule="exact"/>
              <w:jc w:val="center"/>
              <w:rPr>
                <w:color w:val="auto"/>
                <w:sz w:val="21"/>
                <w:szCs w:val="21"/>
                <w:highlight w:val="none"/>
              </w:rPr>
            </w:pPr>
            <w:r>
              <w:rPr>
                <w:b/>
                <w:bCs/>
                <w:color w:val="auto"/>
                <w:sz w:val="21"/>
                <w:szCs w:val="21"/>
                <w:highlight w:val="none"/>
              </w:rPr>
              <w:t>评估指标</w:t>
            </w:r>
          </w:p>
        </w:tc>
        <w:tc>
          <w:tcPr>
            <w:tcW w:w="562" w:type="dxa"/>
            <w:vAlign w:val="center"/>
          </w:tcPr>
          <w:p>
            <w:pPr>
              <w:overflowPunct w:val="0"/>
              <w:spacing w:line="280" w:lineRule="exact"/>
              <w:jc w:val="center"/>
              <w:rPr>
                <w:color w:val="auto"/>
                <w:sz w:val="21"/>
                <w:szCs w:val="21"/>
                <w:highlight w:val="none"/>
              </w:rPr>
            </w:pPr>
            <w:r>
              <w:rPr>
                <w:color w:val="auto"/>
                <w:sz w:val="21"/>
                <w:szCs w:val="21"/>
                <w:highlight w:val="none"/>
              </w:rPr>
              <w:t>1</w:t>
            </w:r>
          </w:p>
        </w:tc>
        <w:tc>
          <w:tcPr>
            <w:tcW w:w="1846" w:type="dxa"/>
            <w:vAlign w:val="center"/>
          </w:tcPr>
          <w:p>
            <w:pPr>
              <w:overflowPunct w:val="0"/>
              <w:spacing w:line="280" w:lineRule="exact"/>
              <w:rPr>
                <w:color w:val="auto"/>
                <w:sz w:val="21"/>
                <w:szCs w:val="21"/>
                <w:highlight w:val="none"/>
              </w:rPr>
            </w:pPr>
            <w:r>
              <w:rPr>
                <w:color w:val="auto"/>
                <w:sz w:val="21"/>
                <w:szCs w:val="21"/>
                <w:highlight w:val="none"/>
              </w:rPr>
              <w:t>建立完善</w:t>
            </w:r>
            <w:r>
              <w:rPr>
                <w:rFonts w:hint="eastAsia"/>
                <w:color w:val="auto"/>
                <w:sz w:val="21"/>
                <w:szCs w:val="21"/>
                <w:highlight w:val="none"/>
              </w:rPr>
              <w:t>的</w:t>
            </w:r>
            <w:r>
              <w:rPr>
                <w:color w:val="auto"/>
                <w:sz w:val="21"/>
                <w:szCs w:val="21"/>
                <w:highlight w:val="none"/>
              </w:rPr>
              <w:t>管理制度（2分）</w:t>
            </w:r>
          </w:p>
        </w:tc>
        <w:tc>
          <w:tcPr>
            <w:tcW w:w="8795" w:type="dxa"/>
            <w:vAlign w:val="center"/>
          </w:tcPr>
          <w:p>
            <w:pPr>
              <w:overflowPunct w:val="0"/>
              <w:spacing w:line="280" w:lineRule="exact"/>
              <w:rPr>
                <w:color w:val="auto"/>
                <w:sz w:val="21"/>
                <w:szCs w:val="21"/>
                <w:highlight w:val="none"/>
                <w:u w:val="none"/>
              </w:rPr>
            </w:pPr>
            <w:r>
              <w:rPr>
                <w:rFonts w:hint="eastAsia"/>
                <w:color w:val="auto"/>
                <w:sz w:val="21"/>
                <w:szCs w:val="21"/>
                <w:highlight w:val="none"/>
                <w:u w:val="none"/>
              </w:rPr>
              <w:t>查看医保管理制度、财务制度、医保自费项目知情确认制度、医疗质量安全核心制度及基金预测性分析报告。根据制度整体质量，得1-</w:t>
            </w:r>
            <w:r>
              <w:rPr>
                <w:color w:val="auto"/>
                <w:sz w:val="21"/>
                <w:szCs w:val="21"/>
                <w:highlight w:val="none"/>
                <w:u w:val="none"/>
              </w:rPr>
              <w:t>2</w:t>
            </w:r>
            <w:r>
              <w:rPr>
                <w:rFonts w:hint="eastAsia"/>
                <w:color w:val="auto"/>
                <w:sz w:val="21"/>
                <w:szCs w:val="21"/>
                <w:highlight w:val="none"/>
                <w:u w:val="none"/>
              </w:rPr>
              <w:t>分。</w:t>
            </w:r>
          </w:p>
        </w:tc>
        <w:tc>
          <w:tcPr>
            <w:tcW w:w="996" w:type="dxa"/>
            <w:vAlign w:val="center"/>
          </w:tcPr>
          <w:p>
            <w:pPr>
              <w:overflowPunct w:val="0"/>
              <w:spacing w:line="280" w:lineRule="exact"/>
              <w:jc w:val="center"/>
              <w:rPr>
                <w:color w:val="auto"/>
                <w:sz w:val="21"/>
                <w:szCs w:val="21"/>
                <w:highlight w:val="none"/>
              </w:rPr>
            </w:pPr>
          </w:p>
        </w:tc>
        <w:tc>
          <w:tcPr>
            <w:tcW w:w="843" w:type="dxa"/>
            <w:vMerge w:val="restart"/>
            <w:vAlign w:val="center"/>
          </w:tcPr>
          <w:p>
            <w:pPr>
              <w:overflowPunct w:val="0"/>
              <w:spacing w:line="280" w:lineRule="exact"/>
              <w:jc w:val="center"/>
              <w:rPr>
                <w:rFonts w:hint="eastAsia"/>
                <w:color w:val="auto"/>
                <w:sz w:val="21"/>
                <w:szCs w:val="21"/>
                <w:highlight w:val="none"/>
              </w:rPr>
            </w:pPr>
          </w:p>
          <w:p>
            <w:pPr>
              <w:overflowPunct w:val="0"/>
              <w:spacing w:line="280" w:lineRule="exact"/>
              <w:jc w:val="center"/>
              <w:rPr>
                <w:rFonts w:hint="default" w:eastAsia="仿宋_GB2312"/>
                <w:color w:val="auto"/>
                <w:sz w:val="21"/>
                <w:szCs w:val="21"/>
                <w:highlight w:val="none"/>
                <w:lang w:val="en-US" w:eastAsia="zh-CN"/>
              </w:rPr>
            </w:pPr>
            <w:r>
              <w:rPr>
                <w:rFonts w:hint="eastAsia"/>
                <w:color w:val="auto"/>
                <w:sz w:val="21"/>
                <w:szCs w:val="21"/>
                <w:highlight w:val="none"/>
                <w:lang w:val="en-US" w:eastAsia="zh-CN"/>
              </w:rPr>
              <w:t>规范化村级医疗机构 参照上级医疗机构标准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2" w:hRule="atLeast"/>
          <w:jc w:val="center"/>
        </w:trPr>
        <w:tc>
          <w:tcPr>
            <w:tcW w:w="701" w:type="dxa"/>
            <w:vMerge w:val="continue"/>
            <w:vAlign w:val="center"/>
          </w:tcPr>
          <w:p>
            <w:pPr>
              <w:overflowPunct w:val="0"/>
              <w:spacing w:line="280" w:lineRule="exact"/>
              <w:jc w:val="center"/>
              <w:rPr>
                <w:b/>
                <w:bCs/>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2</w:t>
            </w:r>
          </w:p>
        </w:tc>
        <w:tc>
          <w:tcPr>
            <w:tcW w:w="1846" w:type="dxa"/>
            <w:vAlign w:val="center"/>
          </w:tcPr>
          <w:p>
            <w:pPr>
              <w:overflowPunct w:val="0"/>
              <w:spacing w:line="280" w:lineRule="exact"/>
              <w:rPr>
                <w:color w:val="auto"/>
                <w:sz w:val="21"/>
                <w:szCs w:val="21"/>
                <w:highlight w:val="none"/>
              </w:rPr>
            </w:pPr>
            <w:r>
              <w:rPr>
                <w:rFonts w:hint="eastAsia" w:ascii="仿宋_GB2312" w:hAnsi="仿宋_GB2312" w:cs="仿宋_GB2312"/>
                <w:color w:val="auto"/>
                <w:kern w:val="0"/>
                <w:sz w:val="21"/>
                <w:szCs w:val="21"/>
                <w:highlight w:val="none"/>
              </w:rPr>
              <w:t>建立完善的统计信息管理制度（3分）</w:t>
            </w:r>
          </w:p>
        </w:tc>
        <w:tc>
          <w:tcPr>
            <w:tcW w:w="8795" w:type="dxa"/>
            <w:vAlign w:val="center"/>
          </w:tcPr>
          <w:p>
            <w:pPr>
              <w:overflowPunct w:val="0"/>
              <w:spacing w:line="280" w:lineRule="exact"/>
              <w:rPr>
                <w:color w:val="auto"/>
                <w:sz w:val="21"/>
                <w:szCs w:val="21"/>
                <w:highlight w:val="none"/>
                <w:u w:val="none"/>
              </w:rPr>
            </w:pPr>
            <w:r>
              <w:rPr>
                <w:rFonts w:hint="eastAsia"/>
                <w:color w:val="auto"/>
                <w:sz w:val="21"/>
                <w:szCs w:val="21"/>
                <w:highlight w:val="none"/>
                <w:u w:val="none"/>
              </w:rPr>
              <w:t>按要求做好医疗机构信息库、药品目录库（包括西药、中成药、中药饮片）、诊疗项目目录库、诊疗耗材目录库、疾病编码目录库、手术编码目录库、医保医师信息库等标准数据库基础信息的维护工作。未及时按要求维护的1例扣1分，扣完为止。</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rFonts w:hint="default" w:eastAsia="仿宋_GB2312"/>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2" w:hRule="atLeast"/>
          <w:jc w:val="center"/>
        </w:trPr>
        <w:tc>
          <w:tcPr>
            <w:tcW w:w="701" w:type="dxa"/>
            <w:vMerge w:val="continue"/>
            <w:vAlign w:val="center"/>
          </w:tcPr>
          <w:p>
            <w:pPr>
              <w:overflowPunct w:val="0"/>
              <w:spacing w:line="280" w:lineRule="exact"/>
              <w:jc w:val="center"/>
              <w:rPr>
                <w:b/>
                <w:bCs/>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3</w:t>
            </w:r>
          </w:p>
        </w:tc>
        <w:tc>
          <w:tcPr>
            <w:tcW w:w="1846" w:type="dxa"/>
            <w:vAlign w:val="center"/>
          </w:tcPr>
          <w:p>
            <w:pPr>
              <w:overflowPunct w:val="0"/>
              <w:spacing w:line="280" w:lineRule="exact"/>
              <w:rPr>
                <w:rFonts w:ascii="仿宋_GB2312" w:hAnsi="仿宋_GB2312" w:cs="仿宋_GB2312"/>
                <w:color w:val="auto"/>
                <w:kern w:val="0"/>
                <w:sz w:val="21"/>
                <w:szCs w:val="21"/>
                <w:highlight w:val="none"/>
              </w:rPr>
            </w:pPr>
            <w:r>
              <w:rPr>
                <w:rFonts w:hint="eastAsia" w:ascii="仿宋_GB2312" w:hAnsi="仿宋_GB2312" w:cs="仿宋_GB2312"/>
                <w:color w:val="auto"/>
                <w:kern w:val="0"/>
                <w:sz w:val="21"/>
                <w:szCs w:val="21"/>
                <w:highlight w:val="none"/>
              </w:rPr>
              <w:t>配备医保要求的硬件装置（</w:t>
            </w:r>
            <w:r>
              <w:rPr>
                <w:rFonts w:ascii="仿宋_GB2312" w:hAnsi="仿宋_GB2312" w:cs="仿宋_GB2312"/>
                <w:color w:val="auto"/>
                <w:kern w:val="0"/>
                <w:sz w:val="21"/>
                <w:szCs w:val="21"/>
                <w:highlight w:val="none"/>
              </w:rPr>
              <w:t>7</w:t>
            </w:r>
            <w:r>
              <w:rPr>
                <w:rFonts w:hint="eastAsia" w:ascii="仿宋_GB2312" w:hAnsi="仿宋_GB2312" w:cs="仿宋_GB2312"/>
                <w:color w:val="auto"/>
                <w:kern w:val="0"/>
                <w:sz w:val="21"/>
                <w:szCs w:val="21"/>
                <w:highlight w:val="none"/>
              </w:rPr>
              <w:t>分）</w:t>
            </w:r>
          </w:p>
        </w:tc>
        <w:tc>
          <w:tcPr>
            <w:tcW w:w="8795" w:type="dxa"/>
            <w:vAlign w:val="center"/>
          </w:tcPr>
          <w:p>
            <w:pPr>
              <w:overflowPunct w:val="0"/>
              <w:spacing w:line="280" w:lineRule="exact"/>
              <w:rPr>
                <w:color w:val="auto"/>
                <w:sz w:val="21"/>
                <w:szCs w:val="21"/>
                <w:highlight w:val="none"/>
                <w:u w:val="none"/>
              </w:rPr>
            </w:pPr>
            <w:r>
              <w:rPr>
                <w:rFonts w:hint="eastAsia"/>
                <w:color w:val="auto"/>
                <w:sz w:val="21"/>
                <w:szCs w:val="21"/>
                <w:highlight w:val="none"/>
                <w:u w:val="none"/>
              </w:rPr>
              <w:t>配备医保要求的设施设备，并与其它网络间有安全隔离措施，与互联网物理隔离，每少配备一项设备，扣1分，未隔离扣2分；按照要求安装人脸识别设备和视频监控设备，每少安装一项设备，扣3分，若一个位置不符合安装要求扣1分；一种设备不清晰，扣2分；扣完为止。</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2" w:hRule="atLeast"/>
          <w:jc w:val="center"/>
        </w:trPr>
        <w:tc>
          <w:tcPr>
            <w:tcW w:w="701" w:type="dxa"/>
            <w:vMerge w:val="continue"/>
            <w:vAlign w:val="center"/>
          </w:tcPr>
          <w:p>
            <w:pPr>
              <w:overflowPunct w:val="0"/>
              <w:spacing w:line="280" w:lineRule="exact"/>
              <w:jc w:val="center"/>
              <w:rPr>
                <w:b/>
                <w:bCs/>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4</w:t>
            </w:r>
          </w:p>
        </w:tc>
        <w:tc>
          <w:tcPr>
            <w:tcW w:w="1846" w:type="dxa"/>
            <w:vAlign w:val="center"/>
          </w:tcPr>
          <w:p>
            <w:pPr>
              <w:overflowPunct w:val="0"/>
              <w:spacing w:line="280" w:lineRule="exact"/>
              <w:rPr>
                <w:rFonts w:ascii="仿宋_GB2312" w:hAnsi="仿宋_GB2312" w:cs="仿宋_GB2312"/>
                <w:color w:val="auto"/>
                <w:kern w:val="0"/>
                <w:sz w:val="21"/>
                <w:szCs w:val="21"/>
                <w:highlight w:val="none"/>
              </w:rPr>
            </w:pPr>
            <w:r>
              <w:rPr>
                <w:rFonts w:hint="eastAsia" w:ascii="仿宋_GB2312" w:hAnsi="仿宋_GB2312" w:cs="仿宋_GB2312"/>
                <w:color w:val="auto"/>
                <w:kern w:val="0"/>
                <w:sz w:val="21"/>
                <w:szCs w:val="21"/>
                <w:highlight w:val="none"/>
              </w:rPr>
              <w:t>信息公开制度（5分）</w:t>
            </w:r>
          </w:p>
        </w:tc>
        <w:tc>
          <w:tcPr>
            <w:tcW w:w="8795" w:type="dxa"/>
            <w:vAlign w:val="center"/>
          </w:tcPr>
          <w:p>
            <w:pPr>
              <w:overflowPunct w:val="0"/>
              <w:spacing w:line="280" w:lineRule="exact"/>
              <w:rPr>
                <w:color w:val="auto"/>
                <w:sz w:val="21"/>
                <w:szCs w:val="21"/>
                <w:highlight w:val="none"/>
                <w:u w:val="none"/>
              </w:rPr>
            </w:pPr>
            <w:r>
              <w:rPr>
                <w:rFonts w:hint="eastAsia"/>
                <w:color w:val="auto"/>
                <w:sz w:val="21"/>
                <w:szCs w:val="21"/>
                <w:highlight w:val="none"/>
                <w:u w:val="none"/>
              </w:rPr>
              <w:t>按照公平、合法、诚实守信原则对药品、医用材料、医疗器械等进行明码标价。公开药品、服务项目和材料的价格，未公开扣2分；须向参保人员提供门诊、住院费用结算清单和住院日费用清单，未提供一例扣1分；有投诉举报价格的，查实1例扣</w:t>
            </w:r>
            <w:r>
              <w:rPr>
                <w:color w:val="auto"/>
                <w:sz w:val="21"/>
                <w:szCs w:val="21"/>
                <w:highlight w:val="none"/>
                <w:u w:val="none"/>
              </w:rPr>
              <w:t>5</w:t>
            </w:r>
            <w:r>
              <w:rPr>
                <w:rFonts w:hint="eastAsia"/>
                <w:color w:val="auto"/>
                <w:sz w:val="21"/>
                <w:szCs w:val="21"/>
                <w:highlight w:val="none"/>
                <w:u w:val="none"/>
              </w:rPr>
              <w:t>分；定价或标识不规范的，发现1例扣1分。扣完为止。</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8"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5</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经营场所（15分）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1.有稳定的经营场所，查看租赁合同或房产证，房产所有权属医疗机构法人代表（或负责人）或单位所有的，得4分；租赁合同年限超过3年（含3年），得3分；租赁合同年限超过2年（含2年），得2分；租赁合同年限超过1年（含1年），得1分；租赁合同年限低于1年，不得分。2.按实际经营面积，500平方米（含）以上得6分；400平方米（含）以上得5分；300平方米（含）以上得4分；200平方米（含）以上得3分；150平方米（含）以上得2分；120平方米（含）以上得1分。其中规范化村卫生室达到60㎡以上，社区卫生服务站达到150㎡以上即得满分。3.环境舒适，设有独立的诊疗室、药房、输液室（无需药房或者输液室的专科医疗机构除外），环境舒适酌情得0-2分，三室齐全得3分，每少一室扣1分。扣完为止。</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8"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6</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经营时间长短（5分）</w:t>
            </w:r>
          </w:p>
        </w:tc>
        <w:tc>
          <w:tcPr>
            <w:tcW w:w="8795" w:type="dxa"/>
            <w:vAlign w:val="center"/>
          </w:tcPr>
          <w:p>
            <w:pPr>
              <w:overflowPunct w:val="0"/>
              <w:spacing w:line="280" w:lineRule="exact"/>
              <w:rPr>
                <w:rFonts w:hint="default"/>
                <w:color w:val="auto"/>
                <w:sz w:val="21"/>
                <w:szCs w:val="21"/>
                <w:highlight w:val="none"/>
                <w:u w:val="none"/>
                <w:lang w:val="en-US" w:eastAsia="zh-CN"/>
              </w:rPr>
            </w:pPr>
            <w:r>
              <w:rPr>
                <w:rFonts w:hint="eastAsia"/>
                <w:color w:val="auto"/>
                <w:sz w:val="21"/>
                <w:szCs w:val="21"/>
                <w:highlight w:val="none"/>
                <w:u w:val="none"/>
                <w:lang w:val="en-US" w:eastAsia="zh-CN"/>
              </w:rPr>
              <w:t>医疗机构许可证核准之日起计算，执业许可证变化时，如果社会信用代码不变按照最老的执业许可证计算经营时间，如果社会信用代码有变化按照最新的执业许可证计算经营时间，经营时间大于（含）2年得5分，经营时间大于（含）1年得</w:t>
            </w:r>
            <w:r>
              <w:rPr>
                <w:rFonts w:hint="default"/>
                <w:color w:val="auto"/>
                <w:sz w:val="21"/>
                <w:szCs w:val="21"/>
                <w:highlight w:val="none"/>
                <w:u w:val="none"/>
                <w:lang w:val="en-US" w:eastAsia="zh-CN"/>
              </w:rPr>
              <w:t>3</w:t>
            </w:r>
            <w:r>
              <w:rPr>
                <w:rFonts w:hint="eastAsia"/>
                <w:color w:val="auto"/>
                <w:sz w:val="21"/>
                <w:szCs w:val="21"/>
                <w:highlight w:val="none"/>
                <w:u w:val="none"/>
                <w:lang w:val="en-US" w:eastAsia="zh-CN"/>
              </w:rPr>
              <w:t>分，6个月（含）到1年得</w:t>
            </w:r>
            <w:r>
              <w:rPr>
                <w:rFonts w:hint="default"/>
                <w:color w:val="auto"/>
                <w:sz w:val="21"/>
                <w:szCs w:val="21"/>
                <w:highlight w:val="none"/>
                <w:u w:val="none"/>
                <w:lang w:val="en-US" w:eastAsia="zh-CN"/>
              </w:rPr>
              <w:t>2</w:t>
            </w:r>
            <w:r>
              <w:rPr>
                <w:rFonts w:hint="eastAsia"/>
                <w:color w:val="auto"/>
                <w:sz w:val="21"/>
                <w:szCs w:val="21"/>
                <w:highlight w:val="none"/>
                <w:u w:val="none"/>
                <w:lang w:val="en-US" w:eastAsia="zh-CN"/>
              </w:rPr>
              <w:t>分，3个月（含）到6个月得1分。</w:t>
            </w:r>
          </w:p>
        </w:tc>
        <w:tc>
          <w:tcPr>
            <w:tcW w:w="996" w:type="dxa"/>
            <w:vAlign w:val="center"/>
          </w:tcPr>
          <w:p>
            <w:pPr>
              <w:overflowPunct w:val="0"/>
              <w:spacing w:line="280" w:lineRule="exact"/>
              <w:rPr>
                <w:color w:val="auto"/>
                <w:sz w:val="21"/>
                <w:szCs w:val="21"/>
                <w:highlight w:val="none"/>
              </w:rPr>
            </w:pPr>
          </w:p>
        </w:tc>
        <w:tc>
          <w:tcPr>
            <w:tcW w:w="843" w:type="dxa"/>
            <w:vMerge w:val="restart"/>
            <w:vAlign w:val="center"/>
          </w:tcPr>
          <w:p>
            <w:pPr>
              <w:overflowPunct w:val="0"/>
              <w:spacing w:line="280" w:lineRule="exact"/>
              <w:jc w:val="center"/>
              <w:rPr>
                <w:color w:val="auto"/>
                <w:sz w:val="21"/>
                <w:szCs w:val="21"/>
                <w:highlight w:val="none"/>
              </w:rPr>
            </w:pPr>
            <w:r>
              <w:rPr>
                <w:rFonts w:hint="eastAsia"/>
                <w:color w:val="auto"/>
                <w:sz w:val="21"/>
                <w:szCs w:val="21"/>
                <w:highlight w:val="none"/>
                <w:lang w:val="en-US" w:eastAsia="zh-CN"/>
              </w:rPr>
              <w:t>规范化村级医疗机构 参照上级医疗机构标准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7</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医师配备情况（5分）</w:t>
            </w:r>
          </w:p>
        </w:tc>
        <w:tc>
          <w:tcPr>
            <w:tcW w:w="8795" w:type="dxa"/>
            <w:vAlign w:val="center"/>
          </w:tcPr>
          <w:p>
            <w:pPr>
              <w:overflowPunct w:val="0"/>
              <w:spacing w:line="280" w:lineRule="exact"/>
              <w:rPr>
                <w:rFonts w:hint="default"/>
                <w:color w:val="auto"/>
                <w:sz w:val="21"/>
                <w:szCs w:val="21"/>
                <w:highlight w:val="none"/>
                <w:u w:val="none"/>
                <w:lang w:val="en-US" w:eastAsia="zh-CN"/>
              </w:rPr>
            </w:pPr>
            <w:r>
              <w:rPr>
                <w:rFonts w:hint="eastAsia"/>
                <w:color w:val="auto"/>
                <w:sz w:val="21"/>
                <w:szCs w:val="21"/>
                <w:highlight w:val="none"/>
                <w:u w:val="none"/>
                <w:lang w:val="en-US" w:eastAsia="zh-CN"/>
              </w:rPr>
              <w:t>第一执业点注册于该医疗机构的医师（连续在本单位参保及注册满三个月及以上，退休返聘除外），按规定配备医师得</w:t>
            </w:r>
            <w:r>
              <w:rPr>
                <w:rFonts w:hint="default"/>
                <w:color w:val="auto"/>
                <w:sz w:val="21"/>
                <w:szCs w:val="21"/>
                <w:highlight w:val="none"/>
                <w:u w:val="none"/>
                <w:lang w:val="en-US" w:eastAsia="zh-CN"/>
              </w:rPr>
              <w:t>2</w:t>
            </w:r>
            <w:r>
              <w:rPr>
                <w:rFonts w:hint="eastAsia"/>
                <w:color w:val="auto"/>
                <w:sz w:val="21"/>
                <w:szCs w:val="21"/>
                <w:highlight w:val="none"/>
                <w:u w:val="none"/>
                <w:lang w:val="en-US" w:eastAsia="zh-CN"/>
              </w:rPr>
              <w:t>分；每增加一名中级职称医师加1分，每增加1名副高及以上职称医师加2分；退休返聘人员必须出具有效的劳务合同，三个月以上的工资银行流水，每增加1名中级及以上职称退休返聘医师加0.5分。最多得5分。</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8</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单位基本财务账户（2分）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查1年财务账（未满1年的自开业之日起），所有资金收支通过本单位基本账户。是得2分，否则不得分。</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9</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财务台账（8分）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根据会计制度的规定建立相应的会计账目和“进、销、存”电算化管理的明细账目，未建立扣5分，如按规定建立清晰的纸质明细账目但未建立电算化管理账目的，得3分。制度执行不到位，未做到账账相符、账实相符，发现一项扣1分。扣完为止。</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10</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进销存管理（17分）</w:t>
            </w:r>
          </w:p>
        </w:tc>
        <w:tc>
          <w:tcPr>
            <w:tcW w:w="8795" w:type="dxa"/>
            <w:vAlign w:val="center"/>
          </w:tcPr>
          <w:p>
            <w:pPr>
              <w:overflowPunct w:val="0"/>
              <w:spacing w:line="280" w:lineRule="exact"/>
              <w:rPr>
                <w:rFonts w:hint="default"/>
                <w:color w:val="auto"/>
                <w:sz w:val="21"/>
                <w:szCs w:val="21"/>
                <w:highlight w:val="none"/>
                <w:u w:val="none"/>
                <w:lang w:val="en-US" w:eastAsia="zh-CN"/>
              </w:rPr>
            </w:pPr>
            <w:r>
              <w:rPr>
                <w:rFonts w:hint="eastAsia"/>
                <w:color w:val="auto"/>
                <w:sz w:val="21"/>
                <w:szCs w:val="21"/>
                <w:highlight w:val="none"/>
                <w:u w:val="none"/>
                <w:lang w:val="en-US" w:eastAsia="zh-CN"/>
              </w:rPr>
              <w:t>药品购进记录必须注明药品的通用名称、生产厂商（中药材标明产地）、剂型、规格、批号、生产日期、有效期、批准文号、供货单位、数量、价格、购进日期。药品、器械、耗材等所有经营品种购进、销售均应纳入“进、销、存”电算化管理（包括厂家赠品），且经营电脑与上传医保系统电脑必须为同一台，并将购、销明细如实录入“进、销、存”电算化管理信息系统，同时按月盘存、装订。查评估前3个月内数据。未纳入电算化管理扣5分；经营电脑与上传医保系统电脑非同一台扣3分；进销存不对应的一个品种扣1分（抽查5个）；未按月装订的，缺一个月扣2分，装订不齐全扣1分；盘存表缺一个月扣2分，盘存明细缺失扣1分；购进记录缺少一个字段的，扣0.2分。扣完为止。</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color w:val="auto"/>
                <w:sz w:val="21"/>
                <w:szCs w:val="21"/>
                <w:highlight w:val="none"/>
              </w:rPr>
            </w:pPr>
            <w:r>
              <w:rPr>
                <w:rFonts w:hint="eastAsia"/>
                <w:color w:val="auto"/>
                <w:sz w:val="21"/>
                <w:szCs w:val="21"/>
                <w:highlight w:val="none"/>
              </w:rPr>
              <w:t>11</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规范医疗行为（4分）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因病施治，合理开具处方且处方书写完整、规范。抽查试运行期8份相关资料，每一例不合理或不规范扣0.5分。扣完为止。</w:t>
            </w:r>
          </w:p>
        </w:tc>
        <w:tc>
          <w:tcPr>
            <w:tcW w:w="996" w:type="dxa"/>
            <w:vAlign w:val="center"/>
          </w:tcPr>
          <w:p>
            <w:pPr>
              <w:overflowPunct w:val="0"/>
              <w:spacing w:line="280" w:lineRule="exact"/>
              <w:jc w:val="center"/>
              <w:rPr>
                <w:color w:val="auto"/>
                <w:sz w:val="21"/>
                <w:szCs w:val="21"/>
                <w:highlight w:val="none"/>
              </w:rPr>
            </w:pPr>
          </w:p>
        </w:tc>
        <w:tc>
          <w:tcPr>
            <w:tcW w:w="843" w:type="dxa"/>
            <w:vMerge w:val="restart"/>
            <w:vAlign w:val="center"/>
          </w:tcPr>
          <w:p>
            <w:pPr>
              <w:overflowPunct w:val="0"/>
              <w:spacing w:line="280" w:lineRule="exact"/>
              <w:jc w:val="center"/>
              <w:rPr>
                <w:color w:val="auto"/>
                <w:sz w:val="21"/>
                <w:szCs w:val="21"/>
                <w:highlight w:val="none"/>
              </w:rPr>
            </w:pPr>
            <w:r>
              <w:rPr>
                <w:rFonts w:hint="eastAsia"/>
                <w:color w:val="auto"/>
                <w:sz w:val="21"/>
                <w:szCs w:val="21"/>
                <w:highlight w:val="none"/>
                <w:lang w:val="en-US" w:eastAsia="zh-CN"/>
              </w:rPr>
              <w:t>规范化村级医疗机构 参照上级医疗机构标准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诊疗科目（5分）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诊疗科目按照医疗机构执业许可证中的诊疗科目计算数量，一个诊疗科目大类算一个诊疗科目。单诊疗科目的医疗机构给2分，每增加一个诊疗科目加1分，最多得5分。</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13</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药品招采（2分）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取评估前3个月内数据，定点医疗机构按规定通过浙江省“智慧医保”招采子系统采购药品、医用耗材，并按规定及时结算(连锁或者规范化管理的可取上级机构数据）。民营机构有招采子系统采购成功记录且线上按时结算货款，得2分；公立机构线上采购率达100%且线上按时结算货款的，得2分。</w:t>
            </w:r>
          </w:p>
        </w:tc>
        <w:tc>
          <w:tcPr>
            <w:tcW w:w="996" w:type="dxa"/>
            <w:vAlign w:val="center"/>
          </w:tcPr>
          <w:p>
            <w:pPr>
              <w:overflowPunct w:val="0"/>
              <w:spacing w:line="280" w:lineRule="exact"/>
              <w:jc w:val="center"/>
              <w:rPr>
                <w:color w:val="auto"/>
                <w:sz w:val="21"/>
                <w:szCs w:val="21"/>
                <w:highlight w:val="none"/>
              </w:rPr>
            </w:pPr>
          </w:p>
        </w:tc>
        <w:tc>
          <w:tcPr>
            <w:tcW w:w="843" w:type="dxa"/>
            <w:vMerge w:val="continue"/>
            <w:vAlign w:val="center"/>
          </w:tcPr>
          <w:p>
            <w:pPr>
              <w:overflowPunct w:val="0"/>
              <w:spacing w:line="280" w:lineRule="exact"/>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1" w:type="dxa"/>
            <w:vMerge w:val="continue"/>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p>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14</w:t>
            </w:r>
          </w:p>
          <w:p>
            <w:pPr>
              <w:overflowPunct w:val="0"/>
              <w:spacing w:line="280" w:lineRule="exact"/>
              <w:jc w:val="center"/>
              <w:rPr>
                <w:rFonts w:hint="eastAsia"/>
                <w:color w:val="auto"/>
                <w:sz w:val="21"/>
                <w:szCs w:val="21"/>
                <w:highlight w:val="none"/>
                <w:u w:val="none"/>
                <w:lang w:val="en-US" w:eastAsia="zh-CN"/>
              </w:rPr>
            </w:pP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场所布局（10分）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如社区内已有二级以下定点医疗机构小于4家（同社区预登记的按照时间先后视同计入），且无同类型医疗机构的，得10分；如社区内已有二级以下定点医疗机构小于4家（同社区预登记的按照时间先后视同计入），但有同类型医疗机构一家得5分，两家及以上不得分；如社区内已有二级以下定点医疗机构≥4家不得分。</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widowControl/>
              <w:spacing w:line="280" w:lineRule="exact"/>
              <w:jc w:val="left"/>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lang w:val="en-US" w:eastAsia="zh-CN"/>
              </w:rPr>
              <w:t>规范化村级医疗机构、</w:t>
            </w:r>
            <w:r>
              <w:rPr>
                <w:rFonts w:hint="eastAsia" w:ascii="仿宋_GB2312" w:hAnsi="仿宋_GB2312" w:cs="仿宋_GB2312"/>
                <w:color w:val="auto"/>
                <w:sz w:val="21"/>
                <w:szCs w:val="21"/>
                <w:highlight w:val="none"/>
              </w:rPr>
              <w:t>二级及以上医疗机构</w:t>
            </w:r>
            <w:r>
              <w:rPr>
                <w:rFonts w:hint="eastAsia" w:ascii="仿宋_GB2312" w:hAnsi="仿宋_GB2312" w:cs="仿宋_GB2312"/>
                <w:color w:val="auto"/>
                <w:sz w:val="21"/>
                <w:szCs w:val="21"/>
                <w:highlight w:val="none"/>
                <w:lang w:val="en-US" w:eastAsia="zh-CN"/>
              </w:rPr>
              <w:t>不受场所布局影响</w:t>
            </w:r>
            <w:r>
              <w:rPr>
                <w:rFonts w:hint="eastAsia" w:ascii="仿宋_GB2312" w:hAnsi="仿宋_GB2312" w:cs="仿宋_GB2312"/>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1" w:type="dxa"/>
            <w:vAlign w:val="center"/>
          </w:tcPr>
          <w:p>
            <w:pPr>
              <w:overflowPunct w:val="0"/>
              <w:spacing w:line="280" w:lineRule="exact"/>
              <w:jc w:val="center"/>
              <w:rPr>
                <w:color w:val="auto"/>
                <w:sz w:val="21"/>
                <w:szCs w:val="21"/>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15</w:t>
            </w:r>
          </w:p>
        </w:tc>
        <w:tc>
          <w:tcPr>
            <w:tcW w:w="1846"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行政处罚记录（10分）</w:t>
            </w:r>
          </w:p>
        </w:tc>
        <w:tc>
          <w:tcPr>
            <w:tcW w:w="8795"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与医疗行为相关的行政处罚记录，三年内每有一次警告、通报批评类行政处罚扣</w:t>
            </w:r>
            <w:r>
              <w:rPr>
                <w:rFonts w:hint="eastAsia"/>
                <w:color w:val="auto"/>
                <w:sz w:val="21"/>
                <w:szCs w:val="21"/>
                <w:highlight w:val="none"/>
                <w:u w:val="none"/>
                <w:lang w:val="en" w:eastAsia="zh-CN"/>
              </w:rPr>
              <w:t>1</w:t>
            </w:r>
            <w:r>
              <w:rPr>
                <w:rFonts w:hint="eastAsia"/>
                <w:color w:val="auto"/>
                <w:sz w:val="21"/>
                <w:szCs w:val="21"/>
                <w:highlight w:val="none"/>
                <w:u w:val="none"/>
                <w:lang w:val="en-US" w:eastAsia="zh-CN"/>
              </w:rPr>
              <w:t>分；其他类型的与医疗行为相关的行政处罚记录，三年内有一次扣2分，两次扣</w:t>
            </w:r>
            <w:r>
              <w:rPr>
                <w:rFonts w:hint="eastAsia"/>
                <w:color w:val="auto"/>
                <w:sz w:val="21"/>
                <w:szCs w:val="21"/>
                <w:highlight w:val="none"/>
                <w:u w:val="none"/>
                <w:lang w:val="en" w:eastAsia="zh-CN"/>
              </w:rPr>
              <w:t>5</w:t>
            </w:r>
            <w:r>
              <w:rPr>
                <w:rFonts w:hint="eastAsia"/>
                <w:color w:val="auto"/>
                <w:sz w:val="21"/>
                <w:szCs w:val="21"/>
                <w:highlight w:val="none"/>
                <w:u w:val="none"/>
                <w:lang w:val="en-US" w:eastAsia="zh-CN"/>
              </w:rPr>
              <w:t>分，三次及以上扣10分。扣完为止。（以受理时间为准）</w:t>
            </w:r>
          </w:p>
        </w:tc>
        <w:tc>
          <w:tcPr>
            <w:tcW w:w="996" w:type="dxa"/>
            <w:vAlign w:val="center"/>
          </w:tcPr>
          <w:p>
            <w:pPr>
              <w:overflowPunct w:val="0"/>
              <w:spacing w:line="280" w:lineRule="exact"/>
              <w:jc w:val="center"/>
              <w:rPr>
                <w:color w:val="auto"/>
                <w:sz w:val="21"/>
                <w:szCs w:val="21"/>
                <w:highlight w:val="none"/>
              </w:rPr>
            </w:pPr>
          </w:p>
        </w:tc>
        <w:tc>
          <w:tcPr>
            <w:tcW w:w="843" w:type="dxa"/>
            <w:vAlign w:val="center"/>
          </w:tcPr>
          <w:p>
            <w:pPr>
              <w:widowControl/>
              <w:spacing w:line="280" w:lineRule="exact"/>
              <w:jc w:val="left"/>
              <w:rPr>
                <w:rFonts w:ascii="仿宋_GB2312" w:hAnsi="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1904" w:type="dxa"/>
            <w:gridSpan w:val="4"/>
            <w:vAlign w:val="center"/>
          </w:tcPr>
          <w:p>
            <w:pPr>
              <w:overflowPunct w:val="0"/>
              <w:spacing w:line="280" w:lineRule="exact"/>
              <w:jc w:val="center"/>
              <w:rPr>
                <w:b/>
                <w:bCs/>
                <w:color w:val="auto"/>
                <w:sz w:val="24"/>
                <w:highlight w:val="none"/>
              </w:rPr>
            </w:pPr>
            <w:r>
              <w:rPr>
                <w:rFonts w:hint="eastAsia"/>
                <w:b/>
                <w:bCs/>
                <w:color w:val="auto"/>
                <w:sz w:val="24"/>
                <w:highlight w:val="none"/>
              </w:rPr>
              <w:t>合计</w:t>
            </w:r>
          </w:p>
        </w:tc>
        <w:tc>
          <w:tcPr>
            <w:tcW w:w="996" w:type="dxa"/>
            <w:vAlign w:val="center"/>
          </w:tcPr>
          <w:p>
            <w:pPr>
              <w:overflowPunct w:val="0"/>
              <w:spacing w:line="280" w:lineRule="exact"/>
              <w:jc w:val="center"/>
              <w:rPr>
                <w:color w:val="auto"/>
                <w:sz w:val="24"/>
                <w:highlight w:val="none"/>
              </w:rPr>
            </w:pPr>
          </w:p>
        </w:tc>
        <w:tc>
          <w:tcPr>
            <w:tcW w:w="843" w:type="dxa"/>
            <w:vAlign w:val="center"/>
          </w:tcPr>
          <w:p>
            <w:pPr>
              <w:overflowPunct w:val="0"/>
              <w:spacing w:line="280" w:lineRule="exact"/>
              <w:jc w:val="center"/>
              <w:rPr>
                <w:color w:val="auto"/>
                <w:sz w:val="24"/>
                <w:highlight w:val="none"/>
              </w:rPr>
            </w:pPr>
          </w:p>
        </w:tc>
      </w:tr>
    </w:tbl>
    <w:p>
      <w:pPr>
        <w:spacing w:line="600" w:lineRule="exact"/>
        <w:rPr>
          <w:rFonts w:ascii="仿宋_GB2312" w:hAnsi="仿宋_GB2312" w:cs="仿宋_GB2312"/>
          <w:b/>
          <w:color w:val="auto"/>
          <w:sz w:val="30"/>
          <w:szCs w:val="30"/>
          <w:highlight w:val="none"/>
        </w:rPr>
      </w:pPr>
    </w:p>
    <w:p>
      <w:pPr>
        <w:pStyle w:val="10"/>
        <w:rPr>
          <w:rFonts w:ascii="仿宋_GB2312" w:hAnsi="仿宋_GB2312" w:cs="仿宋_GB2312"/>
          <w:b/>
          <w:color w:val="auto"/>
          <w:sz w:val="30"/>
          <w:szCs w:val="30"/>
          <w:highlight w:val="none"/>
        </w:rPr>
      </w:pPr>
    </w:p>
    <w:p>
      <w:pPr>
        <w:rPr>
          <w:rFonts w:ascii="仿宋_GB2312" w:hAnsi="仿宋_GB2312" w:cs="仿宋_GB2312"/>
          <w:b/>
          <w:color w:val="auto"/>
          <w:sz w:val="30"/>
          <w:szCs w:val="30"/>
          <w:highlight w:val="none"/>
        </w:rPr>
      </w:pPr>
    </w:p>
    <w:p>
      <w:r>
        <w:br w:type="page"/>
      </w:r>
    </w:p>
    <w:p>
      <w:pPr>
        <w:spacing w:line="600" w:lineRule="exact"/>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 xml:space="preserve">表2              </w:t>
      </w:r>
    </w:p>
    <w:p>
      <w:pPr>
        <w:spacing w:line="600" w:lineRule="exact"/>
        <w:jc w:val="center"/>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衢州市新增医疗保险定点零售药店评估标准</w:t>
      </w:r>
    </w:p>
    <w:p>
      <w:pPr>
        <w:overflowPunct w:val="0"/>
        <w:spacing w:line="590" w:lineRule="exact"/>
        <w:rPr>
          <w:color w:val="auto"/>
          <w:sz w:val="24"/>
          <w:highlight w:val="none"/>
        </w:rPr>
      </w:pPr>
      <w:r>
        <w:rPr>
          <w:rFonts w:hint="eastAsia" w:ascii="宋体" w:hAnsi="宋体" w:cs="宋体"/>
          <w:color w:val="auto"/>
          <w:kern w:val="0"/>
          <w:sz w:val="24"/>
          <w:szCs w:val="24"/>
          <w:highlight w:val="none"/>
        </w:rPr>
        <w:t>零售药店名称：                  评估人员签名：                          医疗机构负责人签名（或盖章）：</w:t>
      </w:r>
    </w:p>
    <w:tbl>
      <w:tblPr>
        <w:tblStyle w:val="13"/>
        <w:tblW w:w="137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01"/>
        <w:gridCol w:w="562"/>
        <w:gridCol w:w="1932"/>
        <w:gridCol w:w="8442"/>
        <w:gridCol w:w="1107"/>
        <w:gridCol w:w="9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701" w:type="dxa"/>
            <w:vAlign w:val="center"/>
          </w:tcPr>
          <w:p>
            <w:pPr>
              <w:overflowPunct w:val="0"/>
              <w:spacing w:line="320" w:lineRule="exact"/>
              <w:jc w:val="center"/>
              <w:rPr>
                <w:rFonts w:ascii="黑体" w:hAnsi="黑体" w:eastAsia="黑体"/>
                <w:color w:val="auto"/>
                <w:sz w:val="24"/>
                <w:highlight w:val="none"/>
              </w:rPr>
            </w:pPr>
            <w:r>
              <w:rPr>
                <w:rFonts w:ascii="黑体" w:hAnsi="黑体" w:eastAsia="黑体"/>
                <w:color w:val="auto"/>
                <w:sz w:val="24"/>
                <w:highlight w:val="none"/>
              </w:rPr>
              <w:t>指标类型</w:t>
            </w:r>
          </w:p>
        </w:tc>
        <w:tc>
          <w:tcPr>
            <w:tcW w:w="562" w:type="dxa"/>
            <w:vAlign w:val="center"/>
          </w:tcPr>
          <w:p>
            <w:pPr>
              <w:overflowPunct w:val="0"/>
              <w:spacing w:line="320" w:lineRule="exact"/>
              <w:jc w:val="center"/>
              <w:rPr>
                <w:rFonts w:ascii="黑体" w:hAnsi="黑体" w:eastAsia="黑体"/>
                <w:color w:val="auto"/>
                <w:sz w:val="24"/>
                <w:highlight w:val="none"/>
              </w:rPr>
            </w:pPr>
            <w:r>
              <w:rPr>
                <w:rFonts w:ascii="黑体" w:hAnsi="黑体" w:eastAsia="黑体"/>
                <w:color w:val="auto"/>
                <w:sz w:val="24"/>
                <w:highlight w:val="none"/>
              </w:rPr>
              <w:t>序号</w:t>
            </w:r>
          </w:p>
        </w:tc>
        <w:tc>
          <w:tcPr>
            <w:tcW w:w="1932" w:type="dxa"/>
            <w:vAlign w:val="center"/>
          </w:tcPr>
          <w:p>
            <w:pPr>
              <w:overflowPunct w:val="0"/>
              <w:spacing w:line="320" w:lineRule="exact"/>
              <w:jc w:val="center"/>
              <w:rPr>
                <w:rFonts w:ascii="黑体" w:hAnsi="黑体" w:eastAsia="黑体"/>
                <w:color w:val="auto"/>
                <w:sz w:val="24"/>
                <w:highlight w:val="none"/>
              </w:rPr>
            </w:pPr>
            <w:r>
              <w:rPr>
                <w:rFonts w:ascii="黑体" w:hAnsi="黑体" w:eastAsia="黑体"/>
                <w:color w:val="auto"/>
                <w:sz w:val="24"/>
                <w:highlight w:val="none"/>
              </w:rPr>
              <w:t>评估项目及分值</w:t>
            </w:r>
          </w:p>
        </w:tc>
        <w:tc>
          <w:tcPr>
            <w:tcW w:w="8442" w:type="dxa"/>
            <w:vAlign w:val="center"/>
          </w:tcPr>
          <w:p>
            <w:pPr>
              <w:overflowPunct w:val="0"/>
              <w:spacing w:line="320" w:lineRule="exact"/>
              <w:jc w:val="center"/>
              <w:rPr>
                <w:rFonts w:ascii="黑体" w:hAnsi="黑体" w:eastAsia="黑体"/>
                <w:color w:val="auto"/>
                <w:sz w:val="24"/>
                <w:highlight w:val="none"/>
              </w:rPr>
            </w:pPr>
            <w:r>
              <w:rPr>
                <w:rFonts w:ascii="黑体" w:hAnsi="黑体" w:eastAsia="黑体"/>
                <w:color w:val="auto"/>
                <w:sz w:val="24"/>
                <w:highlight w:val="none"/>
              </w:rPr>
              <w:t>评</w:t>
            </w:r>
            <w:r>
              <w:rPr>
                <w:rFonts w:hint="eastAsia" w:ascii="黑体" w:hAnsi="黑体" w:eastAsia="黑体"/>
                <w:color w:val="auto"/>
                <w:sz w:val="24"/>
                <w:highlight w:val="none"/>
              </w:rPr>
              <w:t xml:space="preserve">  </w:t>
            </w:r>
            <w:r>
              <w:rPr>
                <w:rFonts w:ascii="黑体" w:hAnsi="黑体" w:eastAsia="黑体"/>
                <w:color w:val="auto"/>
                <w:sz w:val="24"/>
                <w:highlight w:val="none"/>
              </w:rPr>
              <w:t>分</w:t>
            </w:r>
            <w:r>
              <w:rPr>
                <w:rFonts w:hint="eastAsia" w:ascii="黑体" w:hAnsi="黑体" w:eastAsia="黑体"/>
                <w:color w:val="auto"/>
                <w:sz w:val="24"/>
                <w:highlight w:val="none"/>
              </w:rPr>
              <w:t xml:space="preserve">  </w:t>
            </w:r>
            <w:r>
              <w:rPr>
                <w:rFonts w:ascii="黑体" w:hAnsi="黑体" w:eastAsia="黑体"/>
                <w:color w:val="auto"/>
                <w:sz w:val="24"/>
                <w:highlight w:val="none"/>
              </w:rPr>
              <w:t>标</w:t>
            </w:r>
            <w:r>
              <w:rPr>
                <w:rFonts w:hint="eastAsia" w:ascii="黑体" w:hAnsi="黑体" w:eastAsia="黑体"/>
                <w:color w:val="auto"/>
                <w:sz w:val="24"/>
                <w:highlight w:val="none"/>
              </w:rPr>
              <w:t xml:space="preserve">  </w:t>
            </w:r>
            <w:r>
              <w:rPr>
                <w:rFonts w:ascii="黑体" w:hAnsi="黑体" w:eastAsia="黑体"/>
                <w:color w:val="auto"/>
                <w:sz w:val="24"/>
                <w:highlight w:val="none"/>
              </w:rPr>
              <w:t>准</w:t>
            </w:r>
          </w:p>
        </w:tc>
        <w:tc>
          <w:tcPr>
            <w:tcW w:w="1107" w:type="dxa"/>
            <w:vAlign w:val="center"/>
          </w:tcPr>
          <w:p>
            <w:pPr>
              <w:overflowPunct w:val="0"/>
              <w:spacing w:line="320" w:lineRule="exact"/>
              <w:jc w:val="center"/>
              <w:rPr>
                <w:rFonts w:ascii="黑体" w:hAnsi="黑体" w:eastAsia="黑体"/>
                <w:color w:val="auto"/>
                <w:sz w:val="24"/>
                <w:highlight w:val="none"/>
              </w:rPr>
            </w:pPr>
            <w:r>
              <w:rPr>
                <w:rFonts w:hint="eastAsia" w:ascii="黑体" w:hAnsi="黑体" w:eastAsia="黑体"/>
                <w:color w:val="auto"/>
                <w:sz w:val="24"/>
                <w:highlight w:val="none"/>
              </w:rPr>
              <w:t>得分</w:t>
            </w:r>
          </w:p>
        </w:tc>
        <w:tc>
          <w:tcPr>
            <w:tcW w:w="999" w:type="dxa"/>
            <w:vAlign w:val="center"/>
          </w:tcPr>
          <w:p>
            <w:pPr>
              <w:overflowPunct w:val="0"/>
              <w:spacing w:line="320" w:lineRule="exact"/>
              <w:jc w:val="center"/>
              <w:rPr>
                <w:rFonts w:ascii="黑体" w:hAnsi="黑体" w:eastAsia="黑体"/>
                <w:color w:val="auto"/>
                <w:sz w:val="24"/>
                <w:highlight w:val="none"/>
              </w:rPr>
            </w:pPr>
            <w:r>
              <w:rPr>
                <w:rFonts w:hint="eastAsia" w:ascii="黑体" w:hAnsi="黑体" w:eastAsia="黑体"/>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restart"/>
            <w:vAlign w:val="center"/>
          </w:tcPr>
          <w:p>
            <w:pPr>
              <w:overflowPunct w:val="0"/>
              <w:spacing w:line="320" w:lineRule="exact"/>
              <w:jc w:val="center"/>
              <w:rPr>
                <w:color w:val="auto"/>
                <w:sz w:val="24"/>
                <w:highlight w:val="none"/>
              </w:rPr>
            </w:pPr>
            <w:r>
              <w:rPr>
                <w:b/>
                <w:bCs/>
                <w:color w:val="auto"/>
                <w:sz w:val="24"/>
                <w:highlight w:val="none"/>
              </w:rPr>
              <w:t>基础指标</w:t>
            </w: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经营时间</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在注册地址是否已正式经营3个月以上，“否”即为不合格。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药师配备</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药店是否至少有1名取得执业药师资格证书或具有药学、临床药学、中药学专业技术资格证书的药师，且注册地在该零售药店所在地，药师是否已签订1年</w:t>
            </w:r>
            <w:r>
              <w:rPr>
                <w:rFonts w:hint="eastAsia"/>
                <w:color w:val="auto"/>
                <w:sz w:val="21"/>
                <w:szCs w:val="21"/>
                <w:highlight w:val="none"/>
                <w:u w:val="none"/>
              </w:rPr>
              <w:t>及</w:t>
            </w:r>
            <w:r>
              <w:rPr>
                <w:color w:val="auto"/>
                <w:sz w:val="21"/>
                <w:szCs w:val="21"/>
                <w:highlight w:val="none"/>
                <w:u w:val="none"/>
              </w:rPr>
              <w:t>以上劳动合同且在合同期内，“否”即为不合格。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医保管理</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是否至少有2名熟悉医疗保障法律法规和相关制度规定的专（兼）职医保管理人员负责管理医保费用，并签订1年</w:t>
            </w:r>
            <w:r>
              <w:rPr>
                <w:rFonts w:hint="eastAsia"/>
                <w:color w:val="auto"/>
                <w:sz w:val="21"/>
                <w:szCs w:val="21"/>
                <w:highlight w:val="none"/>
                <w:u w:val="none"/>
              </w:rPr>
              <w:t>及</w:t>
            </w:r>
            <w:r>
              <w:rPr>
                <w:color w:val="auto"/>
                <w:sz w:val="21"/>
                <w:szCs w:val="21"/>
                <w:highlight w:val="none"/>
                <w:u w:val="none"/>
              </w:rPr>
              <w:t>以上劳动合同且在合同期内，“否”即为不合格。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药品管理</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是否已按药品经营质量管理规范要求，开展药品分类分区管理，并对所售药品设立明确的医保用药标识，“否”即为不合格。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制度建设</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是否具有符合医保协议管理要求的医保药品管理制度、财务管理制度、医保人员管理制度、统计信息管理制度和医保费用结算制度，“否”即为不合格。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信息系统</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是否已确定系统开发商，并签订合作协议，“否”即为不合格。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7</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基础数据库</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是否已设立医保药品等基础数据库，并按规定使用国家统一的医保编码，“否”即为不合格。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8</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药品价格政策</w:t>
            </w:r>
          </w:p>
        </w:tc>
        <w:tc>
          <w:tcPr>
            <w:tcW w:w="8442" w:type="dxa"/>
            <w:vAlign w:val="center"/>
          </w:tcPr>
          <w:p>
            <w:pPr>
              <w:overflowPunct w:val="0"/>
              <w:spacing w:line="280" w:lineRule="exact"/>
              <w:rPr>
                <w:color w:val="auto"/>
                <w:sz w:val="21"/>
                <w:szCs w:val="21"/>
                <w:highlight w:val="none"/>
                <w:u w:val="none"/>
              </w:rPr>
            </w:pPr>
            <w:r>
              <w:rPr>
                <w:color w:val="auto"/>
                <w:sz w:val="21"/>
                <w:szCs w:val="21"/>
                <w:highlight w:val="none"/>
                <w:u w:val="none"/>
              </w:rPr>
              <w:t>是否执行医疗保障行政部门制定医保药品支付标准政策，“否”即为不合格</w:t>
            </w:r>
            <w:r>
              <w:rPr>
                <w:rFonts w:hint="eastAsia"/>
                <w:color w:val="auto"/>
                <w:sz w:val="21"/>
                <w:szCs w:val="21"/>
                <w:highlight w:val="none"/>
                <w:u w:val="none"/>
              </w:rPr>
              <w:t>。</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9</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信用制度</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机构的法定代表人、主要负责人或实际控制人是否有被列入失信人名单的；</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法定代表人、主要负责人或实际控制人曾因严重违法违规导致原定点医疗机构被解除医保协议，未满5年的；</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同一法人主体（投资主体）的相关定点医疗机构，1年内有因违规被暂停、解除或终止医保协议和正在接受经办机构调查处理等情况的；</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因违反医保协议约定或医保相关规定而被解除协议未满1年或已满1年但未完全履行违约责任的；</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因违法违规被解除医保协议未满3年或已满3年但未完全履行行政处罚法律责任的；</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未依法履行行政处罚责任的；</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以上任何一项“是”即为不合格。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经营范围</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营业执照经营范围及实际经营范围仅限药品、医疗器械、卫生消毒等医疗相关用品、食品（限药食同源）；卫生消毒等医疗相关用品及食品（限药食同源）经营面积不得超过总经营面积的20%。“否”即为不合格。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其他不予受理的情形</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零售药店是否有国家、省医保部门规定的其他不予受理情形，“是”即为不合格。</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restart"/>
            <w:vAlign w:val="center"/>
          </w:tcPr>
          <w:p>
            <w:pPr>
              <w:overflowPunct w:val="0"/>
              <w:spacing w:line="320" w:lineRule="exact"/>
              <w:jc w:val="center"/>
              <w:rPr>
                <w:b/>
                <w:bCs/>
                <w:color w:val="auto"/>
                <w:sz w:val="24"/>
                <w:highlight w:val="none"/>
              </w:rPr>
            </w:pPr>
            <w:r>
              <w:rPr>
                <w:b/>
                <w:bCs/>
                <w:color w:val="auto"/>
                <w:sz w:val="24"/>
                <w:highlight w:val="none"/>
              </w:rPr>
              <w:t>评估指标</w:t>
            </w:r>
          </w:p>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建立完善的医保药品管理制度（2分）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查看医保药品管理制度、财务管理制度、医保人员管理制度、医保费用结算制度及基金预测性分析报告。根据制度整体质量，得1-2分。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r>
              <w:rPr>
                <w:rFonts w:hint="eastAsia"/>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建立完善的统计信息管理制度（3分）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按要求做好医疗机构信息库、药品目录库（包括西药、中成药、中药饮片）、诊疗项目目录库、诊疗耗材目录库、疾病编码目录库、手术编码目录库、医保医师信息库等标准数据库基础信息的维护工作。未及时按要求维护的1例扣1分，扣完为止。</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信息公开制度（4分）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按照公平、合法、诚实守信原则对药品、医用材料、医疗器械等进行明码标价。公开药品、服务项目和材料的价格，未公开扣2分；须向参保人员提供费用清单，未提供一例扣1分；有投诉举报价格的，查实1例扣4分；定价或标识不规范的，发现1例扣1分。扣完为止。</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经营场所（12分）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1.有稳定的经营场所，查看租赁合同或房产证，房产所有权属医疗机构法人代表（或负责人）或单位所有的，得4分；租赁合同年限超过3年（含3年），得3分；租赁合同年限超过2年（含2年），得2分；租赁合同年限超过1年（含1年），得1分；租赁合同年限低于1年，不得分。2.按实际经营面积，400平方米（含）以上得6分；300平方米（含）以上得5分；200平方米（含）以上得4分；150平方米（含）以上得3分；100平方米（含）以上得2分；60平方米（含）以上得1分。3.环境舒适酌情得0-2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经营时间长短（3分）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经营许可证核准之日起计算，经营许可证变化时，如果社会信用代码不变按照最老的执业许可证计算经营时间，如果社会信用代码有变化按照最新的经营许可证计算经营时间，大于（含）1年得3分，6个月（含）到1年得2分，3个月（含）到6个月得1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经营模式（5分）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经营模式为零售（连锁）的，得5分；经营模式为零售的，得3分。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7</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药师配备情况（5分）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以本单位（或连锁总部）参保为准，药师必须注册时间满三个月，按规定配备药师得2分，每增加一名执业药师加2分，如之前已在连锁总部参保不得分。退休返聘人员必须出具有效的劳务合同，三个月以上的工资银行流水，每增加1名退休返聘药师加1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86"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8</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单位基本财务账户（</w:t>
            </w:r>
            <w:r>
              <w:rPr>
                <w:rFonts w:hint="eastAsia"/>
                <w:color w:val="auto"/>
                <w:sz w:val="21"/>
                <w:szCs w:val="21"/>
                <w:highlight w:val="none"/>
                <w:u w:val="none"/>
                <w:lang w:val="en" w:eastAsia="zh-CN"/>
              </w:rPr>
              <w:t>2</w:t>
            </w:r>
            <w:r>
              <w:rPr>
                <w:rFonts w:hint="eastAsia"/>
                <w:color w:val="auto"/>
                <w:sz w:val="21"/>
                <w:szCs w:val="21"/>
                <w:highlight w:val="none"/>
                <w:u w:val="none"/>
                <w:lang w:val="en-US" w:eastAsia="zh-CN"/>
              </w:rPr>
              <w:t>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查1年财务账（未满1年的自开业之日起），所有资金收支通过本单位基本账户。是得</w:t>
            </w:r>
            <w:r>
              <w:rPr>
                <w:rFonts w:hint="eastAsia"/>
                <w:color w:val="auto"/>
                <w:sz w:val="21"/>
                <w:szCs w:val="21"/>
                <w:highlight w:val="none"/>
                <w:u w:val="none"/>
                <w:lang w:val="en" w:eastAsia="zh-CN"/>
              </w:rPr>
              <w:t>2</w:t>
            </w:r>
            <w:r>
              <w:rPr>
                <w:rFonts w:hint="eastAsia"/>
                <w:color w:val="auto"/>
                <w:sz w:val="21"/>
                <w:szCs w:val="21"/>
                <w:highlight w:val="none"/>
                <w:u w:val="none"/>
                <w:lang w:val="en-US" w:eastAsia="zh-CN"/>
              </w:rPr>
              <w:t>分，否则不得分。（连锁店可以公司总部帐为准）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9</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财务台账（</w:t>
            </w:r>
            <w:r>
              <w:rPr>
                <w:rFonts w:hint="eastAsia"/>
                <w:color w:val="auto"/>
                <w:sz w:val="21"/>
                <w:szCs w:val="21"/>
                <w:highlight w:val="none"/>
                <w:u w:val="none"/>
                <w:lang w:val="en" w:eastAsia="zh-CN"/>
              </w:rPr>
              <w:t>8</w:t>
            </w:r>
            <w:r>
              <w:rPr>
                <w:rFonts w:hint="eastAsia"/>
                <w:color w:val="auto"/>
                <w:sz w:val="21"/>
                <w:szCs w:val="21"/>
                <w:highlight w:val="none"/>
                <w:u w:val="none"/>
                <w:lang w:val="en-US" w:eastAsia="zh-CN"/>
              </w:rPr>
              <w:t>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根据会计制度的规定建立相应的会计账目和“进、销、存”电算化管理的明细账目，未建立扣5分，如按规定建立清晰的纸质明细账目但未建立电算化管理账目的，得3分。制度执行不到位，未做到账账相符、账实相符，发现一项扣1分。扣完为止。</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进销存数据传输和对应（</w:t>
            </w:r>
            <w:r>
              <w:rPr>
                <w:rFonts w:hint="eastAsia"/>
                <w:color w:val="auto"/>
                <w:sz w:val="21"/>
                <w:szCs w:val="21"/>
                <w:highlight w:val="none"/>
                <w:u w:val="none"/>
                <w:lang w:val="en" w:eastAsia="zh-CN"/>
              </w:rPr>
              <w:t>1</w:t>
            </w:r>
            <w:r>
              <w:rPr>
                <w:rFonts w:hint="eastAsia"/>
                <w:color w:val="auto"/>
                <w:sz w:val="21"/>
                <w:szCs w:val="21"/>
                <w:highlight w:val="none"/>
                <w:u w:val="none"/>
                <w:lang w:val="en-US" w:eastAsia="zh-CN"/>
              </w:rPr>
              <w:t>7分）</w:t>
            </w:r>
          </w:p>
        </w:tc>
        <w:tc>
          <w:tcPr>
            <w:tcW w:w="8442" w:type="dxa"/>
            <w:vAlign w:val="center"/>
          </w:tcPr>
          <w:p>
            <w:pPr>
              <w:overflowPunct w:val="0"/>
              <w:spacing w:line="280" w:lineRule="exact"/>
              <w:rPr>
                <w:rFonts w:hint="default"/>
                <w:color w:val="auto"/>
                <w:sz w:val="21"/>
                <w:szCs w:val="21"/>
                <w:highlight w:val="none"/>
                <w:u w:val="none"/>
                <w:lang w:val="en-US" w:eastAsia="zh-CN"/>
              </w:rPr>
            </w:pPr>
            <w:r>
              <w:rPr>
                <w:rFonts w:hint="eastAsia"/>
                <w:color w:val="auto"/>
                <w:sz w:val="21"/>
                <w:szCs w:val="21"/>
                <w:highlight w:val="none"/>
                <w:u w:val="none"/>
                <w:lang w:val="en-US" w:eastAsia="zh-CN"/>
              </w:rPr>
              <w:t>药品购进记录必须注明药品的通用名称、生产厂商（中药材标明产地）、剂型、规格、批号、生产日期、有效期、批准文号、供货单位、数量、价格、购进日期。药品、器械、耗材等所有经营品种购进、销售均应纳入“进、销、存”电算化管理（包括厂家赠品），且经营电脑与上传医保系统电脑必须为同一台，并将购、销明细如实录入“进、销、存”电算化管理信息系统，同时按月盘存、装订。查评估前3个月内数据。未纳入电算化管理扣5分；经营电脑与上传医保系统电脑非同一台扣3分；进销存不对应的一个品种扣1分（抽查5个）；未按月装订的，缺一个月扣2分，装订不齐全扣1分；盘存表缺一个月扣2分，盘存明细缺失扣1分；购进记录缺少一个字段的，扣0.2分。扣完为止。</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分区摆放（5分）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营业面积应符合规定设置要求，能为参保人提供舒适的服务环境。设立医保药品专区或专柜，与非医保药品和其他用品分开摆放，有明确标识。医保药品专区或专柜设置符合规范，药品和医疗器械陈列面积不少于总经营面积70%，其他用品经营范围实行正面清单制。营业面积、专区、专柜设置一项不符扣1分；其他用品未严格执行正面清单制，扣2分。扣完为止。</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设立医保用药标识（2分）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未设立医保用药标识的，不得分。医保用药标识不准确的，每1例扣1分。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13</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配备医保要求的硬件装置（7分）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配备医保要求的设施设备，并与其它网络间有安全隔离措施，与互联网物理隔离，每少配备一项设备，扣1分，未隔离扣2分；按照要求安装人脸识别设备和视频监控设备，每少安装一项设备，扣3分，若一个位置不符合安装要求扣1分；一种设备不清晰，扣2分；扣完为止。</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14</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药品品种（5分）</w:t>
            </w:r>
          </w:p>
        </w:tc>
        <w:tc>
          <w:tcPr>
            <w:tcW w:w="8442" w:type="dxa"/>
            <w:vAlign w:val="center"/>
          </w:tcPr>
          <w:p>
            <w:pPr>
              <w:overflowPunct w:val="0"/>
              <w:spacing w:line="280" w:lineRule="exact"/>
              <w:rPr>
                <w:rFonts w:hint="default"/>
                <w:color w:val="auto"/>
                <w:sz w:val="21"/>
                <w:szCs w:val="21"/>
                <w:highlight w:val="none"/>
                <w:u w:val="none"/>
                <w:lang w:val="en-US" w:eastAsia="zh-CN"/>
              </w:rPr>
            </w:pPr>
            <w:r>
              <w:rPr>
                <w:rFonts w:hint="eastAsia"/>
                <w:color w:val="auto"/>
                <w:sz w:val="21"/>
                <w:szCs w:val="21"/>
                <w:highlight w:val="none"/>
                <w:u w:val="none"/>
                <w:lang w:val="en-US" w:eastAsia="zh-CN"/>
              </w:rPr>
              <w:t>《浙江省基本医疗保险、工伤保险和生育保险药品目录》内药品种类超过600的得5分，超过500的得4分，超过400的得3分，超过300的得2分，超过200的得1分，低于200的不得分。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Merge w:val="continue"/>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15</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场所布局（10分）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社区内已有定点零售药店少于 3 家（同社区预登记的按照时间先后视同计入）得 10 分，否则不得分。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1" w:type="dxa"/>
            <w:vAlign w:val="center"/>
          </w:tcPr>
          <w:p>
            <w:pPr>
              <w:overflowPunct w:val="0"/>
              <w:spacing w:line="320" w:lineRule="exact"/>
              <w:jc w:val="center"/>
              <w:rPr>
                <w:color w:val="auto"/>
                <w:sz w:val="24"/>
                <w:highlight w:val="none"/>
              </w:rPr>
            </w:pPr>
          </w:p>
        </w:tc>
        <w:tc>
          <w:tcPr>
            <w:tcW w:w="562" w:type="dxa"/>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 w:eastAsia="zh-CN"/>
              </w:rPr>
              <w:t>1</w:t>
            </w:r>
            <w:r>
              <w:rPr>
                <w:rFonts w:hint="eastAsia"/>
                <w:color w:val="auto"/>
                <w:sz w:val="21"/>
                <w:szCs w:val="21"/>
                <w:highlight w:val="none"/>
                <w:u w:val="none"/>
                <w:lang w:val="en-US" w:eastAsia="zh-CN"/>
              </w:rPr>
              <w:t>6</w:t>
            </w:r>
          </w:p>
        </w:tc>
        <w:tc>
          <w:tcPr>
            <w:tcW w:w="193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行政处罚记录（10分）</w:t>
            </w:r>
          </w:p>
        </w:tc>
        <w:tc>
          <w:tcPr>
            <w:tcW w:w="8442" w:type="dxa"/>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与医疗行为相关的行政处罚记录，三年内每有一次警告、通报批评类行政处罚扣</w:t>
            </w:r>
            <w:r>
              <w:rPr>
                <w:rFonts w:hint="eastAsia"/>
                <w:color w:val="auto"/>
                <w:sz w:val="21"/>
                <w:szCs w:val="21"/>
                <w:highlight w:val="none"/>
                <w:u w:val="none"/>
                <w:lang w:val="en" w:eastAsia="zh-CN"/>
              </w:rPr>
              <w:t>1</w:t>
            </w:r>
            <w:r>
              <w:rPr>
                <w:rFonts w:hint="eastAsia"/>
                <w:color w:val="auto"/>
                <w:sz w:val="21"/>
                <w:szCs w:val="21"/>
                <w:highlight w:val="none"/>
                <w:u w:val="none"/>
                <w:lang w:val="en-US" w:eastAsia="zh-CN"/>
              </w:rPr>
              <w:t>分；其他类型的与医疗行为相关的行政处罚记录，三年内有一次扣2分，两次扣</w:t>
            </w:r>
            <w:r>
              <w:rPr>
                <w:rFonts w:hint="eastAsia"/>
                <w:color w:val="auto"/>
                <w:sz w:val="21"/>
                <w:szCs w:val="21"/>
                <w:highlight w:val="none"/>
                <w:u w:val="none"/>
                <w:lang w:val="en" w:eastAsia="zh-CN"/>
              </w:rPr>
              <w:t>5</w:t>
            </w:r>
            <w:r>
              <w:rPr>
                <w:rFonts w:hint="eastAsia"/>
                <w:color w:val="auto"/>
                <w:sz w:val="21"/>
                <w:szCs w:val="21"/>
                <w:highlight w:val="none"/>
                <w:u w:val="none"/>
                <w:lang w:val="en-US" w:eastAsia="zh-CN"/>
              </w:rPr>
              <w:t>分，三次及以上扣10分。扣完为止。（以受理时间为准）</w:t>
            </w:r>
          </w:p>
        </w:tc>
        <w:tc>
          <w:tcPr>
            <w:tcW w:w="1107" w:type="dxa"/>
            <w:vAlign w:val="center"/>
          </w:tcPr>
          <w:p>
            <w:pPr>
              <w:overflowPunct w:val="0"/>
              <w:spacing w:line="320" w:lineRule="exact"/>
              <w:jc w:val="center"/>
              <w:rPr>
                <w:color w:val="auto"/>
                <w:sz w:val="21"/>
                <w:szCs w:val="21"/>
                <w:highlight w:val="none"/>
              </w:rPr>
            </w:pPr>
          </w:p>
        </w:tc>
        <w:tc>
          <w:tcPr>
            <w:tcW w:w="999" w:type="dxa"/>
            <w:vAlign w:val="center"/>
          </w:tcPr>
          <w:p>
            <w:pPr>
              <w:overflowPunct w:val="0"/>
              <w:spacing w:line="320" w:lineRule="exact"/>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1637" w:type="dxa"/>
            <w:gridSpan w:val="4"/>
            <w:vAlign w:val="center"/>
          </w:tcPr>
          <w:p>
            <w:pPr>
              <w:overflowPunct w:val="0"/>
              <w:spacing w:line="320" w:lineRule="exact"/>
              <w:jc w:val="center"/>
              <w:rPr>
                <w:b/>
                <w:bCs/>
                <w:color w:val="auto"/>
                <w:sz w:val="24"/>
                <w:highlight w:val="none"/>
              </w:rPr>
            </w:pPr>
            <w:r>
              <w:rPr>
                <w:rFonts w:hint="eastAsia"/>
                <w:b/>
                <w:bCs/>
                <w:color w:val="auto"/>
                <w:sz w:val="24"/>
                <w:highlight w:val="none"/>
              </w:rPr>
              <w:t>合计</w:t>
            </w:r>
          </w:p>
        </w:tc>
        <w:tc>
          <w:tcPr>
            <w:tcW w:w="1107" w:type="dxa"/>
            <w:vAlign w:val="center"/>
          </w:tcPr>
          <w:p>
            <w:pPr>
              <w:overflowPunct w:val="0"/>
              <w:spacing w:line="320" w:lineRule="exact"/>
              <w:jc w:val="center"/>
              <w:rPr>
                <w:color w:val="auto"/>
                <w:sz w:val="24"/>
                <w:highlight w:val="none"/>
              </w:rPr>
            </w:pPr>
          </w:p>
        </w:tc>
        <w:tc>
          <w:tcPr>
            <w:tcW w:w="999" w:type="dxa"/>
            <w:vAlign w:val="center"/>
          </w:tcPr>
          <w:p>
            <w:pPr>
              <w:overflowPunct w:val="0"/>
              <w:spacing w:line="320" w:lineRule="exact"/>
              <w:jc w:val="center"/>
              <w:rPr>
                <w:color w:val="auto"/>
                <w:sz w:val="24"/>
                <w:highlight w:val="none"/>
              </w:rPr>
            </w:pPr>
          </w:p>
        </w:tc>
      </w:tr>
    </w:tbl>
    <w:p>
      <w:pPr>
        <w:widowControl/>
        <w:spacing w:line="600" w:lineRule="exact"/>
        <w:rPr>
          <w:rFonts w:ascii="宋体" w:hAnsi="宋体" w:cs="宋体"/>
          <w:color w:val="auto"/>
          <w:kern w:val="0"/>
          <w:sz w:val="21"/>
          <w:szCs w:val="21"/>
          <w:highlight w:val="none"/>
        </w:rPr>
      </w:pPr>
      <w:r>
        <w:rPr>
          <w:rFonts w:ascii="宋体" w:hAnsi="宋体" w:cs="宋体"/>
          <w:color w:val="auto"/>
          <w:kern w:val="0"/>
          <w:sz w:val="21"/>
          <w:szCs w:val="21"/>
          <w:highlight w:val="none"/>
        </w:rPr>
        <w:t xml:space="preserve"> </w:t>
      </w: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spacing w:line="300" w:lineRule="exact"/>
        <w:jc w:val="center"/>
        <w:rPr>
          <w:rFonts w:ascii="宋体" w:hAnsi="宋体" w:cs="宋体"/>
          <w:color w:val="auto"/>
          <w:kern w:val="0"/>
          <w:sz w:val="21"/>
          <w:szCs w:val="21"/>
          <w:highlight w:val="none"/>
        </w:rPr>
      </w:pPr>
    </w:p>
    <w:p>
      <w:pPr>
        <w:spacing w:line="600" w:lineRule="exact"/>
        <w:rPr>
          <w:rFonts w:ascii="仿宋_GB2312" w:hAnsi="仿宋_GB2312" w:cs="仿宋_GB2312"/>
          <w:b/>
          <w:color w:val="auto"/>
          <w:sz w:val="30"/>
          <w:szCs w:val="30"/>
          <w:highlight w:val="none"/>
        </w:rPr>
      </w:pPr>
    </w:p>
    <w:p>
      <w:pPr>
        <w:overflowPunct w:val="0"/>
        <w:spacing w:line="280" w:lineRule="exact"/>
        <w:rPr>
          <w:rFonts w:ascii="仿宋_GB2312" w:hAnsi="仿宋_GB2312" w:cs="仿宋_GB2312"/>
          <w:b/>
          <w:color w:val="auto"/>
          <w:sz w:val="30"/>
          <w:szCs w:val="30"/>
          <w:highlight w:val="none"/>
        </w:rPr>
      </w:pPr>
    </w:p>
    <w:p>
      <w:pPr>
        <w:pStyle w:val="2"/>
        <w:rPr>
          <w:rFonts w:ascii="仿宋_GB2312" w:hAnsi="仿宋_GB2312" w:cs="仿宋_GB2312"/>
          <w:b/>
          <w:color w:val="auto"/>
          <w:sz w:val="30"/>
          <w:szCs w:val="30"/>
          <w:highlight w:val="none"/>
        </w:rPr>
      </w:pPr>
    </w:p>
    <w:p>
      <w:pPr>
        <w:pStyle w:val="2"/>
        <w:rPr>
          <w:rFonts w:ascii="仿宋_GB2312" w:hAnsi="仿宋_GB2312" w:cs="仿宋_GB2312"/>
          <w:b/>
          <w:color w:val="auto"/>
          <w:sz w:val="30"/>
          <w:szCs w:val="30"/>
          <w:highlight w:val="none"/>
        </w:rPr>
      </w:pPr>
    </w:p>
    <w:p>
      <w:pPr>
        <w:pStyle w:val="2"/>
        <w:rPr>
          <w:rFonts w:ascii="仿宋_GB2312" w:hAnsi="仿宋_GB2312" w:cs="仿宋_GB2312"/>
          <w:b/>
          <w:color w:val="auto"/>
          <w:sz w:val="30"/>
          <w:szCs w:val="30"/>
          <w:highlight w:val="none"/>
        </w:rPr>
      </w:pPr>
    </w:p>
    <w:p>
      <w:pPr>
        <w:spacing w:line="600" w:lineRule="exact"/>
        <w:rPr>
          <w:rFonts w:ascii="仿宋_GB2312" w:hAnsi="仿宋_GB2312" w:cs="仿宋_GB2312"/>
          <w:b/>
          <w:color w:val="auto"/>
          <w:sz w:val="30"/>
          <w:szCs w:val="30"/>
          <w:highlight w:val="none"/>
        </w:rPr>
      </w:pPr>
    </w:p>
    <w:p>
      <w:pPr>
        <w:spacing w:line="600" w:lineRule="exact"/>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 xml:space="preserve">表3 </w:t>
      </w:r>
    </w:p>
    <w:p>
      <w:pPr>
        <w:spacing w:line="600" w:lineRule="exact"/>
        <w:jc w:val="center"/>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衢州市综合类定点医疗机构绩效考核标准</w:t>
      </w:r>
    </w:p>
    <w:p>
      <w:pPr>
        <w:spacing w:line="600" w:lineRule="exact"/>
        <w:rPr>
          <w:rFonts w:ascii="宋体" w:hAnsi="宋体" w:cs="宋体"/>
          <w:color w:val="auto"/>
          <w:kern w:val="0"/>
          <w:sz w:val="21"/>
          <w:szCs w:val="21"/>
          <w:highlight w:val="none"/>
        </w:rPr>
      </w:pPr>
    </w:p>
    <w:tbl>
      <w:tblPr>
        <w:tblStyle w:val="13"/>
        <w:tblW w:w="13774" w:type="dxa"/>
        <w:tblInd w:w="91" w:type="dxa"/>
        <w:tblLayout w:type="fixed"/>
        <w:tblCellMar>
          <w:top w:w="0" w:type="dxa"/>
          <w:left w:w="108" w:type="dxa"/>
          <w:bottom w:w="0" w:type="dxa"/>
          <w:right w:w="108" w:type="dxa"/>
        </w:tblCellMar>
      </w:tblPr>
      <w:tblGrid>
        <w:gridCol w:w="509"/>
        <w:gridCol w:w="889"/>
        <w:gridCol w:w="1465"/>
        <w:gridCol w:w="497"/>
        <w:gridCol w:w="5942"/>
        <w:gridCol w:w="1304"/>
        <w:gridCol w:w="3168"/>
      </w:tblGrid>
      <w:tr>
        <w:tblPrEx>
          <w:tblCellMar>
            <w:top w:w="0" w:type="dxa"/>
            <w:left w:w="108" w:type="dxa"/>
            <w:bottom w:w="0" w:type="dxa"/>
            <w:right w:w="108" w:type="dxa"/>
          </w:tblCellMar>
        </w:tblPrEx>
        <w:trPr>
          <w:trHeight w:val="283" w:hRule="atLeast"/>
          <w:tblHeader/>
        </w:trPr>
        <w:tc>
          <w:tcPr>
            <w:tcW w:w="509" w:type="dxa"/>
            <w:tcBorders>
              <w:top w:val="single" w:color="000000" w:sz="8" w:space="0"/>
              <w:left w:val="single" w:color="000000" w:sz="8" w:space="0"/>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序号</w:t>
            </w:r>
          </w:p>
        </w:tc>
        <w:tc>
          <w:tcPr>
            <w:tcW w:w="889"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评价</w:t>
            </w:r>
          </w:p>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项目</w:t>
            </w:r>
          </w:p>
        </w:tc>
        <w:tc>
          <w:tcPr>
            <w:tcW w:w="1465"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评价内容</w:t>
            </w:r>
          </w:p>
        </w:tc>
        <w:tc>
          <w:tcPr>
            <w:tcW w:w="497"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分值</w:t>
            </w:r>
          </w:p>
        </w:tc>
        <w:tc>
          <w:tcPr>
            <w:tcW w:w="5942"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评分标准</w:t>
            </w:r>
          </w:p>
        </w:tc>
        <w:tc>
          <w:tcPr>
            <w:tcW w:w="1304"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数据来源</w:t>
            </w:r>
          </w:p>
        </w:tc>
        <w:tc>
          <w:tcPr>
            <w:tcW w:w="3168"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 xml:space="preserve">      考核说明</w:t>
            </w:r>
          </w:p>
        </w:tc>
      </w:tr>
      <w:tr>
        <w:tblPrEx>
          <w:tblCellMar>
            <w:top w:w="0" w:type="dxa"/>
            <w:left w:w="108" w:type="dxa"/>
            <w:bottom w:w="0" w:type="dxa"/>
            <w:right w:w="108" w:type="dxa"/>
          </w:tblCellMar>
        </w:tblPrEx>
        <w:trPr>
          <w:trHeight w:val="285" w:hRule="atLeast"/>
        </w:trPr>
        <w:tc>
          <w:tcPr>
            <w:tcW w:w="509" w:type="dxa"/>
            <w:tcBorders>
              <w:top w:val="single" w:color="000000" w:sz="8" w:space="0"/>
              <w:left w:val="single" w:color="000000" w:sz="8"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w:t>
            </w:r>
          </w:p>
        </w:tc>
        <w:tc>
          <w:tcPr>
            <w:tcW w:w="889" w:type="dxa"/>
            <w:tcBorders>
              <w:top w:val="single" w:color="000000" w:sz="8" w:space="0"/>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日常违规扣分</w:t>
            </w:r>
          </w:p>
        </w:tc>
        <w:tc>
          <w:tcPr>
            <w:tcW w:w="1465" w:type="dxa"/>
            <w:tcBorders>
              <w:top w:val="single" w:color="000000" w:sz="8" w:space="0"/>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日常稽核违规查处情况</w:t>
            </w:r>
          </w:p>
        </w:tc>
        <w:tc>
          <w:tcPr>
            <w:tcW w:w="497" w:type="dxa"/>
            <w:tcBorders>
              <w:top w:val="single" w:color="000000" w:sz="8" w:space="0"/>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5942" w:type="dxa"/>
            <w:tcBorders>
              <w:top w:val="single" w:color="000000" w:sz="8" w:space="0"/>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二级以下机构，以当年度诚信记分分值计入考核；二级及以上机构当年度违规行为（整改通知书为准）参照诚信记分规则扣分计入；</w:t>
            </w:r>
          </w:p>
        </w:tc>
        <w:tc>
          <w:tcPr>
            <w:tcW w:w="1304" w:type="dxa"/>
            <w:tcBorders>
              <w:top w:val="single" w:color="000000" w:sz="8" w:space="0"/>
              <w:left w:val="nil"/>
              <w:bottom w:val="single" w:color="000000" w:sz="8" w:space="0"/>
              <w:right w:val="single" w:color="000000" w:sz="8" w:space="0"/>
            </w:tcBorders>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稽核科</w:t>
            </w:r>
          </w:p>
        </w:tc>
        <w:tc>
          <w:tcPr>
            <w:tcW w:w="3168" w:type="dxa"/>
            <w:tcBorders>
              <w:top w:val="single" w:color="000000" w:sz="8" w:space="0"/>
              <w:left w:val="nil"/>
              <w:bottom w:val="single" w:color="000000" w:sz="8" w:space="0"/>
              <w:right w:val="single" w:color="000000" w:sz="8" w:space="0"/>
            </w:tcBorders>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上半年和全年分别评出累计分值</w:t>
            </w:r>
          </w:p>
        </w:tc>
      </w:tr>
      <w:tr>
        <w:tblPrEx>
          <w:tblCellMar>
            <w:top w:w="0" w:type="dxa"/>
            <w:left w:w="108" w:type="dxa"/>
            <w:bottom w:w="0" w:type="dxa"/>
            <w:right w:w="108" w:type="dxa"/>
          </w:tblCellMar>
        </w:tblPrEx>
        <w:trPr>
          <w:trHeight w:val="471" w:hRule="atLeast"/>
        </w:trPr>
        <w:tc>
          <w:tcPr>
            <w:tcW w:w="509"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889" w:type="dxa"/>
            <w:vMerge w:val="restart"/>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管理</w:t>
            </w:r>
          </w:p>
        </w:tc>
        <w:tc>
          <w:tcPr>
            <w:tcW w:w="1465" w:type="dxa"/>
            <w:tcBorders>
              <w:top w:val="single" w:color="000000" w:sz="8" w:space="0"/>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费用上传率</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须达到</w:t>
            </w:r>
            <w:r>
              <w:rPr>
                <w:rFonts w:hint="default"/>
                <w:color w:val="auto"/>
                <w:sz w:val="21"/>
                <w:szCs w:val="21"/>
                <w:highlight w:val="none"/>
                <w:u w:val="none"/>
                <w:lang w:val="en-US" w:eastAsia="zh-CN"/>
              </w:rPr>
              <w:t>100%，每降低1个百分点，扣1分，扣完为止；</w:t>
            </w:r>
          </w:p>
        </w:tc>
        <w:tc>
          <w:tcPr>
            <w:tcW w:w="1304" w:type="dxa"/>
            <w:tcBorders>
              <w:top w:val="nil"/>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两定科</w:t>
            </w:r>
          </w:p>
        </w:tc>
        <w:tc>
          <w:tcPr>
            <w:tcW w:w="3168" w:type="dxa"/>
            <w:tcBorders>
              <w:top w:val="nil"/>
              <w:left w:val="nil"/>
              <w:bottom w:val="nil"/>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1045" w:hRule="atLeast"/>
        </w:trPr>
        <w:tc>
          <w:tcPr>
            <w:tcW w:w="509"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889"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single" w:color="000000" w:sz="8" w:space="0"/>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药品招采率</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5942" w:type="dxa"/>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按照省招采中心要求，达到相应的招采率。每降低</w:t>
            </w:r>
            <w:r>
              <w:rPr>
                <w:rFonts w:hint="default"/>
                <w:color w:val="auto"/>
                <w:sz w:val="21"/>
                <w:szCs w:val="21"/>
                <w:highlight w:val="none"/>
                <w:u w:val="none"/>
                <w:lang w:val="en-US" w:eastAsia="zh-CN"/>
              </w:rPr>
              <w:t>1个百分点，扣1分；民营机构有平台采购成功记录的，得3分；否则不得分。（根据省局文件对应调整）</w:t>
            </w:r>
          </w:p>
        </w:tc>
        <w:tc>
          <w:tcPr>
            <w:tcW w:w="1304" w:type="dxa"/>
            <w:tcBorders>
              <w:top w:val="nil"/>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招采中心</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720" w:hRule="atLeast"/>
        </w:trPr>
        <w:tc>
          <w:tcPr>
            <w:tcW w:w="509"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889" w:type="dxa"/>
            <w:vMerge w:val="restart"/>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DRGS</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管理</w:t>
            </w: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病案匹配率</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病案数据与结算数据匹配率不低于</w:t>
            </w:r>
            <w:r>
              <w:rPr>
                <w:rFonts w:hint="default"/>
                <w:color w:val="auto"/>
                <w:sz w:val="21"/>
                <w:szCs w:val="21"/>
                <w:highlight w:val="none"/>
                <w:u w:val="none"/>
                <w:lang w:val="en-US" w:eastAsia="zh-CN"/>
              </w:rPr>
              <w:t>98%；每低于1个百分点扣1分，扣完为止；</w:t>
            </w:r>
          </w:p>
        </w:tc>
        <w:tc>
          <w:tcPr>
            <w:tcW w:w="1304" w:type="dxa"/>
            <w:vMerge w:val="restart"/>
            <w:tcBorders>
              <w:top w:val="nil"/>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两定科</w:t>
            </w:r>
          </w:p>
        </w:tc>
        <w:tc>
          <w:tcPr>
            <w:tcW w:w="3168" w:type="dxa"/>
            <w:tcBorders>
              <w:top w:val="nil"/>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700" w:hRule="atLeast"/>
        </w:trPr>
        <w:tc>
          <w:tcPr>
            <w:tcW w:w="509"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889" w:type="dxa"/>
            <w:vMerge w:val="continue"/>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入组率</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医疗机构入组率不低于</w:t>
            </w:r>
            <w:r>
              <w:rPr>
                <w:rFonts w:hint="default"/>
                <w:color w:val="auto"/>
                <w:sz w:val="21"/>
                <w:szCs w:val="21"/>
                <w:highlight w:val="none"/>
                <w:u w:val="none"/>
                <w:lang w:val="en-US" w:eastAsia="zh-CN"/>
              </w:rPr>
              <w:t>99%。每低于1个百分点扣1分，扣完为止；</w:t>
            </w:r>
          </w:p>
        </w:tc>
        <w:tc>
          <w:tcPr>
            <w:tcW w:w="1304" w:type="dxa"/>
            <w:vMerge w:val="continue"/>
            <w:tcBorders>
              <w:top w:val="nil"/>
              <w:left w:val="nil"/>
              <w:bottom w:val="single" w:color="000000" w:sz="8" w:space="0"/>
              <w:right w:val="single" w:color="000000" w:sz="8" w:space="0"/>
            </w:tcBorders>
            <w:shd w:val="clear" w:color="auto" w:fill="FFFFFF"/>
            <w:noWrap/>
            <w:vAlign w:val="center"/>
          </w:tcPr>
          <w:p>
            <w:pPr>
              <w:spacing w:line="28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3168" w:type="dxa"/>
            <w:tcBorders>
              <w:top w:val="nil"/>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620" w:hRule="atLeast"/>
        </w:trPr>
        <w:tc>
          <w:tcPr>
            <w:tcW w:w="509" w:type="dxa"/>
            <w:tcBorders>
              <w:top w:val="nil"/>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7</w:t>
            </w:r>
          </w:p>
        </w:tc>
        <w:tc>
          <w:tcPr>
            <w:tcW w:w="889" w:type="dxa"/>
            <w:vMerge w:val="continue"/>
            <w:tcBorders>
              <w:top w:val="nil"/>
              <w:left w:val="nil"/>
              <w:bottom w:val="single" w:color="auto" w:sz="4"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病例组合指数值（</w:t>
            </w:r>
            <w:r>
              <w:rPr>
                <w:rFonts w:hint="default"/>
                <w:color w:val="auto"/>
                <w:sz w:val="21"/>
                <w:szCs w:val="21"/>
                <w:highlight w:val="none"/>
                <w:u w:val="none"/>
                <w:lang w:val="en-US" w:eastAsia="zh-CN"/>
              </w:rPr>
              <w:t>CMI值）</w:t>
            </w:r>
          </w:p>
        </w:tc>
        <w:tc>
          <w:tcPr>
            <w:tcW w:w="49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94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 xml:space="preserve">医院病例总权重 </w:t>
            </w:r>
            <w:r>
              <w:rPr>
                <w:rFonts w:hint="default"/>
                <w:color w:val="auto"/>
                <w:sz w:val="21"/>
                <w:szCs w:val="21"/>
                <w:highlight w:val="none"/>
                <w:u w:val="none"/>
                <w:lang w:val="en-US" w:eastAsia="zh-CN"/>
              </w:rPr>
              <w:t>/总病例数。相较前一年同比下降的，每下降5个百分点扣1分，扣完为止；</w:t>
            </w:r>
          </w:p>
        </w:tc>
        <w:tc>
          <w:tcPr>
            <w:tcW w:w="1304" w:type="dxa"/>
            <w:vMerge w:val="continue"/>
            <w:tcBorders>
              <w:top w:val="nil"/>
              <w:left w:val="nil"/>
              <w:bottom w:val="single" w:color="auto" w:sz="4" w:space="0"/>
              <w:right w:val="single" w:color="000000" w:sz="8" w:space="0"/>
            </w:tcBorders>
            <w:shd w:val="clear" w:color="auto" w:fill="FFFFFF"/>
            <w:noWrap/>
            <w:vAlign w:val="center"/>
          </w:tcPr>
          <w:p>
            <w:pPr>
              <w:spacing w:line="28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3168" w:type="dxa"/>
            <w:tcBorders>
              <w:top w:val="nil"/>
              <w:left w:val="nil"/>
              <w:bottom w:val="single" w:color="auto" w:sz="4"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560" w:hRule="atLeast"/>
        </w:trPr>
        <w:tc>
          <w:tcPr>
            <w:tcW w:w="509"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8</w:t>
            </w: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费用消耗</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指数</w:t>
            </w:r>
          </w:p>
        </w:tc>
        <w:tc>
          <w:tcPr>
            <w:tcW w:w="497"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94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相较前一年同比上升的，每上升</w:t>
            </w:r>
            <w:r>
              <w:rPr>
                <w:rFonts w:hint="default"/>
                <w:color w:val="auto"/>
                <w:sz w:val="21"/>
                <w:szCs w:val="21"/>
                <w:highlight w:val="none"/>
                <w:u w:val="none"/>
                <w:lang w:val="en-US" w:eastAsia="zh-CN"/>
              </w:rPr>
              <w:t>1个百分点扣0.5分，扣完为止；</w:t>
            </w: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8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3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936" w:hRule="atLeast"/>
        </w:trPr>
        <w:tc>
          <w:tcPr>
            <w:tcW w:w="509" w:type="dxa"/>
            <w:tcBorders>
              <w:top w:val="nil"/>
              <w:left w:val="single" w:color="000000" w:sz="8" w:space="0"/>
              <w:bottom w:val="single" w:color="000000" w:sz="8" w:space="0"/>
              <w:right w:val="single" w:color="auto" w:sz="4"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9</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进销存</w:t>
            </w:r>
          </w:p>
        </w:tc>
        <w:tc>
          <w:tcPr>
            <w:tcW w:w="1465" w:type="dxa"/>
            <w:tcBorders>
              <w:top w:val="nil"/>
              <w:left w:val="single" w:color="auto" w:sz="4" w:space="0"/>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药械进销存管理</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进销存须符合相关规定，一个品种不符扣1分，同时进销存差额数量占存量差额每增加1个百分点，加扣0.2分，</w:t>
            </w:r>
            <w:r>
              <w:rPr>
                <w:rFonts w:hint="default"/>
                <w:color w:val="auto"/>
                <w:sz w:val="21"/>
                <w:szCs w:val="21"/>
                <w:highlight w:val="none"/>
                <w:u w:val="none"/>
                <w:lang w:val="en-US" w:eastAsia="zh-CN"/>
              </w:rPr>
              <w:t>扣完为止；</w:t>
            </w:r>
          </w:p>
        </w:tc>
        <w:tc>
          <w:tcPr>
            <w:tcW w:w="1304" w:type="dxa"/>
            <w:tcBorders>
              <w:top w:val="nil"/>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稽核科</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620" w:hRule="atLeast"/>
        </w:trPr>
        <w:tc>
          <w:tcPr>
            <w:tcW w:w="509" w:type="dxa"/>
            <w:tcBorders>
              <w:top w:val="nil"/>
              <w:left w:val="single" w:color="000000" w:sz="8" w:space="0"/>
              <w:bottom w:val="single" w:color="000000" w:sz="8" w:space="0"/>
              <w:right w:val="single" w:color="auto" w:sz="4"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bookmarkStart w:id="3" w:name="_Hlk124067505"/>
            <w:r>
              <w:rPr>
                <w:rFonts w:hint="eastAsia"/>
                <w:color w:val="auto"/>
                <w:sz w:val="21"/>
                <w:szCs w:val="21"/>
                <w:highlight w:val="none"/>
                <w:u w:val="none"/>
                <w:lang w:val="en-US" w:eastAsia="zh-CN"/>
              </w:rPr>
              <w:t>10</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费用</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控制</w:t>
            </w:r>
          </w:p>
        </w:tc>
        <w:tc>
          <w:tcPr>
            <w:tcW w:w="1465" w:type="dxa"/>
            <w:tcBorders>
              <w:top w:val="nil"/>
              <w:left w:val="single" w:color="auto" w:sz="4" w:space="0"/>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住院自费</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费用占比</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住院自费费用占比不超过20%，每超1个百分点扣1分，扣完为止；</w:t>
            </w:r>
          </w:p>
        </w:tc>
        <w:tc>
          <w:tcPr>
            <w:tcW w:w="1304" w:type="dxa"/>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两定科</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720" w:hRule="atLeast"/>
        </w:trPr>
        <w:tc>
          <w:tcPr>
            <w:tcW w:w="509" w:type="dxa"/>
            <w:tcBorders>
              <w:top w:val="nil"/>
              <w:left w:val="single" w:color="000000" w:sz="8" w:space="0"/>
              <w:bottom w:val="single" w:color="000000" w:sz="8" w:space="0"/>
              <w:right w:val="single" w:color="auto" w:sz="4"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single" w:color="auto" w:sz="4" w:space="0"/>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次均住院日</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以不同级别（三级、二级、一级及以下三类）的医疗机构平均数为标准（不含精神类按床日付费数据），每超过标准</w:t>
            </w:r>
            <w:r>
              <w:rPr>
                <w:rFonts w:hint="default"/>
                <w:color w:val="auto"/>
                <w:sz w:val="21"/>
                <w:szCs w:val="21"/>
                <w:highlight w:val="none"/>
                <w:u w:val="none"/>
                <w:lang w:val="en-US" w:eastAsia="zh-CN"/>
              </w:rPr>
              <w:t>1天扣1分，扣完为止；</w:t>
            </w:r>
          </w:p>
        </w:tc>
        <w:tc>
          <w:tcPr>
            <w:tcW w:w="1304" w:type="dxa"/>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两定科</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720" w:hRule="atLeast"/>
        </w:trPr>
        <w:tc>
          <w:tcPr>
            <w:tcW w:w="509" w:type="dxa"/>
            <w:tcBorders>
              <w:top w:val="nil"/>
              <w:left w:val="single" w:color="000000" w:sz="8" w:space="0"/>
              <w:bottom w:val="single" w:color="000000" w:sz="8" w:space="0"/>
              <w:right w:val="single" w:color="auto" w:sz="4"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single" w:color="auto" w:sz="4" w:space="0"/>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人均门急</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诊费用</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以不同级别（三级、二级、一级及以下三类）的医疗机构平均数为标准，每超过标准</w:t>
            </w:r>
            <w:r>
              <w:rPr>
                <w:rFonts w:hint="default"/>
                <w:color w:val="auto"/>
                <w:sz w:val="21"/>
                <w:szCs w:val="21"/>
                <w:highlight w:val="none"/>
                <w:u w:val="none"/>
                <w:lang w:val="en-US" w:eastAsia="zh-CN"/>
              </w:rPr>
              <w:t>5个百分点扣1分，扣完为止；</w:t>
            </w:r>
          </w:p>
        </w:tc>
        <w:tc>
          <w:tcPr>
            <w:tcW w:w="1304" w:type="dxa"/>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两定科</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654" w:hRule="atLeast"/>
        </w:trPr>
        <w:tc>
          <w:tcPr>
            <w:tcW w:w="509"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889" w:type="dxa"/>
            <w:tcBorders>
              <w:top w:val="single" w:color="auto" w:sz="4" w:space="0"/>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处罚</w:t>
            </w:r>
          </w:p>
        </w:tc>
        <w:tc>
          <w:tcPr>
            <w:tcW w:w="1465"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行政处罚次数</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594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行政部门作出的与医疗行为相关的行政处罚次数，每一起行政处罚扣1分，扣完为止；</w:t>
            </w:r>
          </w:p>
        </w:tc>
        <w:tc>
          <w:tcPr>
            <w:tcW w:w="1304" w:type="dxa"/>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部门函询</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信息公开</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上半年和全年分别评出累计分值</w:t>
            </w:r>
          </w:p>
        </w:tc>
      </w:tr>
      <w:tr>
        <w:tblPrEx>
          <w:tblCellMar>
            <w:top w:w="0" w:type="dxa"/>
            <w:left w:w="108" w:type="dxa"/>
            <w:bottom w:w="0" w:type="dxa"/>
            <w:right w:w="108" w:type="dxa"/>
          </w:tblCellMar>
        </w:tblPrEx>
        <w:trPr>
          <w:trHeight w:val="654" w:hRule="atLeast"/>
        </w:trPr>
        <w:tc>
          <w:tcPr>
            <w:tcW w:w="509" w:type="dxa"/>
            <w:vMerge w:val="restart"/>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13</w:t>
            </w:r>
          </w:p>
        </w:tc>
        <w:tc>
          <w:tcPr>
            <w:tcW w:w="889" w:type="dxa"/>
            <w:vMerge w:val="restart"/>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管理</w:t>
            </w:r>
          </w:p>
        </w:tc>
        <w:tc>
          <w:tcPr>
            <w:tcW w:w="1465" w:type="dxa"/>
            <w:vMerge w:val="restart"/>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系统使用</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安全</w:t>
            </w:r>
          </w:p>
        </w:tc>
        <w:tc>
          <w:tcPr>
            <w:tcW w:w="497" w:type="dxa"/>
            <w:vMerge w:val="restart"/>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5942" w:type="dxa"/>
            <w:vMerge w:val="restart"/>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日常查实发生篡改系统数据的，扣</w:t>
            </w:r>
            <w:r>
              <w:rPr>
                <w:rFonts w:hint="default"/>
                <w:color w:val="auto"/>
                <w:sz w:val="21"/>
                <w:szCs w:val="21"/>
                <w:highlight w:val="none"/>
                <w:u w:val="none"/>
                <w:lang w:val="en-US" w:eastAsia="zh-CN"/>
              </w:rPr>
              <w:t>3分；</w:t>
            </w:r>
          </w:p>
        </w:tc>
        <w:tc>
          <w:tcPr>
            <w:tcW w:w="1304" w:type="dxa"/>
            <w:vMerge w:val="restart"/>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信息科</w:t>
            </w:r>
          </w:p>
        </w:tc>
        <w:tc>
          <w:tcPr>
            <w:tcW w:w="3168" w:type="dxa"/>
            <w:vMerge w:val="restart"/>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上半年和全年分别评出累计分值</w:t>
            </w:r>
          </w:p>
        </w:tc>
      </w:tr>
      <w:tr>
        <w:tblPrEx>
          <w:tblCellMar>
            <w:top w:w="0" w:type="dxa"/>
            <w:left w:w="108" w:type="dxa"/>
            <w:bottom w:w="0" w:type="dxa"/>
            <w:right w:w="108" w:type="dxa"/>
          </w:tblCellMar>
        </w:tblPrEx>
        <w:trPr>
          <w:trHeight w:val="312" w:hRule="atLeast"/>
        </w:trPr>
        <w:tc>
          <w:tcPr>
            <w:tcW w:w="509" w:type="dxa"/>
            <w:vMerge w:val="continue"/>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889"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vMerge w:val="continue"/>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p>
        </w:tc>
        <w:tc>
          <w:tcPr>
            <w:tcW w:w="497"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5942"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304" w:type="dxa"/>
            <w:vMerge w:val="continue"/>
            <w:tcBorders>
              <w:top w:val="nil"/>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c>
          <w:tcPr>
            <w:tcW w:w="3168" w:type="dxa"/>
            <w:vMerge w:val="continue"/>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312" w:hRule="atLeast"/>
        </w:trPr>
        <w:tc>
          <w:tcPr>
            <w:tcW w:w="509" w:type="dxa"/>
            <w:vMerge w:val="continue"/>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889"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497" w:type="dxa"/>
            <w:vMerge w:val="continue"/>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5942" w:type="dxa"/>
            <w:vMerge w:val="continue"/>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p>
        </w:tc>
        <w:tc>
          <w:tcPr>
            <w:tcW w:w="1304" w:type="dxa"/>
            <w:vMerge w:val="continue"/>
            <w:tcBorders>
              <w:top w:val="nil"/>
              <w:left w:val="nil"/>
              <w:bottom w:val="single" w:color="000000" w:sz="8" w:space="0"/>
              <w:right w:val="single" w:color="000000" w:sz="8" w:space="0"/>
            </w:tcBorders>
            <w:shd w:val="clear" w:color="auto" w:fill="FFFFFF"/>
            <w:vAlign w:val="center"/>
          </w:tcPr>
          <w:p>
            <w:pPr>
              <w:overflowPunct w:val="0"/>
              <w:spacing w:line="280" w:lineRule="exact"/>
              <w:rPr>
                <w:rFonts w:hint="eastAsia"/>
                <w:color w:val="auto"/>
                <w:sz w:val="21"/>
                <w:szCs w:val="21"/>
                <w:highlight w:val="none"/>
                <w:u w:val="none"/>
                <w:lang w:val="en-US" w:eastAsia="zh-CN"/>
              </w:rPr>
            </w:pPr>
          </w:p>
        </w:tc>
        <w:tc>
          <w:tcPr>
            <w:tcW w:w="3168" w:type="dxa"/>
            <w:vMerge w:val="continue"/>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712" w:hRule="atLeast"/>
        </w:trPr>
        <w:tc>
          <w:tcPr>
            <w:tcW w:w="509" w:type="dxa"/>
            <w:vMerge w:val="restart"/>
            <w:tcBorders>
              <w:top w:val="nil"/>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14</w:t>
            </w:r>
          </w:p>
        </w:tc>
        <w:tc>
          <w:tcPr>
            <w:tcW w:w="889" w:type="dxa"/>
            <w:vMerge w:val="restart"/>
            <w:tcBorders>
              <w:top w:val="nil"/>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工作完成情况</w:t>
            </w: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医保电子凭证结算率</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94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医保电子凭证结算率达到考核要求得10分，每差1个百分点扣1分，扣完为止；</w:t>
            </w:r>
          </w:p>
        </w:tc>
        <w:tc>
          <w:tcPr>
            <w:tcW w:w="1304" w:type="dxa"/>
            <w:vMerge w:val="restart"/>
            <w:tcBorders>
              <w:top w:val="nil"/>
              <w:left w:val="nil"/>
              <w:right w:val="single" w:color="000000" w:sz="8" w:space="0"/>
            </w:tcBorders>
            <w:shd w:val="clear" w:color="auto" w:fill="FFFFFF"/>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相关处科室</w:t>
            </w:r>
          </w:p>
        </w:tc>
        <w:tc>
          <w:tcPr>
            <w:tcW w:w="3168" w:type="dxa"/>
            <w:vMerge w:val="restart"/>
            <w:tcBorders>
              <w:top w:val="single" w:color="000000" w:sz="8" w:space="0"/>
              <w:left w:val="nil"/>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上半年和全年分别评分；如果涉多个项目时，则累计计算扣分，扣完为止；</w:t>
            </w:r>
          </w:p>
        </w:tc>
      </w:tr>
      <w:tr>
        <w:tblPrEx>
          <w:tblCellMar>
            <w:top w:w="0" w:type="dxa"/>
            <w:left w:w="108" w:type="dxa"/>
            <w:bottom w:w="0" w:type="dxa"/>
            <w:right w:w="108" w:type="dxa"/>
          </w:tblCellMar>
        </w:tblPrEx>
        <w:trPr>
          <w:trHeight w:val="712" w:hRule="atLeast"/>
        </w:trPr>
        <w:tc>
          <w:tcPr>
            <w:tcW w:w="509" w:type="dxa"/>
            <w:vMerge w:val="continue"/>
            <w:tcBorders>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889" w:type="dxa"/>
            <w:vMerge w:val="continue"/>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非标率</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94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非标率达到考核要求得5分，未达到考核要求不得分；</w:t>
            </w:r>
          </w:p>
        </w:tc>
        <w:tc>
          <w:tcPr>
            <w:tcW w:w="1304" w:type="dxa"/>
            <w:vMerge w:val="continue"/>
            <w:tcBorders>
              <w:left w:val="nil"/>
              <w:right w:val="single" w:color="000000" w:sz="8" w:space="0"/>
            </w:tcBorders>
            <w:shd w:val="clear" w:color="auto" w:fill="FFFFFF"/>
            <w:vAlign w:val="center"/>
          </w:tcPr>
          <w:p>
            <w:pPr>
              <w:overflowPunct w:val="0"/>
              <w:spacing w:line="280" w:lineRule="exact"/>
              <w:rPr>
                <w:rFonts w:hint="eastAsia"/>
                <w:color w:val="auto"/>
                <w:sz w:val="21"/>
                <w:szCs w:val="21"/>
                <w:highlight w:val="none"/>
                <w:u w:val="none"/>
                <w:lang w:val="en-US" w:eastAsia="zh-CN"/>
              </w:rPr>
            </w:pPr>
          </w:p>
        </w:tc>
        <w:tc>
          <w:tcPr>
            <w:tcW w:w="3168" w:type="dxa"/>
            <w:vMerge w:val="continue"/>
            <w:tcBorders>
              <w:left w:val="nil"/>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712" w:hRule="atLeast"/>
        </w:trPr>
        <w:tc>
          <w:tcPr>
            <w:tcW w:w="509" w:type="dxa"/>
            <w:vMerge w:val="continue"/>
            <w:tcBorders>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889" w:type="dxa"/>
            <w:vMerge w:val="continue"/>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其他重点工作</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15</w:t>
            </w:r>
          </w:p>
        </w:tc>
        <w:tc>
          <w:tcPr>
            <w:tcW w:w="594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根据国家、省市考核要求按时保质保量完成得10分，未达到考核要求按相关规定扣分；</w:t>
            </w:r>
          </w:p>
        </w:tc>
        <w:tc>
          <w:tcPr>
            <w:tcW w:w="1304" w:type="dxa"/>
            <w:vMerge w:val="continue"/>
            <w:tcBorders>
              <w:left w:val="nil"/>
              <w:right w:val="single" w:color="000000" w:sz="8" w:space="0"/>
            </w:tcBorders>
            <w:shd w:val="clear" w:color="auto" w:fill="FFFFFF"/>
            <w:vAlign w:val="center"/>
          </w:tcPr>
          <w:p>
            <w:pPr>
              <w:overflowPunct w:val="0"/>
              <w:spacing w:line="280" w:lineRule="exact"/>
              <w:rPr>
                <w:rFonts w:hint="eastAsia"/>
                <w:color w:val="auto"/>
                <w:sz w:val="21"/>
                <w:szCs w:val="21"/>
                <w:highlight w:val="none"/>
                <w:u w:val="none"/>
                <w:lang w:val="en-US" w:eastAsia="zh-CN"/>
              </w:rPr>
            </w:pPr>
          </w:p>
        </w:tc>
        <w:tc>
          <w:tcPr>
            <w:tcW w:w="3168" w:type="dxa"/>
            <w:vMerge w:val="continue"/>
            <w:tcBorders>
              <w:left w:val="nil"/>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712" w:hRule="atLeast"/>
        </w:trPr>
        <w:tc>
          <w:tcPr>
            <w:tcW w:w="509" w:type="dxa"/>
            <w:vMerge w:val="continue"/>
            <w:tcBorders>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889" w:type="dxa"/>
            <w:vMerge w:val="continue"/>
            <w:tcBorders>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日常工作</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94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日常工作如对账、实时刷卡、医保政策掌握等情况，每出现一次对账不及时或错误、应刷未刷、政策掌握不及时导致投诉信访等情况的扣1分，扣完为止；</w:t>
            </w:r>
          </w:p>
        </w:tc>
        <w:tc>
          <w:tcPr>
            <w:tcW w:w="1304" w:type="dxa"/>
            <w:vMerge w:val="continue"/>
            <w:tcBorders>
              <w:left w:val="nil"/>
              <w:bottom w:val="single" w:color="000000" w:sz="8" w:space="0"/>
              <w:right w:val="single" w:color="000000" w:sz="8" w:space="0"/>
            </w:tcBorders>
            <w:shd w:val="clear" w:color="auto" w:fill="FFFFFF"/>
            <w:vAlign w:val="center"/>
          </w:tcPr>
          <w:p>
            <w:pPr>
              <w:overflowPunct w:val="0"/>
              <w:spacing w:line="280" w:lineRule="exact"/>
              <w:rPr>
                <w:rFonts w:hint="eastAsia"/>
                <w:color w:val="auto"/>
                <w:sz w:val="21"/>
                <w:szCs w:val="21"/>
                <w:highlight w:val="none"/>
                <w:u w:val="none"/>
                <w:lang w:val="en-US" w:eastAsia="zh-CN"/>
              </w:rPr>
            </w:pPr>
          </w:p>
        </w:tc>
        <w:tc>
          <w:tcPr>
            <w:tcW w:w="3168" w:type="dxa"/>
            <w:vMerge w:val="continue"/>
            <w:tcBorders>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712" w:hRule="atLeast"/>
        </w:trPr>
        <w:tc>
          <w:tcPr>
            <w:tcW w:w="509"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15</w:t>
            </w:r>
          </w:p>
        </w:tc>
        <w:tc>
          <w:tcPr>
            <w:tcW w:w="889"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满意度</w:t>
            </w:r>
          </w:p>
        </w:tc>
        <w:tc>
          <w:tcPr>
            <w:tcW w:w="1465"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参保人员</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满意度</w:t>
            </w:r>
          </w:p>
        </w:tc>
        <w:tc>
          <w:tcPr>
            <w:tcW w:w="49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94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按照信访、投诉、举报次数扣分，查实的每项扣1分，扣完为止，如情节严重直接扣完；</w:t>
            </w:r>
          </w:p>
        </w:tc>
        <w:tc>
          <w:tcPr>
            <w:tcW w:w="1304" w:type="dxa"/>
            <w:tcBorders>
              <w:top w:val="nil"/>
              <w:left w:val="nil"/>
              <w:bottom w:val="single" w:color="000000" w:sz="8" w:space="0"/>
              <w:right w:val="single" w:color="000000" w:sz="8" w:space="0"/>
            </w:tcBorders>
            <w:shd w:val="clear" w:color="auto" w:fill="FFFFFF"/>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改发处</w:t>
            </w:r>
          </w:p>
        </w:tc>
        <w:tc>
          <w:tcPr>
            <w:tcW w:w="3168"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通过电话回访、信访投诉件等</w:t>
            </w:r>
          </w:p>
        </w:tc>
      </w:tr>
      <w:bookmarkEnd w:id="3"/>
    </w:tbl>
    <w:p>
      <w:pPr>
        <w:spacing w:line="600" w:lineRule="exact"/>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 xml:space="preserve">表4 </w:t>
      </w:r>
    </w:p>
    <w:p>
      <w:pPr>
        <w:spacing w:line="600" w:lineRule="exact"/>
        <w:jc w:val="center"/>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衢州市门诊类定点医疗机构绩效考核标准</w:t>
      </w:r>
    </w:p>
    <w:tbl>
      <w:tblPr>
        <w:tblStyle w:val="13"/>
        <w:tblpPr w:leftFromText="180" w:rightFromText="180" w:vertAnchor="text" w:horzAnchor="page" w:tblpX="1507" w:tblpY="614"/>
        <w:tblOverlap w:val="never"/>
        <w:tblW w:w="14081" w:type="dxa"/>
        <w:tblInd w:w="0" w:type="dxa"/>
        <w:tblLayout w:type="fixed"/>
        <w:tblCellMar>
          <w:top w:w="0" w:type="dxa"/>
          <w:left w:w="108" w:type="dxa"/>
          <w:bottom w:w="0" w:type="dxa"/>
          <w:right w:w="108" w:type="dxa"/>
        </w:tblCellMar>
      </w:tblPr>
      <w:tblGrid>
        <w:gridCol w:w="511"/>
        <w:gridCol w:w="1730"/>
        <w:gridCol w:w="1922"/>
        <w:gridCol w:w="567"/>
        <w:gridCol w:w="5210"/>
        <w:gridCol w:w="1462"/>
        <w:gridCol w:w="2679"/>
      </w:tblGrid>
      <w:tr>
        <w:tblPrEx>
          <w:tblCellMar>
            <w:top w:w="0" w:type="dxa"/>
            <w:left w:w="108" w:type="dxa"/>
            <w:bottom w:w="0" w:type="dxa"/>
            <w:right w:w="108" w:type="dxa"/>
          </w:tblCellMar>
        </w:tblPrEx>
        <w:trPr>
          <w:trHeight w:val="600" w:hRule="atLeast"/>
          <w:tblHeader/>
        </w:trPr>
        <w:tc>
          <w:tcPr>
            <w:tcW w:w="511" w:type="dxa"/>
            <w:tcBorders>
              <w:top w:val="single" w:color="000000" w:sz="8" w:space="0"/>
              <w:left w:val="single" w:color="000000" w:sz="8" w:space="0"/>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序号</w:t>
            </w:r>
          </w:p>
        </w:tc>
        <w:tc>
          <w:tcPr>
            <w:tcW w:w="1730"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评价项目</w:t>
            </w:r>
          </w:p>
        </w:tc>
        <w:tc>
          <w:tcPr>
            <w:tcW w:w="1922"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评价内容</w:t>
            </w:r>
          </w:p>
        </w:tc>
        <w:tc>
          <w:tcPr>
            <w:tcW w:w="567"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分值</w:t>
            </w:r>
          </w:p>
        </w:tc>
        <w:tc>
          <w:tcPr>
            <w:tcW w:w="5210"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评分标准</w:t>
            </w:r>
          </w:p>
        </w:tc>
        <w:tc>
          <w:tcPr>
            <w:tcW w:w="1462"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数据来源</w:t>
            </w:r>
          </w:p>
        </w:tc>
        <w:tc>
          <w:tcPr>
            <w:tcW w:w="2679"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 xml:space="preserve">    季度考核说明</w:t>
            </w:r>
          </w:p>
        </w:tc>
      </w:tr>
      <w:tr>
        <w:tblPrEx>
          <w:tblCellMar>
            <w:top w:w="0" w:type="dxa"/>
            <w:left w:w="108" w:type="dxa"/>
            <w:bottom w:w="0" w:type="dxa"/>
            <w:right w:w="108" w:type="dxa"/>
          </w:tblCellMar>
        </w:tblPrEx>
        <w:trPr>
          <w:trHeight w:val="540" w:hRule="atLeast"/>
        </w:trPr>
        <w:tc>
          <w:tcPr>
            <w:tcW w:w="511"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w:t>
            </w:r>
          </w:p>
        </w:tc>
        <w:tc>
          <w:tcPr>
            <w:tcW w:w="1730"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日常违规扣分</w:t>
            </w:r>
          </w:p>
        </w:tc>
        <w:tc>
          <w:tcPr>
            <w:tcW w:w="192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日常稽核违规查处案件情况</w:t>
            </w:r>
          </w:p>
        </w:tc>
        <w:tc>
          <w:tcPr>
            <w:tcW w:w="56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5210"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以当年度诚信记分分值计入考核；</w:t>
            </w:r>
          </w:p>
        </w:tc>
        <w:tc>
          <w:tcPr>
            <w:tcW w:w="146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稽核科</w:t>
            </w:r>
          </w:p>
        </w:tc>
        <w:tc>
          <w:tcPr>
            <w:tcW w:w="2679"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上半年和全年分别评出累计分值</w:t>
            </w:r>
          </w:p>
        </w:tc>
      </w:tr>
      <w:tr>
        <w:tblPrEx>
          <w:tblCellMar>
            <w:top w:w="0" w:type="dxa"/>
            <w:left w:w="108" w:type="dxa"/>
            <w:bottom w:w="0" w:type="dxa"/>
            <w:right w:w="108" w:type="dxa"/>
          </w:tblCellMar>
        </w:tblPrEx>
        <w:trPr>
          <w:trHeight w:val="680" w:hRule="atLeast"/>
        </w:trPr>
        <w:tc>
          <w:tcPr>
            <w:tcW w:w="511"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1730"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进销存</w:t>
            </w:r>
          </w:p>
        </w:tc>
        <w:tc>
          <w:tcPr>
            <w:tcW w:w="1922" w:type="dxa"/>
            <w:tcBorders>
              <w:top w:val="nil"/>
              <w:left w:val="nil"/>
              <w:bottom w:val="single" w:color="000000" w:sz="8" w:space="0"/>
              <w:right w:val="single" w:color="000000" w:sz="8" w:space="0"/>
            </w:tcBorders>
            <w:shd w:val="clear" w:color="auto" w:fill="auto"/>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药械进销存管理</w:t>
            </w:r>
          </w:p>
        </w:tc>
        <w:tc>
          <w:tcPr>
            <w:tcW w:w="56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进销存须符合相关规定，一个品种不符扣1分，同时进销存差额数量占存量差额每增加1个百分点，加扣0.2分，</w:t>
            </w:r>
            <w:r>
              <w:rPr>
                <w:rFonts w:hint="default"/>
                <w:color w:val="auto"/>
                <w:sz w:val="21"/>
                <w:szCs w:val="21"/>
                <w:highlight w:val="none"/>
                <w:u w:val="none"/>
                <w:lang w:val="en-US" w:eastAsia="zh-CN"/>
              </w:rPr>
              <w:t>扣完为止；</w:t>
            </w:r>
          </w:p>
        </w:tc>
        <w:tc>
          <w:tcPr>
            <w:tcW w:w="1462"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稽核科</w:t>
            </w:r>
          </w:p>
        </w:tc>
        <w:tc>
          <w:tcPr>
            <w:tcW w:w="2679" w:type="dxa"/>
            <w:tcBorders>
              <w:top w:val="single" w:color="000000" w:sz="8" w:space="0"/>
              <w:left w:val="nil"/>
              <w:bottom w:val="single" w:color="000000" w:sz="8"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600" w:hRule="atLeast"/>
        </w:trPr>
        <w:tc>
          <w:tcPr>
            <w:tcW w:w="511" w:type="dxa"/>
            <w:tcBorders>
              <w:top w:val="nil"/>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1730" w:type="dxa"/>
            <w:tcBorders>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监控</w:t>
            </w:r>
          </w:p>
        </w:tc>
        <w:tc>
          <w:tcPr>
            <w:tcW w:w="192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人脸识别成功率</w:t>
            </w:r>
          </w:p>
        </w:tc>
        <w:tc>
          <w:tcPr>
            <w:tcW w:w="56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8</w:t>
            </w:r>
          </w:p>
        </w:tc>
        <w:tc>
          <w:tcPr>
            <w:tcW w:w="5210"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识别成功率不低于80</w:t>
            </w:r>
            <w:r>
              <w:rPr>
                <w:rFonts w:hint="default"/>
                <w:color w:val="auto"/>
                <w:sz w:val="21"/>
                <w:szCs w:val="21"/>
                <w:highlight w:val="none"/>
                <w:u w:val="none"/>
                <w:lang w:val="en-US" w:eastAsia="zh-CN"/>
              </w:rPr>
              <w:t>%，每降低1个百分点扣0.2分，扣完为止；</w:t>
            </w:r>
          </w:p>
        </w:tc>
        <w:tc>
          <w:tcPr>
            <w:tcW w:w="146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稽核科</w:t>
            </w:r>
          </w:p>
        </w:tc>
        <w:tc>
          <w:tcPr>
            <w:tcW w:w="2679" w:type="dxa"/>
            <w:tcBorders>
              <w:top w:val="single" w:color="000000" w:sz="8" w:space="0"/>
              <w:left w:val="nil"/>
              <w:bottom w:val="single" w:color="auto" w:sz="4"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600" w:hRule="atLeast"/>
        </w:trPr>
        <w:tc>
          <w:tcPr>
            <w:tcW w:w="511" w:type="dxa"/>
            <w:vMerge w:val="restart"/>
            <w:tcBorders>
              <w:top w:val="nil"/>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1730" w:type="dxa"/>
            <w:vMerge w:val="restart"/>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工作完成情况</w:t>
            </w:r>
          </w:p>
        </w:tc>
        <w:tc>
          <w:tcPr>
            <w:tcW w:w="192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医保电子凭证结算率</w:t>
            </w:r>
          </w:p>
        </w:tc>
        <w:tc>
          <w:tcPr>
            <w:tcW w:w="56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210"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医保电子凭证结算率达到考核要求得10分，每差1个百分点扣1分，扣完为止；</w:t>
            </w:r>
          </w:p>
        </w:tc>
        <w:tc>
          <w:tcPr>
            <w:tcW w:w="1462" w:type="dxa"/>
            <w:vMerge w:val="restart"/>
            <w:tcBorders>
              <w:top w:val="nil"/>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相关处科室</w:t>
            </w:r>
          </w:p>
        </w:tc>
        <w:tc>
          <w:tcPr>
            <w:tcW w:w="2679" w:type="dxa"/>
            <w:vMerge w:val="restart"/>
            <w:tcBorders>
              <w:top w:val="single" w:color="000000" w:sz="8" w:space="0"/>
              <w:left w:val="nil"/>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上半年和全年分别评分；如果涉多个项目时，则累计计算扣分，扣完为止；</w:t>
            </w:r>
          </w:p>
        </w:tc>
      </w:tr>
      <w:tr>
        <w:tblPrEx>
          <w:tblCellMar>
            <w:top w:w="0" w:type="dxa"/>
            <w:left w:w="108" w:type="dxa"/>
            <w:bottom w:w="0" w:type="dxa"/>
            <w:right w:w="108" w:type="dxa"/>
          </w:tblCellMar>
        </w:tblPrEx>
        <w:trPr>
          <w:trHeight w:val="600" w:hRule="atLeast"/>
        </w:trPr>
        <w:tc>
          <w:tcPr>
            <w:tcW w:w="511" w:type="dxa"/>
            <w:vMerge w:val="continue"/>
            <w:tcBorders>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1730" w:type="dxa"/>
            <w:vMerge w:val="continue"/>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非标率</w:t>
            </w:r>
          </w:p>
        </w:tc>
        <w:tc>
          <w:tcPr>
            <w:tcW w:w="56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非标率达到考核要求得5分，未达到考核要求不得分；</w:t>
            </w:r>
          </w:p>
        </w:tc>
        <w:tc>
          <w:tcPr>
            <w:tcW w:w="1462" w:type="dxa"/>
            <w:vMerge w:val="continue"/>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2679" w:type="dxa"/>
            <w:vMerge w:val="continue"/>
            <w:tcBorders>
              <w:left w:val="nil"/>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600" w:hRule="atLeast"/>
        </w:trPr>
        <w:tc>
          <w:tcPr>
            <w:tcW w:w="511" w:type="dxa"/>
            <w:vMerge w:val="continue"/>
            <w:tcBorders>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1730" w:type="dxa"/>
            <w:vMerge w:val="continue"/>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其它重点工作</w:t>
            </w:r>
          </w:p>
        </w:tc>
        <w:tc>
          <w:tcPr>
            <w:tcW w:w="56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210"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根据国家、省市考核要求按时保质保量完成得10分，未达到考核要求按相关规定扣分；</w:t>
            </w:r>
          </w:p>
        </w:tc>
        <w:tc>
          <w:tcPr>
            <w:tcW w:w="1462" w:type="dxa"/>
            <w:vMerge w:val="continue"/>
            <w:tcBorders>
              <w:left w:val="nil"/>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2679" w:type="dxa"/>
            <w:vMerge w:val="continue"/>
            <w:tcBorders>
              <w:left w:val="nil"/>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600" w:hRule="atLeast"/>
        </w:trPr>
        <w:tc>
          <w:tcPr>
            <w:tcW w:w="511" w:type="dxa"/>
            <w:vMerge w:val="continue"/>
            <w:tcBorders>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1730" w:type="dxa"/>
            <w:vMerge w:val="continue"/>
            <w:tcBorders>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日常工作</w:t>
            </w:r>
          </w:p>
        </w:tc>
        <w:tc>
          <w:tcPr>
            <w:tcW w:w="56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210"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日常工作如对账、实时刷卡、医保政策掌握等情况，每出现一次对账不及时或错误、应刷未刷、政策掌握不及时导致投诉信访等情况的扣1分，扣完为止；</w:t>
            </w:r>
          </w:p>
        </w:tc>
        <w:tc>
          <w:tcPr>
            <w:tcW w:w="1462" w:type="dxa"/>
            <w:vMerge w:val="continue"/>
            <w:tcBorders>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p>
        </w:tc>
        <w:tc>
          <w:tcPr>
            <w:tcW w:w="2679" w:type="dxa"/>
            <w:vMerge w:val="continue"/>
            <w:tcBorders>
              <w:left w:val="nil"/>
              <w:bottom w:val="single" w:color="auto" w:sz="4"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p>
        </w:tc>
      </w:tr>
      <w:tr>
        <w:tblPrEx>
          <w:tblCellMar>
            <w:top w:w="0" w:type="dxa"/>
            <w:left w:w="108" w:type="dxa"/>
            <w:bottom w:w="0" w:type="dxa"/>
            <w:right w:w="108" w:type="dxa"/>
          </w:tblCellMar>
        </w:tblPrEx>
        <w:trPr>
          <w:trHeight w:val="600" w:hRule="atLeast"/>
        </w:trPr>
        <w:tc>
          <w:tcPr>
            <w:tcW w:w="511" w:type="dxa"/>
            <w:tcBorders>
              <w:top w:val="nil"/>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1730" w:type="dxa"/>
            <w:tcBorders>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行政处罚</w:t>
            </w:r>
          </w:p>
        </w:tc>
        <w:tc>
          <w:tcPr>
            <w:tcW w:w="192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行政处罚次数</w:t>
            </w:r>
          </w:p>
        </w:tc>
        <w:tc>
          <w:tcPr>
            <w:tcW w:w="56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行政部门作出的与医疗行为相关的行政处罚次数，每一起行政处罚扣1分，扣完为止；</w:t>
            </w:r>
          </w:p>
        </w:tc>
        <w:tc>
          <w:tcPr>
            <w:tcW w:w="1462" w:type="dxa"/>
            <w:tcBorders>
              <w:top w:val="nil"/>
              <w:left w:val="nil"/>
              <w:bottom w:val="single" w:color="auto" w:sz="4" w:space="0"/>
              <w:right w:val="single" w:color="000000" w:sz="8" w:space="0"/>
            </w:tcBorders>
            <w:shd w:val="clear" w:color="auto" w:fill="auto"/>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部门函询</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信息公开</w:t>
            </w:r>
          </w:p>
        </w:tc>
        <w:tc>
          <w:tcPr>
            <w:tcW w:w="2679" w:type="dxa"/>
            <w:tcBorders>
              <w:top w:val="single" w:color="000000" w:sz="8" w:space="0"/>
              <w:left w:val="nil"/>
              <w:bottom w:val="single" w:color="auto" w:sz="4" w:space="0"/>
              <w:right w:val="single" w:color="000000" w:sz="8" w:space="0"/>
            </w:tcBorders>
            <w:shd w:val="clear" w:color="auto" w:fill="FFFFFF"/>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上半年和全年分别评出累计分值</w:t>
            </w:r>
          </w:p>
        </w:tc>
      </w:tr>
      <w:tr>
        <w:tblPrEx>
          <w:tblCellMar>
            <w:top w:w="0" w:type="dxa"/>
            <w:left w:w="108" w:type="dxa"/>
            <w:bottom w:w="0" w:type="dxa"/>
            <w:right w:w="108" w:type="dxa"/>
          </w:tblCellMar>
        </w:tblPrEx>
        <w:trPr>
          <w:trHeight w:val="480" w:hRule="atLeast"/>
        </w:trPr>
        <w:tc>
          <w:tcPr>
            <w:tcW w:w="511" w:type="dxa"/>
            <w:tcBorders>
              <w:top w:val="nil"/>
              <w:left w:val="single" w:color="000000" w:sz="8" w:space="0"/>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1730" w:type="dxa"/>
            <w:tcBorders>
              <w:top w:val="single" w:color="000000" w:sz="8" w:space="0"/>
              <w:left w:val="nil"/>
              <w:bottom w:val="single" w:color="auto" w:sz="4"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满意度</w:t>
            </w:r>
          </w:p>
        </w:tc>
        <w:tc>
          <w:tcPr>
            <w:tcW w:w="1922" w:type="dxa"/>
            <w:tcBorders>
              <w:top w:val="nil"/>
              <w:left w:val="nil"/>
              <w:bottom w:val="single" w:color="auto" w:sz="4"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参保人员满意度</w:t>
            </w:r>
          </w:p>
        </w:tc>
        <w:tc>
          <w:tcPr>
            <w:tcW w:w="567" w:type="dxa"/>
            <w:tcBorders>
              <w:top w:val="nil"/>
              <w:left w:val="nil"/>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210" w:type="dxa"/>
            <w:tcBorders>
              <w:top w:val="nil"/>
              <w:left w:val="nil"/>
              <w:bottom w:val="single" w:color="auto" w:sz="4"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按照信访、投诉、举报次数扣分，查实的每项扣1分，扣完为止，如情节严重直接扣完；</w:t>
            </w:r>
          </w:p>
        </w:tc>
        <w:tc>
          <w:tcPr>
            <w:tcW w:w="1462" w:type="dxa"/>
            <w:tcBorders>
              <w:top w:val="single" w:color="000000" w:sz="8" w:space="0"/>
              <w:left w:val="nil"/>
              <w:bottom w:val="single" w:color="auto" w:sz="4"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改发处</w:t>
            </w:r>
          </w:p>
        </w:tc>
        <w:tc>
          <w:tcPr>
            <w:tcW w:w="2679" w:type="dxa"/>
            <w:tcBorders>
              <w:top w:val="single" w:color="000000" w:sz="8" w:space="0"/>
              <w:left w:val="nil"/>
              <w:bottom w:val="single" w:color="auto" w:sz="4"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通过电话回访、信访投诉件等</w:t>
            </w:r>
          </w:p>
        </w:tc>
      </w:tr>
      <w:tr>
        <w:tblPrEx>
          <w:tblCellMar>
            <w:top w:w="0" w:type="dxa"/>
            <w:left w:w="108" w:type="dxa"/>
            <w:bottom w:w="0" w:type="dxa"/>
            <w:right w:w="108" w:type="dxa"/>
          </w:tblCellMar>
        </w:tblPrEx>
        <w:trPr>
          <w:trHeight w:val="480" w:hRule="atLeast"/>
        </w:trPr>
        <w:tc>
          <w:tcPr>
            <w:tcW w:w="511" w:type="dxa"/>
            <w:tcBorders>
              <w:top w:val="single" w:color="auto" w:sz="4" w:space="0"/>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7</w:t>
            </w:r>
          </w:p>
        </w:tc>
        <w:tc>
          <w:tcPr>
            <w:tcW w:w="1730" w:type="dxa"/>
            <w:tcBorders>
              <w:top w:val="single" w:color="auto" w:sz="4"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药品招采</w:t>
            </w:r>
          </w:p>
        </w:tc>
        <w:tc>
          <w:tcPr>
            <w:tcW w:w="1922" w:type="dxa"/>
            <w:tcBorders>
              <w:top w:val="single" w:color="auto" w:sz="4" w:space="0"/>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药品招采率</w:t>
            </w:r>
          </w:p>
        </w:tc>
        <w:tc>
          <w:tcPr>
            <w:tcW w:w="567" w:type="dxa"/>
            <w:tcBorders>
              <w:top w:val="single" w:color="auto" w:sz="4" w:space="0"/>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210" w:type="dxa"/>
            <w:tcBorders>
              <w:top w:val="single" w:color="auto" w:sz="4"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定点医疗机构按规定通过省药械采购平台采购药品、医用耗材，并按规定及时结算货款，按时结清货款时间不超过交货验收合格后次月底(连锁或者规范化管理的可取上级机构数据）。民营机构有平台采购成功记录得2分，未采购不得分；</w:t>
            </w:r>
          </w:p>
        </w:tc>
        <w:tc>
          <w:tcPr>
            <w:tcW w:w="1462" w:type="dxa"/>
            <w:tcBorders>
              <w:top w:val="single" w:color="auto" w:sz="4"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招采中心</w:t>
            </w:r>
          </w:p>
        </w:tc>
        <w:tc>
          <w:tcPr>
            <w:tcW w:w="2679" w:type="dxa"/>
            <w:tcBorders>
              <w:top w:val="single" w:color="auto" w:sz="4"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8</w:t>
            </w:r>
          </w:p>
        </w:tc>
        <w:tc>
          <w:tcPr>
            <w:tcW w:w="1730" w:type="dxa"/>
            <w:vMerge w:val="restart"/>
            <w:tcBorders>
              <w:top w:val="single" w:color="000000" w:sz="8" w:space="0"/>
              <w:left w:val="nil"/>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医保服务覆盖面</w:t>
            </w:r>
          </w:p>
        </w:tc>
        <w:tc>
          <w:tcPr>
            <w:tcW w:w="1922" w:type="dxa"/>
            <w:tcBorders>
              <w:top w:val="nil"/>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结算人数</w:t>
            </w:r>
          </w:p>
        </w:tc>
        <w:tc>
          <w:tcPr>
            <w:tcW w:w="56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7</w:t>
            </w:r>
          </w:p>
        </w:tc>
        <w:tc>
          <w:tcPr>
            <w:tcW w:w="5210" w:type="dxa"/>
            <w:tcBorders>
              <w:top w:val="nil"/>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每季度结算人数排名为后50%根据排名进行扣分，每下降10%（不足10%的按照10%计）扣1分，扣完为止；</w:t>
            </w:r>
          </w:p>
        </w:tc>
        <w:tc>
          <w:tcPr>
            <w:tcW w:w="1462" w:type="dxa"/>
            <w:tcBorders>
              <w:top w:val="single" w:color="000000" w:sz="8"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系统取数</w:t>
            </w:r>
          </w:p>
        </w:tc>
        <w:tc>
          <w:tcPr>
            <w:tcW w:w="2679" w:type="dxa"/>
            <w:tcBorders>
              <w:top w:val="single" w:color="000000" w:sz="8"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9</w:t>
            </w:r>
          </w:p>
        </w:tc>
        <w:tc>
          <w:tcPr>
            <w:tcW w:w="1730" w:type="dxa"/>
            <w:vMerge w:val="continue"/>
            <w:tcBorders>
              <w:left w:val="nil"/>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人头人次比</w:t>
            </w:r>
          </w:p>
        </w:tc>
        <w:tc>
          <w:tcPr>
            <w:tcW w:w="56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每季度结算人头人次比排名后50%，根据排名进行扣分，每下降10%（不足10%的按照10%计）扣1分，扣完为止；</w:t>
            </w:r>
          </w:p>
        </w:tc>
        <w:tc>
          <w:tcPr>
            <w:tcW w:w="1462" w:type="dxa"/>
            <w:tcBorders>
              <w:top w:val="single" w:color="000000" w:sz="8"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系统取数</w:t>
            </w:r>
          </w:p>
        </w:tc>
        <w:tc>
          <w:tcPr>
            <w:tcW w:w="2679" w:type="dxa"/>
            <w:tcBorders>
              <w:top w:val="single" w:color="000000" w:sz="8"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1730" w:type="dxa"/>
            <w:vMerge w:val="continue"/>
            <w:tcBorders>
              <w:left w:val="nil"/>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次均费用</w:t>
            </w:r>
          </w:p>
        </w:tc>
        <w:tc>
          <w:tcPr>
            <w:tcW w:w="56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default"/>
                <w:color w:val="auto"/>
                <w:sz w:val="21"/>
                <w:szCs w:val="21"/>
                <w:highlight w:val="none"/>
                <w:u w:val="none"/>
                <w:lang w:val="en-US" w:eastAsia="zh-CN"/>
              </w:rPr>
              <w:t>每超全市平均水平3个百分点（不足三个按照3个计），扣1分，扣完为止；</w:t>
            </w:r>
          </w:p>
        </w:tc>
        <w:tc>
          <w:tcPr>
            <w:tcW w:w="1462" w:type="dxa"/>
            <w:tcBorders>
              <w:top w:val="single" w:color="000000" w:sz="8"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系统取数</w:t>
            </w:r>
          </w:p>
        </w:tc>
        <w:tc>
          <w:tcPr>
            <w:tcW w:w="2679" w:type="dxa"/>
            <w:tcBorders>
              <w:top w:val="single" w:color="000000" w:sz="8"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1730" w:type="dxa"/>
            <w:vMerge w:val="continue"/>
            <w:tcBorders>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人均费用</w:t>
            </w:r>
          </w:p>
        </w:tc>
        <w:tc>
          <w:tcPr>
            <w:tcW w:w="56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人均费用高于平均人均费用，</w:t>
            </w:r>
            <w:r>
              <w:rPr>
                <w:rFonts w:hint="default"/>
                <w:color w:val="auto"/>
                <w:sz w:val="21"/>
                <w:szCs w:val="21"/>
                <w:highlight w:val="none"/>
                <w:u w:val="none"/>
                <w:lang w:val="en-US" w:eastAsia="zh-CN"/>
              </w:rPr>
              <w:t>每超出1百分点（不足1个百分点按照1个百分点计）扣1分，扣完为止；</w:t>
            </w:r>
          </w:p>
        </w:tc>
        <w:tc>
          <w:tcPr>
            <w:tcW w:w="1462" w:type="dxa"/>
            <w:tcBorders>
              <w:top w:val="single" w:color="000000" w:sz="8"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系统取数</w:t>
            </w:r>
          </w:p>
        </w:tc>
        <w:tc>
          <w:tcPr>
            <w:tcW w:w="2679" w:type="dxa"/>
            <w:tcBorders>
              <w:top w:val="single" w:color="000000" w:sz="8"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1730" w:type="dxa"/>
            <w:vMerge w:val="restart"/>
            <w:tcBorders>
              <w:top w:val="single" w:color="000000" w:sz="8" w:space="0"/>
              <w:left w:val="nil"/>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医保服务能力</w:t>
            </w:r>
          </w:p>
        </w:tc>
        <w:tc>
          <w:tcPr>
            <w:tcW w:w="1922" w:type="dxa"/>
            <w:tcBorders>
              <w:top w:val="nil"/>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纳入医保统筹费用与总费用比</w:t>
            </w:r>
          </w:p>
        </w:tc>
        <w:tc>
          <w:tcPr>
            <w:tcW w:w="56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210" w:type="dxa"/>
            <w:tcBorders>
              <w:top w:val="nil"/>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统筹费用占总费用比从大到小排名，排名后50%的进行扣分，每下降10%（不足10%的按照10%计）扣1分，扣完为止；</w:t>
            </w:r>
          </w:p>
        </w:tc>
        <w:tc>
          <w:tcPr>
            <w:tcW w:w="1462" w:type="dxa"/>
            <w:tcBorders>
              <w:top w:val="single" w:color="000000" w:sz="8"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系统取数</w:t>
            </w:r>
          </w:p>
        </w:tc>
        <w:tc>
          <w:tcPr>
            <w:tcW w:w="2679" w:type="dxa"/>
            <w:tcBorders>
              <w:top w:val="single" w:color="000000" w:sz="8"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13</w:t>
            </w:r>
          </w:p>
        </w:tc>
        <w:tc>
          <w:tcPr>
            <w:tcW w:w="1730" w:type="dxa"/>
            <w:vMerge w:val="continue"/>
            <w:tcBorders>
              <w:left w:val="nil"/>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000000" w:sz="8"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诊疗科目</w:t>
            </w:r>
          </w:p>
        </w:tc>
        <w:tc>
          <w:tcPr>
            <w:tcW w:w="56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210" w:type="dxa"/>
            <w:tcBorders>
              <w:top w:val="nil"/>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与上期相比，增加科目得2分，无变化得1分，减少科目不得分；</w:t>
            </w:r>
          </w:p>
        </w:tc>
        <w:tc>
          <w:tcPr>
            <w:tcW w:w="1462" w:type="dxa"/>
            <w:tcBorders>
              <w:top w:val="single" w:color="000000" w:sz="8" w:space="0"/>
              <w:left w:val="nil"/>
              <w:bottom w:val="single" w:color="000000" w:sz="8"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变更登记</w:t>
            </w:r>
          </w:p>
        </w:tc>
        <w:tc>
          <w:tcPr>
            <w:tcW w:w="2679" w:type="dxa"/>
            <w:tcBorders>
              <w:top w:val="single" w:color="000000" w:sz="8" w:space="0"/>
              <w:left w:val="nil"/>
              <w:bottom w:val="single" w:color="000000" w:sz="8"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r>
        <w:tblPrEx>
          <w:tblCellMar>
            <w:top w:w="0" w:type="dxa"/>
            <w:left w:w="108" w:type="dxa"/>
            <w:bottom w:w="0" w:type="dxa"/>
            <w:right w:w="108" w:type="dxa"/>
          </w:tblCellMar>
        </w:tblPrEx>
        <w:trPr>
          <w:trHeight w:val="900" w:hRule="atLeast"/>
        </w:trPr>
        <w:tc>
          <w:tcPr>
            <w:tcW w:w="511" w:type="dxa"/>
            <w:tcBorders>
              <w:top w:val="nil"/>
              <w:left w:val="single" w:color="auto" w:sz="4" w:space="0"/>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14</w:t>
            </w:r>
          </w:p>
        </w:tc>
        <w:tc>
          <w:tcPr>
            <w:tcW w:w="1730" w:type="dxa"/>
            <w:vMerge w:val="continue"/>
            <w:tcBorders>
              <w:left w:val="nil"/>
              <w:bottom w:val="single" w:color="auto" w:sz="4" w:space="0"/>
              <w:right w:val="single" w:color="000000" w:sz="8" w:space="0"/>
            </w:tcBorders>
            <w:noWrap/>
            <w:vAlign w:val="center"/>
          </w:tcPr>
          <w:p>
            <w:pPr>
              <w:overflowPunct w:val="0"/>
              <w:spacing w:line="280" w:lineRule="exact"/>
              <w:rPr>
                <w:rFonts w:hint="eastAsia"/>
                <w:color w:val="auto"/>
                <w:sz w:val="21"/>
                <w:szCs w:val="21"/>
                <w:highlight w:val="none"/>
                <w:u w:val="none"/>
                <w:lang w:val="en-US" w:eastAsia="zh-CN"/>
              </w:rPr>
            </w:pPr>
          </w:p>
        </w:tc>
        <w:tc>
          <w:tcPr>
            <w:tcW w:w="1922" w:type="dxa"/>
            <w:tcBorders>
              <w:top w:val="nil"/>
              <w:left w:val="nil"/>
              <w:bottom w:val="single" w:color="auto" w:sz="4"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医保医师人数</w:t>
            </w:r>
          </w:p>
        </w:tc>
        <w:tc>
          <w:tcPr>
            <w:tcW w:w="567" w:type="dxa"/>
            <w:tcBorders>
              <w:top w:val="nil"/>
              <w:left w:val="nil"/>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210" w:type="dxa"/>
            <w:tcBorders>
              <w:top w:val="nil"/>
              <w:left w:val="nil"/>
              <w:bottom w:val="single" w:color="auto" w:sz="4"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与上期相比，增加医保医师得2分，无变化得1分，减少医保医师不得分；</w:t>
            </w:r>
          </w:p>
        </w:tc>
        <w:tc>
          <w:tcPr>
            <w:tcW w:w="1462" w:type="dxa"/>
            <w:tcBorders>
              <w:top w:val="nil"/>
              <w:left w:val="nil"/>
              <w:bottom w:val="single" w:color="auto" w:sz="4" w:space="0"/>
              <w:right w:val="single" w:color="000000" w:sz="8" w:space="0"/>
            </w:tcBorders>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变更登记</w:t>
            </w:r>
          </w:p>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系统录入</w:t>
            </w:r>
          </w:p>
        </w:tc>
        <w:tc>
          <w:tcPr>
            <w:tcW w:w="2679" w:type="dxa"/>
            <w:tcBorders>
              <w:top w:val="single" w:color="000000" w:sz="8" w:space="0"/>
              <w:left w:val="nil"/>
              <w:bottom w:val="single" w:color="auto" w:sz="4" w:space="0"/>
              <w:right w:val="single" w:color="auto" w:sz="4" w:space="0"/>
            </w:tcBorders>
            <w:noWrap/>
            <w:vAlign w:val="center"/>
          </w:tcPr>
          <w:p>
            <w:pPr>
              <w:overflowPunct w:val="0"/>
              <w:spacing w:line="280" w:lineRule="exact"/>
              <w:rPr>
                <w:rFonts w:hint="eastAsia"/>
                <w:color w:val="auto"/>
                <w:sz w:val="21"/>
                <w:szCs w:val="21"/>
                <w:highlight w:val="none"/>
                <w:u w:val="none"/>
                <w:lang w:val="en-US" w:eastAsia="zh-CN"/>
              </w:rPr>
            </w:pPr>
            <w:r>
              <w:rPr>
                <w:rFonts w:hint="eastAsia"/>
                <w:color w:val="auto"/>
                <w:sz w:val="21"/>
                <w:szCs w:val="21"/>
                <w:highlight w:val="none"/>
                <w:u w:val="none"/>
                <w:lang w:val="en-US" w:eastAsia="zh-CN"/>
              </w:rPr>
              <w:t>上半年和全年分别评分</w:t>
            </w:r>
          </w:p>
        </w:tc>
      </w:tr>
    </w:tbl>
    <w:p>
      <w:pPr>
        <w:pStyle w:val="10"/>
        <w:rPr>
          <w:rFonts w:hint="default" w:eastAsia="宋体"/>
          <w:color w:val="auto"/>
          <w:highlight w:val="none"/>
        </w:rPr>
      </w:pPr>
    </w:p>
    <w:p>
      <w:pPr>
        <w:pStyle w:val="10"/>
        <w:rPr>
          <w:rFonts w:hint="default" w:eastAsia="宋体"/>
          <w:color w:val="auto"/>
          <w:highlight w:val="none"/>
        </w:rPr>
      </w:pPr>
    </w:p>
    <w:p>
      <w:pPr>
        <w:rPr>
          <w:rFonts w:hint="default" w:eastAsia="宋体"/>
          <w:color w:val="auto"/>
          <w:highlight w:val="none"/>
        </w:rPr>
      </w:pPr>
    </w:p>
    <w:p>
      <w:pPr>
        <w:pStyle w:val="10"/>
        <w:rPr>
          <w:rFonts w:hint="default" w:eastAsia="宋体"/>
          <w:color w:val="auto"/>
          <w:highlight w:val="none"/>
        </w:rPr>
      </w:pPr>
    </w:p>
    <w:p>
      <w:pPr>
        <w:rPr>
          <w:rFonts w:hint="default" w:eastAsia="宋体"/>
          <w:color w:val="auto"/>
          <w:highlight w:val="none"/>
        </w:rPr>
      </w:pPr>
    </w:p>
    <w:p>
      <w:pPr>
        <w:pStyle w:val="10"/>
        <w:rPr>
          <w:rFonts w:hint="default"/>
        </w:rPr>
      </w:pPr>
    </w:p>
    <w:p>
      <w:pPr>
        <w:spacing w:line="600" w:lineRule="exact"/>
        <w:rPr>
          <w:rFonts w:hint="default"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表5</w:t>
      </w:r>
    </w:p>
    <w:p>
      <w:pPr>
        <w:spacing w:line="600" w:lineRule="exact"/>
        <w:jc w:val="center"/>
        <w:rPr>
          <w:rFonts w:ascii="仿宋_GB2312" w:hAnsi="仿宋_GB2312" w:cs="仿宋_GB2312"/>
          <w:b/>
          <w:color w:val="auto"/>
          <w:sz w:val="30"/>
          <w:szCs w:val="30"/>
          <w:highlight w:val="none"/>
        </w:rPr>
      </w:pPr>
      <w:r>
        <w:rPr>
          <w:rFonts w:hint="eastAsia" w:ascii="仿宋_GB2312" w:hAnsi="仿宋_GB2312" w:cs="仿宋_GB2312"/>
          <w:b/>
          <w:color w:val="auto"/>
          <w:sz w:val="30"/>
          <w:szCs w:val="30"/>
          <w:highlight w:val="none"/>
        </w:rPr>
        <w:t>衢州市定点零售药店绩效考核标准</w:t>
      </w:r>
    </w:p>
    <w:tbl>
      <w:tblPr>
        <w:tblStyle w:val="13"/>
        <w:tblpPr w:leftFromText="180" w:rightFromText="180" w:vertAnchor="text" w:horzAnchor="page" w:tblpX="1507" w:tblpY="614"/>
        <w:tblOverlap w:val="never"/>
        <w:tblW w:w="14081" w:type="dxa"/>
        <w:tblInd w:w="0" w:type="dxa"/>
        <w:tblLayout w:type="fixed"/>
        <w:tblCellMar>
          <w:top w:w="0" w:type="dxa"/>
          <w:left w:w="108" w:type="dxa"/>
          <w:bottom w:w="0" w:type="dxa"/>
          <w:right w:w="108" w:type="dxa"/>
        </w:tblCellMar>
      </w:tblPr>
      <w:tblGrid>
        <w:gridCol w:w="511"/>
        <w:gridCol w:w="1730"/>
        <w:gridCol w:w="1922"/>
        <w:gridCol w:w="437"/>
        <w:gridCol w:w="5340"/>
        <w:gridCol w:w="1462"/>
        <w:gridCol w:w="2679"/>
      </w:tblGrid>
      <w:tr>
        <w:tblPrEx>
          <w:tblCellMar>
            <w:top w:w="0" w:type="dxa"/>
            <w:left w:w="108" w:type="dxa"/>
            <w:bottom w:w="0" w:type="dxa"/>
            <w:right w:w="108" w:type="dxa"/>
          </w:tblCellMar>
        </w:tblPrEx>
        <w:trPr>
          <w:trHeight w:val="600" w:hRule="atLeast"/>
          <w:tblHeader/>
        </w:trPr>
        <w:tc>
          <w:tcPr>
            <w:tcW w:w="511" w:type="dxa"/>
            <w:tcBorders>
              <w:top w:val="single" w:color="000000" w:sz="8" w:space="0"/>
              <w:left w:val="single" w:color="000000" w:sz="8" w:space="0"/>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序号</w:t>
            </w:r>
          </w:p>
        </w:tc>
        <w:tc>
          <w:tcPr>
            <w:tcW w:w="1730"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评价项目</w:t>
            </w:r>
          </w:p>
        </w:tc>
        <w:tc>
          <w:tcPr>
            <w:tcW w:w="1922"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评价内容</w:t>
            </w:r>
          </w:p>
        </w:tc>
        <w:tc>
          <w:tcPr>
            <w:tcW w:w="437"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分值</w:t>
            </w:r>
          </w:p>
        </w:tc>
        <w:tc>
          <w:tcPr>
            <w:tcW w:w="5340"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评分标准</w:t>
            </w:r>
          </w:p>
        </w:tc>
        <w:tc>
          <w:tcPr>
            <w:tcW w:w="1462"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数据来源</w:t>
            </w:r>
          </w:p>
        </w:tc>
        <w:tc>
          <w:tcPr>
            <w:tcW w:w="2679" w:type="dxa"/>
            <w:tcBorders>
              <w:top w:val="single" w:color="000000" w:sz="8" w:space="0"/>
              <w:left w:val="nil"/>
              <w:bottom w:val="single" w:color="000000" w:sz="8" w:space="0"/>
              <w:right w:val="single" w:color="000000" w:sz="8" w:space="0"/>
            </w:tcBorders>
            <w:noWrap/>
            <w:vAlign w:val="center"/>
          </w:tcPr>
          <w:p>
            <w:pPr>
              <w:overflowPunct w:val="0"/>
              <w:spacing w:line="300" w:lineRule="exact"/>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 xml:space="preserve">    季度考核说明</w:t>
            </w:r>
          </w:p>
        </w:tc>
      </w:tr>
      <w:tr>
        <w:tblPrEx>
          <w:tblCellMar>
            <w:top w:w="0" w:type="dxa"/>
            <w:left w:w="108" w:type="dxa"/>
            <w:bottom w:w="0" w:type="dxa"/>
            <w:right w:w="108" w:type="dxa"/>
          </w:tblCellMar>
        </w:tblPrEx>
        <w:trPr>
          <w:trHeight w:val="540" w:hRule="atLeast"/>
        </w:trPr>
        <w:tc>
          <w:tcPr>
            <w:tcW w:w="511"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w:t>
            </w:r>
          </w:p>
        </w:tc>
        <w:tc>
          <w:tcPr>
            <w:tcW w:w="1730" w:type="dxa"/>
            <w:tcBorders>
              <w:top w:val="nil"/>
              <w:left w:val="nil"/>
              <w:bottom w:val="single" w:color="000000" w:sz="8" w:space="0"/>
              <w:right w:val="single" w:color="000000" w:sz="8" w:space="0"/>
            </w:tcBorders>
            <w:shd w:val="clear" w:color="auto" w:fill="auto"/>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日常违规扣分</w:t>
            </w:r>
          </w:p>
        </w:tc>
        <w:tc>
          <w:tcPr>
            <w:tcW w:w="1922" w:type="dxa"/>
            <w:tcBorders>
              <w:top w:val="nil"/>
              <w:left w:val="nil"/>
              <w:bottom w:val="single" w:color="000000" w:sz="8" w:space="0"/>
              <w:right w:val="single" w:color="000000" w:sz="8" w:space="0"/>
            </w:tcBorders>
            <w:shd w:val="clear" w:color="auto" w:fill="auto"/>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日常稽核违规查处案件情况</w:t>
            </w:r>
          </w:p>
        </w:tc>
        <w:tc>
          <w:tcPr>
            <w:tcW w:w="43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5340" w:type="dxa"/>
            <w:tcBorders>
              <w:top w:val="nil"/>
              <w:left w:val="nil"/>
              <w:bottom w:val="single" w:color="000000" w:sz="8" w:space="0"/>
              <w:right w:val="single" w:color="000000" w:sz="8" w:space="0"/>
            </w:tcBorders>
            <w:shd w:val="clear" w:color="auto" w:fill="auto"/>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以当年度诚信记分分值计入考核；</w:t>
            </w:r>
          </w:p>
        </w:tc>
        <w:tc>
          <w:tcPr>
            <w:tcW w:w="1462" w:type="dxa"/>
            <w:tcBorders>
              <w:top w:val="nil"/>
              <w:left w:val="nil"/>
              <w:bottom w:val="single" w:color="000000" w:sz="8"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稽核科</w:t>
            </w:r>
          </w:p>
        </w:tc>
        <w:tc>
          <w:tcPr>
            <w:tcW w:w="2679" w:type="dxa"/>
            <w:tcBorders>
              <w:top w:val="single" w:color="000000" w:sz="8" w:space="0"/>
              <w:left w:val="nil"/>
              <w:bottom w:val="single" w:color="000000" w:sz="8" w:space="0"/>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上半年和全年分别评出累计分值</w:t>
            </w:r>
          </w:p>
        </w:tc>
      </w:tr>
      <w:tr>
        <w:tblPrEx>
          <w:tblCellMar>
            <w:top w:w="0" w:type="dxa"/>
            <w:left w:w="108" w:type="dxa"/>
            <w:bottom w:w="0" w:type="dxa"/>
            <w:right w:w="108" w:type="dxa"/>
          </w:tblCellMar>
        </w:tblPrEx>
        <w:trPr>
          <w:trHeight w:val="680" w:hRule="atLeast"/>
        </w:trPr>
        <w:tc>
          <w:tcPr>
            <w:tcW w:w="511" w:type="dxa"/>
            <w:tcBorders>
              <w:top w:val="nil"/>
              <w:left w:val="single" w:color="000000" w:sz="8" w:space="0"/>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1730" w:type="dxa"/>
            <w:tcBorders>
              <w:top w:val="nil"/>
              <w:left w:val="nil"/>
              <w:bottom w:val="single" w:color="000000" w:sz="8"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进销存</w:t>
            </w:r>
          </w:p>
        </w:tc>
        <w:tc>
          <w:tcPr>
            <w:tcW w:w="1922" w:type="dxa"/>
            <w:tcBorders>
              <w:top w:val="nil"/>
              <w:left w:val="nil"/>
              <w:bottom w:val="single" w:color="000000" w:sz="8" w:space="0"/>
              <w:right w:val="single" w:color="000000" w:sz="8" w:space="0"/>
            </w:tcBorders>
            <w:shd w:val="clear" w:color="auto" w:fill="auto"/>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药械进销存管理</w:t>
            </w:r>
          </w:p>
        </w:tc>
        <w:tc>
          <w:tcPr>
            <w:tcW w:w="437" w:type="dxa"/>
            <w:tcBorders>
              <w:top w:val="nil"/>
              <w:left w:val="nil"/>
              <w:bottom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5340" w:type="dxa"/>
            <w:tcBorders>
              <w:top w:val="nil"/>
              <w:left w:val="nil"/>
              <w:bottom w:val="single" w:color="000000" w:sz="8"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进销存须符合相关规定，一个品种不符扣1分，同时进销存差额数量占存量差额每增加1个百分点，加扣0.2分，</w:t>
            </w:r>
            <w:r>
              <w:rPr>
                <w:rFonts w:hint="default" w:ascii="仿宋_GB2312" w:hAnsi="仿宋_GB2312" w:eastAsia="仿宋_GB2312" w:cs="仿宋_GB2312"/>
                <w:color w:val="auto"/>
                <w:kern w:val="0"/>
                <w:sz w:val="21"/>
                <w:szCs w:val="21"/>
                <w:highlight w:val="none"/>
                <w:lang w:val="en-US" w:eastAsia="zh-CN" w:bidi="ar-SA"/>
              </w:rPr>
              <w:t>扣完为止；</w:t>
            </w:r>
          </w:p>
        </w:tc>
        <w:tc>
          <w:tcPr>
            <w:tcW w:w="1462" w:type="dxa"/>
            <w:tcBorders>
              <w:top w:val="nil"/>
              <w:left w:val="nil"/>
              <w:bottom w:val="single" w:color="000000" w:sz="8"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稽核科</w:t>
            </w:r>
          </w:p>
        </w:tc>
        <w:tc>
          <w:tcPr>
            <w:tcW w:w="2679" w:type="dxa"/>
            <w:tcBorders>
              <w:top w:val="single" w:color="000000" w:sz="8" w:space="0"/>
              <w:left w:val="nil"/>
              <w:bottom w:val="single" w:color="000000" w:sz="8" w:space="0"/>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600" w:hRule="atLeast"/>
        </w:trPr>
        <w:tc>
          <w:tcPr>
            <w:tcW w:w="511" w:type="dxa"/>
            <w:tcBorders>
              <w:top w:val="nil"/>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1730" w:type="dxa"/>
            <w:tcBorders>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监控</w:t>
            </w:r>
          </w:p>
        </w:tc>
        <w:tc>
          <w:tcPr>
            <w:tcW w:w="192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人脸识别成功率</w:t>
            </w:r>
          </w:p>
        </w:tc>
        <w:tc>
          <w:tcPr>
            <w:tcW w:w="43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340"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识别成功率不低于80</w:t>
            </w:r>
            <w:r>
              <w:rPr>
                <w:rFonts w:hint="default" w:ascii="仿宋_GB2312" w:hAnsi="仿宋_GB2312" w:eastAsia="仿宋_GB2312" w:cs="仿宋_GB2312"/>
                <w:color w:val="auto"/>
                <w:kern w:val="0"/>
                <w:sz w:val="21"/>
                <w:szCs w:val="21"/>
                <w:highlight w:val="none"/>
                <w:lang w:val="en-US" w:eastAsia="zh-CN" w:bidi="ar-SA"/>
              </w:rPr>
              <w:t>%，每降低1个百分点扣0.2分，扣完为止；</w:t>
            </w:r>
          </w:p>
        </w:tc>
        <w:tc>
          <w:tcPr>
            <w:tcW w:w="146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稽核科</w:t>
            </w:r>
          </w:p>
        </w:tc>
        <w:tc>
          <w:tcPr>
            <w:tcW w:w="2679" w:type="dxa"/>
            <w:tcBorders>
              <w:top w:val="single" w:color="000000" w:sz="8" w:space="0"/>
              <w:left w:val="nil"/>
              <w:bottom w:val="single" w:color="auto" w:sz="4" w:space="0"/>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600" w:hRule="atLeast"/>
        </w:trPr>
        <w:tc>
          <w:tcPr>
            <w:tcW w:w="511" w:type="dxa"/>
            <w:vMerge w:val="restart"/>
            <w:tcBorders>
              <w:top w:val="nil"/>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4</w:t>
            </w:r>
          </w:p>
        </w:tc>
        <w:tc>
          <w:tcPr>
            <w:tcW w:w="1730" w:type="dxa"/>
            <w:vMerge w:val="restart"/>
            <w:tcBorders>
              <w:left w:val="nil"/>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工作完成情况</w:t>
            </w:r>
          </w:p>
        </w:tc>
        <w:tc>
          <w:tcPr>
            <w:tcW w:w="192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医保电子凭证结算率</w:t>
            </w:r>
          </w:p>
        </w:tc>
        <w:tc>
          <w:tcPr>
            <w:tcW w:w="43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340"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医保电子凭证结算率达到考核要求得10分，每差1个百分点扣1分，扣完为止；</w:t>
            </w:r>
          </w:p>
        </w:tc>
        <w:tc>
          <w:tcPr>
            <w:tcW w:w="1462" w:type="dxa"/>
            <w:vMerge w:val="restart"/>
            <w:tcBorders>
              <w:top w:val="nil"/>
              <w:left w:val="nil"/>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相关处科室</w:t>
            </w:r>
          </w:p>
        </w:tc>
        <w:tc>
          <w:tcPr>
            <w:tcW w:w="2679" w:type="dxa"/>
            <w:vMerge w:val="restart"/>
            <w:tcBorders>
              <w:top w:val="single" w:color="000000" w:sz="8" w:space="0"/>
              <w:left w:val="nil"/>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上半年和全年分别评分；如果涉多个项目时，则累计计算扣分，扣完为止；</w:t>
            </w:r>
          </w:p>
        </w:tc>
      </w:tr>
      <w:tr>
        <w:tblPrEx>
          <w:tblCellMar>
            <w:top w:w="0" w:type="dxa"/>
            <w:left w:w="108" w:type="dxa"/>
            <w:bottom w:w="0" w:type="dxa"/>
            <w:right w:w="108" w:type="dxa"/>
          </w:tblCellMar>
        </w:tblPrEx>
        <w:trPr>
          <w:trHeight w:val="600" w:hRule="atLeast"/>
        </w:trPr>
        <w:tc>
          <w:tcPr>
            <w:tcW w:w="511" w:type="dxa"/>
            <w:vMerge w:val="continue"/>
            <w:tcBorders>
              <w:left w:val="single" w:color="000000" w:sz="8"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1730" w:type="dxa"/>
            <w:vMerge w:val="continue"/>
            <w:tcBorders>
              <w:left w:val="nil"/>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192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非标率</w:t>
            </w:r>
          </w:p>
        </w:tc>
        <w:tc>
          <w:tcPr>
            <w:tcW w:w="43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340"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非标率达到考核要求得5分，未达到考核要求不得分；</w:t>
            </w:r>
          </w:p>
        </w:tc>
        <w:tc>
          <w:tcPr>
            <w:tcW w:w="1462" w:type="dxa"/>
            <w:vMerge w:val="continue"/>
            <w:tcBorders>
              <w:left w:val="nil"/>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2679" w:type="dxa"/>
            <w:vMerge w:val="continue"/>
            <w:tcBorders>
              <w:left w:val="nil"/>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600" w:hRule="atLeast"/>
        </w:trPr>
        <w:tc>
          <w:tcPr>
            <w:tcW w:w="511" w:type="dxa"/>
            <w:vMerge w:val="continue"/>
            <w:tcBorders>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1730" w:type="dxa"/>
            <w:vMerge w:val="continue"/>
            <w:tcBorders>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192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其它重点工作</w:t>
            </w:r>
          </w:p>
        </w:tc>
        <w:tc>
          <w:tcPr>
            <w:tcW w:w="43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340"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根据国家、省市考核要求按时保质保量完成得10分，未达到考核要求按相关规定扣分；</w:t>
            </w:r>
          </w:p>
        </w:tc>
        <w:tc>
          <w:tcPr>
            <w:tcW w:w="1462" w:type="dxa"/>
            <w:vMerge w:val="continue"/>
            <w:tcBorders>
              <w:left w:val="nil"/>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2679" w:type="dxa"/>
            <w:vMerge w:val="continue"/>
            <w:tcBorders>
              <w:left w:val="nil"/>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600" w:hRule="atLeast"/>
        </w:trPr>
        <w:tc>
          <w:tcPr>
            <w:tcW w:w="511" w:type="dxa"/>
            <w:vMerge w:val="continue"/>
            <w:tcBorders>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p>
        </w:tc>
        <w:tc>
          <w:tcPr>
            <w:tcW w:w="1730" w:type="dxa"/>
            <w:vMerge w:val="continue"/>
            <w:tcBorders>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192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日常工作</w:t>
            </w:r>
          </w:p>
        </w:tc>
        <w:tc>
          <w:tcPr>
            <w:tcW w:w="43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340"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日常工作如对账、实时刷卡、医保政策掌握等情况，每出现一次对账不及时或错误、应刷未刷、政策掌握不及时导致投诉信访等情况的扣1分，扣完为止；</w:t>
            </w:r>
          </w:p>
        </w:tc>
        <w:tc>
          <w:tcPr>
            <w:tcW w:w="1462" w:type="dxa"/>
            <w:vMerge w:val="continue"/>
            <w:tcBorders>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2679" w:type="dxa"/>
            <w:vMerge w:val="continue"/>
            <w:tcBorders>
              <w:left w:val="nil"/>
              <w:bottom w:val="single" w:color="auto" w:sz="4" w:space="0"/>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600" w:hRule="atLeast"/>
        </w:trPr>
        <w:tc>
          <w:tcPr>
            <w:tcW w:w="511" w:type="dxa"/>
            <w:tcBorders>
              <w:top w:val="nil"/>
              <w:left w:val="single" w:color="000000" w:sz="8" w:space="0"/>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1730" w:type="dxa"/>
            <w:tcBorders>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行政处罚</w:t>
            </w:r>
          </w:p>
        </w:tc>
        <w:tc>
          <w:tcPr>
            <w:tcW w:w="192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行政处罚次数</w:t>
            </w:r>
          </w:p>
        </w:tc>
        <w:tc>
          <w:tcPr>
            <w:tcW w:w="437" w:type="dxa"/>
            <w:tcBorders>
              <w:top w:val="nil"/>
              <w:left w:val="nil"/>
              <w:bottom w:val="single" w:color="auto" w:sz="4" w:space="0"/>
              <w:right w:val="single" w:color="000000" w:sz="8" w:space="0"/>
            </w:tcBorders>
            <w:shd w:val="clear" w:color="auto" w:fill="auto"/>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340"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行政部门作出的与医疗行为相关的行政处罚次数，每一起行政处罚扣1分，扣完为止；</w:t>
            </w:r>
          </w:p>
        </w:tc>
        <w:tc>
          <w:tcPr>
            <w:tcW w:w="1462" w:type="dxa"/>
            <w:tcBorders>
              <w:top w:val="nil"/>
              <w:left w:val="nil"/>
              <w:bottom w:val="single" w:color="auto" w:sz="4" w:space="0"/>
              <w:right w:val="single" w:color="000000" w:sz="8" w:space="0"/>
            </w:tcBorders>
            <w:shd w:val="clear" w:color="auto" w:fill="auto"/>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部门函询</w:t>
            </w:r>
          </w:p>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信息公开</w:t>
            </w:r>
          </w:p>
        </w:tc>
        <w:tc>
          <w:tcPr>
            <w:tcW w:w="2679" w:type="dxa"/>
            <w:tcBorders>
              <w:top w:val="single" w:color="000000" w:sz="8" w:space="0"/>
              <w:left w:val="nil"/>
              <w:bottom w:val="single" w:color="auto" w:sz="4" w:space="0"/>
              <w:right w:val="single" w:color="000000" w:sz="8" w:space="0"/>
            </w:tcBorders>
            <w:shd w:val="clear" w:color="auto" w:fill="FFFFFF"/>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上半年和全年分别评出累计分值</w:t>
            </w:r>
          </w:p>
        </w:tc>
      </w:tr>
      <w:tr>
        <w:tblPrEx>
          <w:tblCellMar>
            <w:top w:w="0" w:type="dxa"/>
            <w:left w:w="108" w:type="dxa"/>
            <w:bottom w:w="0" w:type="dxa"/>
            <w:right w:w="108" w:type="dxa"/>
          </w:tblCellMar>
        </w:tblPrEx>
        <w:trPr>
          <w:trHeight w:val="480" w:hRule="atLeast"/>
        </w:trPr>
        <w:tc>
          <w:tcPr>
            <w:tcW w:w="511" w:type="dxa"/>
            <w:tcBorders>
              <w:top w:val="nil"/>
              <w:left w:val="single" w:color="000000" w:sz="8" w:space="0"/>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1730" w:type="dxa"/>
            <w:tcBorders>
              <w:top w:val="single" w:color="000000" w:sz="8" w:space="0"/>
              <w:left w:val="nil"/>
              <w:bottom w:val="single" w:color="auto" w:sz="4"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满意度</w:t>
            </w:r>
          </w:p>
        </w:tc>
        <w:tc>
          <w:tcPr>
            <w:tcW w:w="1922" w:type="dxa"/>
            <w:tcBorders>
              <w:top w:val="nil"/>
              <w:left w:val="nil"/>
              <w:bottom w:val="single" w:color="auto" w:sz="4"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参保人员满意度</w:t>
            </w:r>
          </w:p>
        </w:tc>
        <w:tc>
          <w:tcPr>
            <w:tcW w:w="437" w:type="dxa"/>
            <w:tcBorders>
              <w:top w:val="nil"/>
              <w:left w:val="nil"/>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3</w:t>
            </w:r>
          </w:p>
        </w:tc>
        <w:tc>
          <w:tcPr>
            <w:tcW w:w="5340" w:type="dxa"/>
            <w:tcBorders>
              <w:top w:val="nil"/>
              <w:left w:val="nil"/>
              <w:bottom w:val="single" w:color="auto" w:sz="4"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按照信访、投诉、举报次数扣分，查实的每项扣1分，扣完为止，如情节严重直接扣完；</w:t>
            </w:r>
          </w:p>
        </w:tc>
        <w:tc>
          <w:tcPr>
            <w:tcW w:w="1462" w:type="dxa"/>
            <w:tcBorders>
              <w:top w:val="single" w:color="000000" w:sz="8" w:space="0"/>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改发处</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通过电话回访、投诉信访等</w:t>
            </w:r>
          </w:p>
        </w:tc>
      </w:tr>
      <w:tr>
        <w:tblPrEx>
          <w:tblCellMar>
            <w:top w:w="0" w:type="dxa"/>
            <w:left w:w="108" w:type="dxa"/>
            <w:bottom w:w="0" w:type="dxa"/>
            <w:right w:w="108" w:type="dxa"/>
          </w:tblCellMar>
        </w:tblPrEx>
        <w:trPr>
          <w:trHeight w:val="480" w:hRule="atLeast"/>
        </w:trPr>
        <w:tc>
          <w:tcPr>
            <w:tcW w:w="511" w:type="dxa"/>
            <w:tcBorders>
              <w:top w:val="single" w:color="auto" w:sz="4" w:space="0"/>
              <w:left w:val="single" w:color="auto" w:sz="4" w:space="0"/>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7</w:t>
            </w:r>
          </w:p>
        </w:tc>
        <w:tc>
          <w:tcPr>
            <w:tcW w:w="1730"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药品招采</w:t>
            </w:r>
          </w:p>
        </w:tc>
        <w:tc>
          <w:tcPr>
            <w:tcW w:w="1922" w:type="dxa"/>
            <w:tcBorders>
              <w:top w:val="single" w:color="auto" w:sz="4" w:space="0"/>
              <w:left w:val="single" w:color="auto" w:sz="4" w:space="0"/>
              <w:bottom w:val="single" w:color="auto" w:sz="4"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药品招采率</w:t>
            </w:r>
          </w:p>
        </w:tc>
        <w:tc>
          <w:tcPr>
            <w:tcW w:w="437" w:type="dxa"/>
            <w:tcBorders>
              <w:top w:val="single" w:color="auto" w:sz="4" w:space="0"/>
              <w:left w:val="nil"/>
              <w:bottom w:val="single" w:color="auto" w:sz="4"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340"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定点零售药店按规定通过省药械采购平台采购药品、医用耗材，并按规定及时结算货款，按时结清货款时间不超过交货验收合格后次月底(连锁或者</w:t>
            </w:r>
            <w:r>
              <w:rPr>
                <w:rFonts w:hint="eastAsia" w:ascii="仿宋_GB2312" w:hAnsi="仿宋_GB2312" w:cs="仿宋_GB2312"/>
                <w:color w:val="auto"/>
                <w:kern w:val="0"/>
                <w:sz w:val="21"/>
                <w:szCs w:val="21"/>
                <w:highlight w:val="none"/>
                <w:lang w:val="en-US" w:eastAsia="zh-CN" w:bidi="ar-SA"/>
              </w:rPr>
              <w:t>规范化</w:t>
            </w:r>
            <w:r>
              <w:rPr>
                <w:rFonts w:hint="eastAsia" w:ascii="仿宋_GB2312" w:hAnsi="仿宋_GB2312" w:eastAsia="仿宋_GB2312" w:cs="仿宋_GB2312"/>
                <w:color w:val="auto"/>
                <w:kern w:val="0"/>
                <w:sz w:val="21"/>
                <w:szCs w:val="21"/>
                <w:highlight w:val="none"/>
                <w:lang w:val="en-US" w:eastAsia="zh-CN" w:bidi="ar-SA"/>
              </w:rPr>
              <w:t>管理的可取上级机构数据）。民营机构有平台采购成功记录得2分，未采购不得分；</w:t>
            </w:r>
          </w:p>
        </w:tc>
        <w:tc>
          <w:tcPr>
            <w:tcW w:w="1462" w:type="dxa"/>
            <w:tcBorders>
              <w:top w:val="single" w:color="000000" w:sz="8" w:space="0"/>
              <w:left w:val="single" w:color="auto" w:sz="4" w:space="0"/>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招采中心</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480" w:hRule="atLeast"/>
        </w:trPr>
        <w:tc>
          <w:tcPr>
            <w:tcW w:w="511" w:type="dxa"/>
            <w:tcBorders>
              <w:top w:val="single" w:color="auto" w:sz="4" w:space="0"/>
              <w:left w:val="single" w:color="000000" w:sz="8"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8</w:t>
            </w:r>
          </w:p>
        </w:tc>
        <w:tc>
          <w:tcPr>
            <w:tcW w:w="1730" w:type="dxa"/>
            <w:vMerge w:val="restart"/>
            <w:tcBorders>
              <w:top w:val="single" w:color="auto" w:sz="4" w:space="0"/>
              <w:left w:val="nil"/>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医保服务覆盖面</w:t>
            </w:r>
          </w:p>
        </w:tc>
        <w:tc>
          <w:tcPr>
            <w:tcW w:w="1922" w:type="dxa"/>
            <w:tcBorders>
              <w:top w:val="single" w:color="auto" w:sz="4"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结算人数</w:t>
            </w:r>
          </w:p>
        </w:tc>
        <w:tc>
          <w:tcPr>
            <w:tcW w:w="437" w:type="dxa"/>
            <w:tcBorders>
              <w:top w:val="single" w:color="auto" w:sz="4" w:space="0"/>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5340" w:type="dxa"/>
            <w:tcBorders>
              <w:top w:val="single" w:color="auto" w:sz="4" w:space="0"/>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每季度结算人数排名为后50%根据排名进行扣分，每下降10%（不足10%的按照10%计）扣1分，扣完为止；</w:t>
            </w:r>
          </w:p>
        </w:tc>
        <w:tc>
          <w:tcPr>
            <w:tcW w:w="1462" w:type="dxa"/>
            <w:tcBorders>
              <w:top w:val="single" w:color="000000" w:sz="8" w:space="0"/>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系统取数</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000000" w:sz="8"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9</w:t>
            </w:r>
          </w:p>
        </w:tc>
        <w:tc>
          <w:tcPr>
            <w:tcW w:w="1730" w:type="dxa"/>
            <w:vMerge w:val="continue"/>
            <w:tcBorders>
              <w:left w:val="nil"/>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1922" w:type="dxa"/>
            <w:tcBorders>
              <w:top w:val="nil"/>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人头人次比</w:t>
            </w:r>
          </w:p>
        </w:tc>
        <w:tc>
          <w:tcPr>
            <w:tcW w:w="43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340" w:type="dxa"/>
            <w:tcBorders>
              <w:top w:val="nil"/>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每季度结算人头人次比排名后50%，根据排名进行扣分，每下降10%（不足10%的按照10%计）扣1分，扣完为止；</w:t>
            </w:r>
          </w:p>
        </w:tc>
        <w:tc>
          <w:tcPr>
            <w:tcW w:w="1462" w:type="dxa"/>
            <w:tcBorders>
              <w:top w:val="single" w:color="000000" w:sz="8" w:space="0"/>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系统取数</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000000" w:sz="8"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1730" w:type="dxa"/>
            <w:vMerge w:val="continue"/>
            <w:tcBorders>
              <w:left w:val="nil"/>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1922" w:type="dxa"/>
            <w:tcBorders>
              <w:top w:val="nil"/>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次均费用</w:t>
            </w:r>
          </w:p>
        </w:tc>
        <w:tc>
          <w:tcPr>
            <w:tcW w:w="43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340" w:type="dxa"/>
            <w:tcBorders>
              <w:top w:val="nil"/>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次</w:t>
            </w:r>
            <w:r>
              <w:rPr>
                <w:rFonts w:hint="eastAsia" w:ascii="仿宋_GB2312" w:hAnsi="仿宋_GB2312" w:eastAsia="仿宋_GB2312" w:cs="仿宋_GB2312"/>
                <w:color w:val="auto"/>
                <w:kern w:val="0"/>
                <w:sz w:val="21"/>
                <w:szCs w:val="21"/>
                <w:highlight w:val="none"/>
                <w:lang w:val="en-US" w:eastAsia="zh-CN" w:bidi="ar-SA"/>
              </w:rPr>
              <w:t>均费用每高于平均次均费用，</w:t>
            </w:r>
            <w:r>
              <w:rPr>
                <w:rFonts w:hint="default" w:ascii="仿宋_GB2312" w:hAnsi="仿宋_GB2312" w:eastAsia="仿宋_GB2312" w:cs="仿宋_GB2312"/>
                <w:color w:val="auto"/>
                <w:kern w:val="0"/>
                <w:sz w:val="21"/>
                <w:szCs w:val="21"/>
                <w:highlight w:val="none"/>
                <w:lang w:val="en-US" w:eastAsia="zh-CN" w:bidi="ar-SA"/>
              </w:rPr>
              <w:t>每超出1百分点（不足1个百分点按照1个百分点计）扣1分，扣完为止；</w:t>
            </w:r>
          </w:p>
        </w:tc>
        <w:tc>
          <w:tcPr>
            <w:tcW w:w="1462" w:type="dxa"/>
            <w:tcBorders>
              <w:top w:val="single" w:color="000000" w:sz="8" w:space="0"/>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系统取数</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000000" w:sz="8"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1730" w:type="dxa"/>
            <w:vMerge w:val="continue"/>
            <w:tcBorders>
              <w:left w:val="nil"/>
              <w:bottom w:val="single" w:color="auto" w:sz="4"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p>
        </w:tc>
        <w:tc>
          <w:tcPr>
            <w:tcW w:w="1922" w:type="dxa"/>
            <w:tcBorders>
              <w:top w:val="nil"/>
              <w:left w:val="nil"/>
              <w:bottom w:val="single" w:color="auto" w:sz="4"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人均费用</w:t>
            </w:r>
          </w:p>
        </w:tc>
        <w:tc>
          <w:tcPr>
            <w:tcW w:w="437" w:type="dxa"/>
            <w:tcBorders>
              <w:top w:val="nil"/>
              <w:left w:val="nil"/>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5340" w:type="dxa"/>
            <w:tcBorders>
              <w:top w:val="nil"/>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人均费用高于平均人均费用，</w:t>
            </w:r>
            <w:r>
              <w:rPr>
                <w:rFonts w:hint="default" w:ascii="仿宋_GB2312" w:hAnsi="仿宋_GB2312" w:eastAsia="仿宋_GB2312" w:cs="仿宋_GB2312"/>
                <w:color w:val="auto"/>
                <w:kern w:val="0"/>
                <w:sz w:val="21"/>
                <w:szCs w:val="21"/>
                <w:highlight w:val="none"/>
                <w:lang w:val="en-US" w:eastAsia="zh-CN" w:bidi="ar-SA"/>
              </w:rPr>
              <w:t>每超出1百分点（不足1个百分点按照1个百分点计）扣1分，扣完为止；</w:t>
            </w:r>
          </w:p>
        </w:tc>
        <w:tc>
          <w:tcPr>
            <w:tcW w:w="1462" w:type="dxa"/>
            <w:tcBorders>
              <w:top w:val="single" w:color="000000" w:sz="8" w:space="0"/>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系统取数</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r>
        <w:tblPrEx>
          <w:tblCellMar>
            <w:top w:w="0" w:type="dxa"/>
            <w:left w:w="108" w:type="dxa"/>
            <w:bottom w:w="0" w:type="dxa"/>
            <w:right w:w="108" w:type="dxa"/>
          </w:tblCellMar>
        </w:tblPrEx>
        <w:trPr>
          <w:trHeight w:val="480" w:hRule="atLeast"/>
        </w:trPr>
        <w:tc>
          <w:tcPr>
            <w:tcW w:w="511" w:type="dxa"/>
            <w:tcBorders>
              <w:top w:val="nil"/>
              <w:left w:val="single" w:color="000000" w:sz="8" w:space="0"/>
              <w:bottom w:val="single" w:color="000000" w:sz="8" w:space="0"/>
              <w:right w:val="single" w:color="auto" w:sz="4"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12</w:t>
            </w:r>
          </w:p>
        </w:tc>
        <w:tc>
          <w:tcPr>
            <w:tcW w:w="1730" w:type="dxa"/>
            <w:tcBorders>
              <w:top w:val="single" w:color="auto" w:sz="4" w:space="0"/>
              <w:left w:val="single" w:color="auto" w:sz="4" w:space="0"/>
              <w:bottom w:val="single" w:color="auto" w:sz="4"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医保服务能力</w:t>
            </w:r>
          </w:p>
        </w:tc>
        <w:tc>
          <w:tcPr>
            <w:tcW w:w="1922"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执业药师人数</w:t>
            </w:r>
          </w:p>
        </w:tc>
        <w:tc>
          <w:tcPr>
            <w:tcW w:w="437" w:type="dxa"/>
            <w:tcBorders>
              <w:top w:val="nil"/>
              <w:left w:val="single" w:color="auto" w:sz="4" w:space="0"/>
              <w:bottom w:val="single" w:color="000000" w:sz="8" w:space="0"/>
              <w:right w:val="single" w:color="000000" w:sz="8" w:space="0"/>
            </w:tcBorders>
            <w:noWrap/>
            <w:vAlign w:val="center"/>
          </w:tcPr>
          <w:p>
            <w:pPr>
              <w:overflowPunct w:val="0"/>
              <w:spacing w:line="280" w:lineRule="exact"/>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2</w:t>
            </w:r>
          </w:p>
        </w:tc>
        <w:tc>
          <w:tcPr>
            <w:tcW w:w="5340" w:type="dxa"/>
            <w:tcBorders>
              <w:top w:val="nil"/>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与上期相比，增加执业药师得2分，无变化得1分，减少执业药师不得分；</w:t>
            </w:r>
          </w:p>
        </w:tc>
        <w:tc>
          <w:tcPr>
            <w:tcW w:w="1462" w:type="dxa"/>
            <w:tcBorders>
              <w:top w:val="nil"/>
              <w:left w:val="nil"/>
              <w:bottom w:val="single" w:color="000000" w:sz="8" w:space="0"/>
              <w:right w:val="single" w:color="000000" w:sz="8" w:space="0"/>
            </w:tcBorders>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变更登记</w:t>
            </w:r>
          </w:p>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系统录入</w:t>
            </w:r>
          </w:p>
        </w:tc>
        <w:tc>
          <w:tcPr>
            <w:tcW w:w="2679" w:type="dxa"/>
            <w:tcBorders>
              <w:top w:val="single" w:color="000000" w:sz="8" w:space="0"/>
              <w:left w:val="nil"/>
              <w:bottom w:val="single" w:color="000000" w:sz="8" w:space="0"/>
              <w:right w:val="single" w:color="000000" w:sz="8" w:space="0"/>
            </w:tcBorders>
            <w:noWrap/>
            <w:vAlign w:val="center"/>
          </w:tcPr>
          <w:p>
            <w:pPr>
              <w:widowControl/>
              <w:spacing w:line="280" w:lineRule="exac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上半年和全年分别评分</w:t>
            </w:r>
          </w:p>
        </w:tc>
      </w:tr>
    </w:tbl>
    <w:p>
      <w:pPr>
        <w:widowControl/>
        <w:spacing w:line="280" w:lineRule="exact"/>
        <w:textAlignment w:val="center"/>
        <w:rPr>
          <w:rFonts w:hint="eastAsia" w:ascii="仿宋_GB2312" w:hAnsi="仿宋_GB2312" w:eastAsia="仿宋_GB2312" w:cs="仿宋_GB2312"/>
          <w:color w:val="auto"/>
          <w:kern w:val="0"/>
          <w:sz w:val="24"/>
          <w:highlight w:val="none"/>
          <w:lang w:val="en-US" w:eastAsia="zh-CN" w:bidi="ar-SA"/>
        </w:rPr>
        <w:sectPr>
          <w:pgSz w:w="16840" w:h="11907" w:orient="landscape"/>
          <w:pgMar w:top="1440" w:right="1797" w:bottom="1440" w:left="1797" w:header="851" w:footer="992" w:gutter="0"/>
          <w:pgNumType w:fmt="numberInDash"/>
          <w:cols w:space="0" w:num="1"/>
          <w:titlePg/>
          <w:docGrid w:type="lines" w:linePitch="436" w:charSpace="0"/>
        </w:sectPr>
      </w:pPr>
    </w:p>
    <w:tbl>
      <w:tblPr>
        <w:tblStyle w:val="13"/>
        <w:tblpPr w:leftFromText="180" w:rightFromText="180" w:vertAnchor="text" w:horzAnchor="page" w:tblpX="1801" w:tblpY="1307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55" w:type="dxa"/>
            <w:tcBorders>
              <w:top w:val="single" w:color="auto" w:sz="12" w:space="0"/>
              <w:left w:val="nil"/>
              <w:bottom w:val="single" w:color="auto" w:sz="12" w:space="0"/>
              <w:right w:val="nil"/>
            </w:tcBorders>
            <w:noWrap w:val="0"/>
            <w:vAlign w:val="top"/>
          </w:tcPr>
          <w:p>
            <w:pPr>
              <w:keepNext w:val="0"/>
              <w:keepLines w:val="0"/>
              <w:pageBreakBefore w:val="0"/>
              <w:widowControl w:val="0"/>
              <w:tabs>
                <w:tab w:val="left" w:pos="851"/>
              </w:tabs>
              <w:kinsoku/>
              <w:wordWrap/>
              <w:overflowPunct/>
              <w:topLinePunct w:val="0"/>
              <w:autoSpaceDE/>
              <w:autoSpaceDN/>
              <w:bidi w:val="0"/>
              <w:adjustRightInd/>
              <w:snapToGrid/>
              <w:spacing w:line="600" w:lineRule="exact"/>
              <w:ind w:left="625" w:leftChars="64" w:hanging="420" w:hangingChars="150"/>
              <w:textAlignment w:val="auto"/>
              <w:rPr>
                <w:rFonts w:ascii="仿宋_GB2312" w:eastAsia="仿宋_GB2312"/>
                <w:sz w:val="28"/>
                <w:szCs w:val="28"/>
              </w:rPr>
            </w:pPr>
            <w:r>
              <w:rPr>
                <w:rFonts w:hint="eastAsia" w:ascii="仿宋_GB2312" w:eastAsia="仿宋_GB2312"/>
                <w:sz w:val="28"/>
                <w:szCs w:val="28"/>
              </w:rPr>
              <w:t xml:space="preserve">衢州市医疗保障局办公室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default" w:ascii="仿宋_GB2312" w:eastAsia="仿宋_GB2312"/>
                <w:sz w:val="28"/>
                <w:szCs w:val="28"/>
                <w:lang w:val="en" w:eastAsia="zh-CN"/>
              </w:rPr>
              <w:t>1</w:t>
            </w:r>
            <w:r>
              <w:rPr>
                <w:rFonts w:hint="default" w:ascii="仿宋_GB2312"/>
                <w:sz w:val="28"/>
                <w:szCs w:val="28"/>
                <w:lang w:val="en" w:eastAsia="zh-CN"/>
              </w:rPr>
              <w:t>8</w:t>
            </w:r>
            <w:r>
              <w:rPr>
                <w:rFonts w:hint="eastAsia" w:ascii="仿宋_GB2312" w:eastAsia="仿宋_GB2312"/>
                <w:sz w:val="28"/>
                <w:szCs w:val="28"/>
              </w:rPr>
              <w:t>日印发</w:t>
            </w:r>
          </w:p>
        </w:tc>
      </w:tr>
    </w:tbl>
    <w:p>
      <w:pPr>
        <w:widowControl/>
        <w:spacing w:line="280" w:lineRule="exact"/>
        <w:textAlignment w:val="center"/>
        <w:rPr>
          <w:rFonts w:hint="eastAsia" w:ascii="仿宋_GB2312" w:hAnsi="仿宋_GB2312" w:eastAsia="仿宋_GB2312" w:cs="仿宋_GB2312"/>
          <w:color w:val="auto"/>
          <w:kern w:val="0"/>
          <w:sz w:val="24"/>
          <w:highlight w:val="none"/>
          <w:lang w:val="en-US" w:eastAsia="zh-CN" w:bidi="ar-SA"/>
        </w:rPr>
      </w:pPr>
    </w:p>
    <w:sectPr>
      <w:footerReference r:id="rId10" w:type="first"/>
      <w:footerReference r:id="rId9" w:type="default"/>
      <w:pgSz w:w="11907" w:h="16840"/>
      <w:pgMar w:top="1440" w:right="1797" w:bottom="1440" w:left="1797" w:header="851" w:footer="992" w:gutter="0"/>
      <w:pgNumType w:fmt="numberInDash"/>
      <w:cols w:space="0" w:num="1"/>
      <w:titlePg/>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蒂剪纸体">
    <w:panose1 w:val="03000600000000000000"/>
    <w:charset w:val="86"/>
    <w:family w:val="script"/>
    <w:pitch w:val="default"/>
    <w:sig w:usb0="00000023" w:usb1="082108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等线">
    <w:altName w:val="黑体"/>
    <w:panose1 w:val="02010600030101010101"/>
    <w:charset w:val="00"/>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等线 Light">
    <w:altName w:val="黑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Ubuntu">
    <w:altName w:val="Segoe Print"/>
    <w:panose1 w:val="020B0604030602030204"/>
    <w:charset w:val="00"/>
    <w:family w:val="swiss"/>
    <w:pitch w:val="default"/>
    <w:sig w:usb0="00000000" w:usb1="00000000" w:usb2="00000000" w:usb3="00000000" w:csb0="2000009F" w:csb1="56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80293"/>
    </w:sdtPr>
    <w:sdtEndPr>
      <w:rPr>
        <w:rFonts w:asciiTheme="minorEastAsia" w:hAnsiTheme="minorEastAsia" w:eastAsiaTheme="minorEastAsia"/>
        <w:sz w:val="28"/>
        <w:szCs w:val="28"/>
      </w:rPr>
    </w:sdtEndPr>
    <w:sdtContent>
      <w:p>
        <w:pPr>
          <w:pStyle w:val="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pPr>
      <w:pStyle w:val="8"/>
      <w:tabs>
        <w:tab w:val="center" w:pos="3976"/>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80289"/>
    </w:sdtPr>
    <w:sdtEndPr>
      <w:rPr>
        <w:rFonts w:asciiTheme="minorEastAsia" w:hAnsiTheme="minorEastAsia" w:eastAsiaTheme="minorEastAsia"/>
        <w:sz w:val="28"/>
        <w:szCs w:val="28"/>
      </w:rPr>
    </w:sdtEndPr>
    <w:sdtContent>
      <w:p>
        <w:pPr>
          <w:pStyle w:val="8"/>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80285"/>
    </w:sdtPr>
    <w:sdtContent>
      <w:p>
        <w:pPr>
          <w:pStyle w:val="8"/>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51815" cy="265430"/>
              <wp:effectExtent l="0" t="0" r="0" b="0"/>
              <wp:wrapNone/>
              <wp:docPr id="5" name="文本框 4"/>
              <wp:cNvGraphicFramePr/>
              <a:graphic xmlns:a="http://schemas.openxmlformats.org/drawingml/2006/main">
                <a:graphicData uri="http://schemas.microsoft.com/office/word/2010/wordprocessingShape">
                  <wps:wsp>
                    <wps:cNvSpPr txBox="1"/>
                    <wps:spPr>
                      <a:xfrm>
                        <a:off x="0" y="0"/>
                        <a:ext cx="551815" cy="265430"/>
                      </a:xfrm>
                      <a:prstGeom prst="rect">
                        <a:avLst/>
                      </a:prstGeom>
                      <a:noFill/>
                      <a:ln>
                        <a:noFill/>
                      </a:ln>
                    </wps:spPr>
                    <wps:txbx>
                      <w:txbxContent>
                        <w:p>
                          <w:pPr>
                            <w:pStyle w:val="8"/>
                            <w:rPr>
                              <w:sz w:val="24"/>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- 55 -</w:t>
                          </w:r>
                          <w:r>
                            <w:rPr>
                              <w:rFonts w:asciiTheme="minorEastAsia" w:hAnsiTheme="minorEastAsia" w:eastAsiaTheme="minorEastAsia"/>
                              <w:sz w:val="28"/>
                              <w:szCs w:val="28"/>
                            </w:rPr>
                            <w:fldChar w:fldCharType="end"/>
                          </w:r>
                          <w:r>
                            <w:rPr>
                              <w:rFonts w:hint="eastAsia"/>
                              <w:sz w:val="24"/>
                            </w:rPr>
                            <w:t>－</w:t>
                          </w:r>
                        </w:p>
                      </w:txbxContent>
                    </wps:txbx>
                    <wps:bodyPr lIns="0" tIns="0" rIns="0" bIns="0" upright="1"/>
                  </wps:wsp>
                </a:graphicData>
              </a:graphic>
            </wp:anchor>
          </w:drawing>
        </mc:Choice>
        <mc:Fallback>
          <w:pict>
            <v:shape id="文本框 4" o:spid="_x0000_s1026" o:spt="202" type="#_x0000_t202" style="position:absolute;left:0pt;margin-top:0pt;height:20.9pt;width:43.45pt;mso-position-horizontal:right;mso-position-horizontal-relative:margin;z-index:251660288;mso-width-relative:page;mso-height-relative:page;" filled="f" stroked="f" coordsize="21600,21600" o:gfxdata="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QtDT9MAAAADAQAADwAAAAAAAAABACAAAAAiAAAAZHJzL2Rvd25yZXYueG1sUEsBAhQAFAAA&#10;AAgAh07iQMleDrq7AQAAcQMAAA4AAAAAAAAAAQAgAAAAIgEAAGRycy9lMm9Eb2MueG1sUEsFBgAA&#10;AAAGAAYAWQEAAE8FAAAAAA==&#10;">
              <v:fill on="f" focussize="0,0"/>
              <v:stroke on="f"/>
              <v:imagedata o:title=""/>
              <o:lock v:ext="edit" aspectratio="f"/>
              <v:textbox inset="0mm,0mm,0mm,0mm">
                <w:txbxContent>
                  <w:p>
                    <w:pPr>
                      <w:pStyle w:val="8"/>
                      <w:rPr>
                        <w:sz w:val="24"/>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- 55 -</w:t>
                    </w:r>
                    <w:r>
                      <w:rPr>
                        <w:rFonts w:asciiTheme="minorEastAsia" w:hAnsiTheme="minorEastAsia" w:eastAsiaTheme="minorEastAsia"/>
                        <w:sz w:val="28"/>
                        <w:szCs w:val="28"/>
                      </w:rPr>
                      <w:fldChar w:fldCharType="end"/>
                    </w:r>
                    <w:r>
                      <w:rPr>
                        <w:rFonts w:hint="eastAsia"/>
                        <w:sz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56 -</w:t>
    </w:r>
    <w:r>
      <w:rPr>
        <w:rFonts w:asciiTheme="minorEastAsia" w:hAnsiTheme="minorEastAsia" w:eastAsiaTheme="minorEastAsia"/>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E85DC"/>
    <w:multiLevelType w:val="singleLevel"/>
    <w:tmpl w:val="89CE85DC"/>
    <w:lvl w:ilvl="0" w:tentative="0">
      <w:start w:val="13"/>
      <w:numFmt w:val="chineseCounting"/>
      <w:suff w:val="nothing"/>
      <w:lvlText w:val="（%1）"/>
      <w:lvlJc w:val="left"/>
      <w:rPr>
        <w:rFonts w:hint="eastAsia"/>
      </w:rPr>
    </w:lvl>
  </w:abstractNum>
  <w:abstractNum w:abstractNumId="1">
    <w:nsid w:val="C97F3E6D"/>
    <w:multiLevelType w:val="singleLevel"/>
    <w:tmpl w:val="C97F3E6D"/>
    <w:lvl w:ilvl="0" w:tentative="0">
      <w:start w:val="8"/>
      <w:numFmt w:val="chineseCounting"/>
      <w:suff w:val="nothing"/>
      <w:lvlText w:val="（%1）"/>
      <w:lvlJc w:val="left"/>
      <w:rPr>
        <w:rFonts w:hint="eastAsia"/>
      </w:rPr>
    </w:lvl>
  </w:abstractNum>
  <w:abstractNum w:abstractNumId="2">
    <w:nsid w:val="F77BE7D8"/>
    <w:multiLevelType w:val="singleLevel"/>
    <w:tmpl w:val="F77BE7D8"/>
    <w:lvl w:ilvl="0" w:tentative="0">
      <w:start w:val="17"/>
      <w:numFmt w:val="chineseCounting"/>
      <w:suff w:val="nothing"/>
      <w:lvlText w:val="（%1）"/>
      <w:lvlJc w:val="left"/>
      <w:rPr>
        <w:rFonts w:hint="eastAsia"/>
      </w:rPr>
    </w:lvl>
  </w:abstractNum>
  <w:abstractNum w:abstractNumId="3">
    <w:nsid w:val="FDCFA68F"/>
    <w:multiLevelType w:val="singleLevel"/>
    <w:tmpl w:val="FDCFA68F"/>
    <w:lvl w:ilvl="0" w:tentative="0">
      <w:start w:val="4"/>
      <w:numFmt w:val="chineseCounting"/>
      <w:suff w:val="nothing"/>
      <w:lvlText w:val="（%1）"/>
      <w:lvlJc w:val="left"/>
      <w:rPr>
        <w:rFonts w:hint="eastAsia"/>
      </w:rPr>
    </w:lvl>
  </w:abstractNum>
  <w:abstractNum w:abstractNumId="4">
    <w:nsid w:val="FEE4BD7E"/>
    <w:multiLevelType w:val="singleLevel"/>
    <w:tmpl w:val="FEE4BD7E"/>
    <w:lvl w:ilvl="0" w:tentative="0">
      <w:start w:val="2"/>
      <w:numFmt w:val="chineseCounting"/>
      <w:suff w:val="nothing"/>
      <w:lvlText w:val="（%1）"/>
      <w:lvlJc w:val="left"/>
      <w:rPr>
        <w:rFonts w:hint="eastAsia"/>
      </w:rPr>
    </w:lvl>
  </w:abstractNum>
  <w:abstractNum w:abstractNumId="5">
    <w:nsid w:val="454C274A"/>
    <w:multiLevelType w:val="multilevel"/>
    <w:tmpl w:val="454C274A"/>
    <w:lvl w:ilvl="0" w:tentative="0">
      <w:start w:val="1"/>
      <w:numFmt w:val="none"/>
      <w:lvlText w:val="一、"/>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7DE504AC"/>
    <w:multiLevelType w:val="singleLevel"/>
    <w:tmpl w:val="7DE504AC"/>
    <w:lvl w:ilvl="0" w:tentative="0">
      <w:start w:val="4"/>
      <w:numFmt w:val="chineseCounting"/>
      <w:suff w:val="nothing"/>
      <w:lvlText w:val="（%1）"/>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46"/>
  <w:drawingGridVerticalSpacing w:val="43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DIyNWVkOWI5ZmE4NjU4MDM3ZTIyOTgzMzJlZTcifQ=="/>
  </w:docVars>
  <w:rsids>
    <w:rsidRoot w:val="729C17FE"/>
    <w:rsid w:val="000003BF"/>
    <w:rsid w:val="000006F7"/>
    <w:rsid w:val="00000D16"/>
    <w:rsid w:val="00000DEF"/>
    <w:rsid w:val="00001424"/>
    <w:rsid w:val="00002506"/>
    <w:rsid w:val="000027A0"/>
    <w:rsid w:val="00004467"/>
    <w:rsid w:val="00004AA3"/>
    <w:rsid w:val="00004BAE"/>
    <w:rsid w:val="00005ADC"/>
    <w:rsid w:val="00005E1C"/>
    <w:rsid w:val="00005EB5"/>
    <w:rsid w:val="0000659C"/>
    <w:rsid w:val="00006A22"/>
    <w:rsid w:val="00006C40"/>
    <w:rsid w:val="00007136"/>
    <w:rsid w:val="00007392"/>
    <w:rsid w:val="0000785A"/>
    <w:rsid w:val="00010374"/>
    <w:rsid w:val="00010543"/>
    <w:rsid w:val="000122BB"/>
    <w:rsid w:val="0001253A"/>
    <w:rsid w:val="00012E94"/>
    <w:rsid w:val="0001347E"/>
    <w:rsid w:val="00013C69"/>
    <w:rsid w:val="000146C1"/>
    <w:rsid w:val="0001521C"/>
    <w:rsid w:val="0001631B"/>
    <w:rsid w:val="0001768A"/>
    <w:rsid w:val="0001778E"/>
    <w:rsid w:val="000201B4"/>
    <w:rsid w:val="0002054D"/>
    <w:rsid w:val="00020797"/>
    <w:rsid w:val="000214A3"/>
    <w:rsid w:val="00021938"/>
    <w:rsid w:val="00022141"/>
    <w:rsid w:val="0002253C"/>
    <w:rsid w:val="00022A51"/>
    <w:rsid w:val="00022B53"/>
    <w:rsid w:val="00022CE6"/>
    <w:rsid w:val="00023364"/>
    <w:rsid w:val="00023BC8"/>
    <w:rsid w:val="00023CA3"/>
    <w:rsid w:val="000245CE"/>
    <w:rsid w:val="00024686"/>
    <w:rsid w:val="00024720"/>
    <w:rsid w:val="0002473C"/>
    <w:rsid w:val="00025EFD"/>
    <w:rsid w:val="00030072"/>
    <w:rsid w:val="000301B3"/>
    <w:rsid w:val="00030359"/>
    <w:rsid w:val="000316A0"/>
    <w:rsid w:val="00032803"/>
    <w:rsid w:val="00032C6F"/>
    <w:rsid w:val="00033782"/>
    <w:rsid w:val="00033B2A"/>
    <w:rsid w:val="00033D67"/>
    <w:rsid w:val="00033D6E"/>
    <w:rsid w:val="00034165"/>
    <w:rsid w:val="00034750"/>
    <w:rsid w:val="00035C14"/>
    <w:rsid w:val="00035EC1"/>
    <w:rsid w:val="0003691D"/>
    <w:rsid w:val="00036D2F"/>
    <w:rsid w:val="00037141"/>
    <w:rsid w:val="000371E8"/>
    <w:rsid w:val="00037760"/>
    <w:rsid w:val="000379B6"/>
    <w:rsid w:val="00040071"/>
    <w:rsid w:val="00040BF7"/>
    <w:rsid w:val="00041524"/>
    <w:rsid w:val="000419CD"/>
    <w:rsid w:val="00041D21"/>
    <w:rsid w:val="000436F9"/>
    <w:rsid w:val="000437CF"/>
    <w:rsid w:val="00043807"/>
    <w:rsid w:val="00045821"/>
    <w:rsid w:val="00045839"/>
    <w:rsid w:val="000474B7"/>
    <w:rsid w:val="000476CC"/>
    <w:rsid w:val="00047E88"/>
    <w:rsid w:val="00047F8F"/>
    <w:rsid w:val="00050562"/>
    <w:rsid w:val="00050AD7"/>
    <w:rsid w:val="00051590"/>
    <w:rsid w:val="000515F0"/>
    <w:rsid w:val="00051657"/>
    <w:rsid w:val="000519DE"/>
    <w:rsid w:val="000537BE"/>
    <w:rsid w:val="0005386A"/>
    <w:rsid w:val="00053B37"/>
    <w:rsid w:val="00054208"/>
    <w:rsid w:val="00055145"/>
    <w:rsid w:val="00055E4F"/>
    <w:rsid w:val="00056781"/>
    <w:rsid w:val="00056A1D"/>
    <w:rsid w:val="000572B2"/>
    <w:rsid w:val="000575E4"/>
    <w:rsid w:val="000607FD"/>
    <w:rsid w:val="00060DD2"/>
    <w:rsid w:val="00061C9D"/>
    <w:rsid w:val="00062673"/>
    <w:rsid w:val="00062909"/>
    <w:rsid w:val="00063569"/>
    <w:rsid w:val="00063BA5"/>
    <w:rsid w:val="00064557"/>
    <w:rsid w:val="00064758"/>
    <w:rsid w:val="00064FF2"/>
    <w:rsid w:val="000659EF"/>
    <w:rsid w:val="000663BA"/>
    <w:rsid w:val="0006723E"/>
    <w:rsid w:val="00067243"/>
    <w:rsid w:val="000701EB"/>
    <w:rsid w:val="00070630"/>
    <w:rsid w:val="00070EBF"/>
    <w:rsid w:val="0007145D"/>
    <w:rsid w:val="00071940"/>
    <w:rsid w:val="00072291"/>
    <w:rsid w:val="000725CD"/>
    <w:rsid w:val="00073147"/>
    <w:rsid w:val="0007379A"/>
    <w:rsid w:val="000747BA"/>
    <w:rsid w:val="00074E96"/>
    <w:rsid w:val="00074F9E"/>
    <w:rsid w:val="000752B1"/>
    <w:rsid w:val="00075601"/>
    <w:rsid w:val="000765DA"/>
    <w:rsid w:val="0007679A"/>
    <w:rsid w:val="00076816"/>
    <w:rsid w:val="00076ABC"/>
    <w:rsid w:val="0007762E"/>
    <w:rsid w:val="00077B20"/>
    <w:rsid w:val="000801C0"/>
    <w:rsid w:val="00081571"/>
    <w:rsid w:val="000816E1"/>
    <w:rsid w:val="00081A22"/>
    <w:rsid w:val="00082263"/>
    <w:rsid w:val="00082453"/>
    <w:rsid w:val="00082816"/>
    <w:rsid w:val="00083A31"/>
    <w:rsid w:val="000843D2"/>
    <w:rsid w:val="00084E66"/>
    <w:rsid w:val="00085137"/>
    <w:rsid w:val="00085603"/>
    <w:rsid w:val="00086196"/>
    <w:rsid w:val="0008647B"/>
    <w:rsid w:val="00087971"/>
    <w:rsid w:val="00087AD2"/>
    <w:rsid w:val="00087E36"/>
    <w:rsid w:val="00090CA8"/>
    <w:rsid w:val="000913B5"/>
    <w:rsid w:val="00091D2E"/>
    <w:rsid w:val="000932CE"/>
    <w:rsid w:val="0009379F"/>
    <w:rsid w:val="00094145"/>
    <w:rsid w:val="00094566"/>
    <w:rsid w:val="00094808"/>
    <w:rsid w:val="00094846"/>
    <w:rsid w:val="00094DFE"/>
    <w:rsid w:val="00094E98"/>
    <w:rsid w:val="00095723"/>
    <w:rsid w:val="00095E04"/>
    <w:rsid w:val="00095EA0"/>
    <w:rsid w:val="00096122"/>
    <w:rsid w:val="00096242"/>
    <w:rsid w:val="000966AA"/>
    <w:rsid w:val="00096706"/>
    <w:rsid w:val="000970D1"/>
    <w:rsid w:val="000A03AF"/>
    <w:rsid w:val="000A163B"/>
    <w:rsid w:val="000A19CF"/>
    <w:rsid w:val="000A1CEF"/>
    <w:rsid w:val="000A1D69"/>
    <w:rsid w:val="000A2041"/>
    <w:rsid w:val="000A23C8"/>
    <w:rsid w:val="000A2556"/>
    <w:rsid w:val="000A27F7"/>
    <w:rsid w:val="000A2A0B"/>
    <w:rsid w:val="000A343E"/>
    <w:rsid w:val="000A3920"/>
    <w:rsid w:val="000A39BC"/>
    <w:rsid w:val="000A3C83"/>
    <w:rsid w:val="000A529F"/>
    <w:rsid w:val="000A671F"/>
    <w:rsid w:val="000A67D1"/>
    <w:rsid w:val="000A7224"/>
    <w:rsid w:val="000A7877"/>
    <w:rsid w:val="000A7D43"/>
    <w:rsid w:val="000B02B3"/>
    <w:rsid w:val="000B0314"/>
    <w:rsid w:val="000B0839"/>
    <w:rsid w:val="000B0897"/>
    <w:rsid w:val="000B12F0"/>
    <w:rsid w:val="000B2884"/>
    <w:rsid w:val="000B2A41"/>
    <w:rsid w:val="000B2CC9"/>
    <w:rsid w:val="000B3165"/>
    <w:rsid w:val="000B3E12"/>
    <w:rsid w:val="000B4D16"/>
    <w:rsid w:val="000B4D3B"/>
    <w:rsid w:val="000B54AF"/>
    <w:rsid w:val="000B5C2D"/>
    <w:rsid w:val="000B600E"/>
    <w:rsid w:val="000B6312"/>
    <w:rsid w:val="000B7466"/>
    <w:rsid w:val="000C0282"/>
    <w:rsid w:val="000C15FC"/>
    <w:rsid w:val="000C16CB"/>
    <w:rsid w:val="000C1714"/>
    <w:rsid w:val="000C2267"/>
    <w:rsid w:val="000C28AF"/>
    <w:rsid w:val="000C36D0"/>
    <w:rsid w:val="000C4049"/>
    <w:rsid w:val="000C5AAD"/>
    <w:rsid w:val="000C5BFC"/>
    <w:rsid w:val="000C5D57"/>
    <w:rsid w:val="000C6791"/>
    <w:rsid w:val="000C6B60"/>
    <w:rsid w:val="000C6CAC"/>
    <w:rsid w:val="000C7203"/>
    <w:rsid w:val="000C7431"/>
    <w:rsid w:val="000C7777"/>
    <w:rsid w:val="000C7DAA"/>
    <w:rsid w:val="000D0285"/>
    <w:rsid w:val="000D0313"/>
    <w:rsid w:val="000D067F"/>
    <w:rsid w:val="000D0ECA"/>
    <w:rsid w:val="000D1630"/>
    <w:rsid w:val="000D1D80"/>
    <w:rsid w:val="000D21FE"/>
    <w:rsid w:val="000D2ED4"/>
    <w:rsid w:val="000D2FD6"/>
    <w:rsid w:val="000D34B9"/>
    <w:rsid w:val="000D37F5"/>
    <w:rsid w:val="000D3DC5"/>
    <w:rsid w:val="000D3E5B"/>
    <w:rsid w:val="000D45A3"/>
    <w:rsid w:val="000D4707"/>
    <w:rsid w:val="000D4E6B"/>
    <w:rsid w:val="000D4F89"/>
    <w:rsid w:val="000D6E16"/>
    <w:rsid w:val="000D7B54"/>
    <w:rsid w:val="000E01D8"/>
    <w:rsid w:val="000E04FD"/>
    <w:rsid w:val="000E09BD"/>
    <w:rsid w:val="000E0AD6"/>
    <w:rsid w:val="000E0E3F"/>
    <w:rsid w:val="000E12C2"/>
    <w:rsid w:val="000E1543"/>
    <w:rsid w:val="000E21A3"/>
    <w:rsid w:val="000E2386"/>
    <w:rsid w:val="000E270C"/>
    <w:rsid w:val="000E477C"/>
    <w:rsid w:val="000E4965"/>
    <w:rsid w:val="000E5014"/>
    <w:rsid w:val="000E516F"/>
    <w:rsid w:val="000E5772"/>
    <w:rsid w:val="000E6108"/>
    <w:rsid w:val="000E6297"/>
    <w:rsid w:val="000E684C"/>
    <w:rsid w:val="000E6A4D"/>
    <w:rsid w:val="000E6C52"/>
    <w:rsid w:val="000E71FE"/>
    <w:rsid w:val="000E7ED9"/>
    <w:rsid w:val="000F0614"/>
    <w:rsid w:val="000F1EA4"/>
    <w:rsid w:val="000F34B1"/>
    <w:rsid w:val="000F3866"/>
    <w:rsid w:val="000F3C59"/>
    <w:rsid w:val="000F4FCA"/>
    <w:rsid w:val="000F5386"/>
    <w:rsid w:val="000F716F"/>
    <w:rsid w:val="000F771B"/>
    <w:rsid w:val="000F78DB"/>
    <w:rsid w:val="000F7940"/>
    <w:rsid w:val="000F7A89"/>
    <w:rsid w:val="001004B9"/>
    <w:rsid w:val="001004EE"/>
    <w:rsid w:val="001004FA"/>
    <w:rsid w:val="001007CA"/>
    <w:rsid w:val="001009E5"/>
    <w:rsid w:val="00100F17"/>
    <w:rsid w:val="00100FC7"/>
    <w:rsid w:val="0010160A"/>
    <w:rsid w:val="00101A82"/>
    <w:rsid w:val="00102100"/>
    <w:rsid w:val="00102883"/>
    <w:rsid w:val="001032AF"/>
    <w:rsid w:val="00103483"/>
    <w:rsid w:val="00103657"/>
    <w:rsid w:val="00104218"/>
    <w:rsid w:val="00104475"/>
    <w:rsid w:val="00104940"/>
    <w:rsid w:val="001050BF"/>
    <w:rsid w:val="00105F1C"/>
    <w:rsid w:val="00106017"/>
    <w:rsid w:val="00106631"/>
    <w:rsid w:val="00106732"/>
    <w:rsid w:val="00106BB2"/>
    <w:rsid w:val="00107862"/>
    <w:rsid w:val="00107B89"/>
    <w:rsid w:val="00107D28"/>
    <w:rsid w:val="00107F25"/>
    <w:rsid w:val="00110594"/>
    <w:rsid w:val="001107F0"/>
    <w:rsid w:val="00110C5E"/>
    <w:rsid w:val="0011147F"/>
    <w:rsid w:val="0011182C"/>
    <w:rsid w:val="00111D5D"/>
    <w:rsid w:val="00112238"/>
    <w:rsid w:val="001127D6"/>
    <w:rsid w:val="00112993"/>
    <w:rsid w:val="00112D2A"/>
    <w:rsid w:val="001142D0"/>
    <w:rsid w:val="00114501"/>
    <w:rsid w:val="00114DE2"/>
    <w:rsid w:val="0011535A"/>
    <w:rsid w:val="00115882"/>
    <w:rsid w:val="00115CA3"/>
    <w:rsid w:val="00116444"/>
    <w:rsid w:val="00116C2D"/>
    <w:rsid w:val="001174A1"/>
    <w:rsid w:val="0011758F"/>
    <w:rsid w:val="00117A9C"/>
    <w:rsid w:val="00117E8E"/>
    <w:rsid w:val="00120185"/>
    <w:rsid w:val="001206E5"/>
    <w:rsid w:val="00122293"/>
    <w:rsid w:val="00122432"/>
    <w:rsid w:val="00122830"/>
    <w:rsid w:val="001229F5"/>
    <w:rsid w:val="001237C2"/>
    <w:rsid w:val="00123FBB"/>
    <w:rsid w:val="001241A6"/>
    <w:rsid w:val="001244F6"/>
    <w:rsid w:val="0012503C"/>
    <w:rsid w:val="001250F1"/>
    <w:rsid w:val="00125142"/>
    <w:rsid w:val="00126431"/>
    <w:rsid w:val="001265DC"/>
    <w:rsid w:val="00126974"/>
    <w:rsid w:val="001302E3"/>
    <w:rsid w:val="00130AE9"/>
    <w:rsid w:val="001310F6"/>
    <w:rsid w:val="0013198E"/>
    <w:rsid w:val="00131D3A"/>
    <w:rsid w:val="001327F6"/>
    <w:rsid w:val="00132F57"/>
    <w:rsid w:val="001333B4"/>
    <w:rsid w:val="00133D8A"/>
    <w:rsid w:val="00134102"/>
    <w:rsid w:val="001349B9"/>
    <w:rsid w:val="00135313"/>
    <w:rsid w:val="00136D64"/>
    <w:rsid w:val="00136EC2"/>
    <w:rsid w:val="00137F3C"/>
    <w:rsid w:val="00140E65"/>
    <w:rsid w:val="0014119C"/>
    <w:rsid w:val="001411D7"/>
    <w:rsid w:val="0014319C"/>
    <w:rsid w:val="0014322B"/>
    <w:rsid w:val="001437D9"/>
    <w:rsid w:val="00143A48"/>
    <w:rsid w:val="001442C4"/>
    <w:rsid w:val="0014579E"/>
    <w:rsid w:val="001466F9"/>
    <w:rsid w:val="001468DF"/>
    <w:rsid w:val="00147AFA"/>
    <w:rsid w:val="00147C1C"/>
    <w:rsid w:val="0015114C"/>
    <w:rsid w:val="00151657"/>
    <w:rsid w:val="0015326D"/>
    <w:rsid w:val="0015359D"/>
    <w:rsid w:val="001535D1"/>
    <w:rsid w:val="00154612"/>
    <w:rsid w:val="001548A1"/>
    <w:rsid w:val="00154F13"/>
    <w:rsid w:val="00154F6E"/>
    <w:rsid w:val="0015559B"/>
    <w:rsid w:val="00156207"/>
    <w:rsid w:val="001567C4"/>
    <w:rsid w:val="00156C15"/>
    <w:rsid w:val="0015798A"/>
    <w:rsid w:val="00157A58"/>
    <w:rsid w:val="00157CD0"/>
    <w:rsid w:val="00160F1E"/>
    <w:rsid w:val="001616B2"/>
    <w:rsid w:val="00162982"/>
    <w:rsid w:val="00163110"/>
    <w:rsid w:val="00163B1B"/>
    <w:rsid w:val="00164002"/>
    <w:rsid w:val="001640A2"/>
    <w:rsid w:val="001641C4"/>
    <w:rsid w:val="0016456E"/>
    <w:rsid w:val="00165C24"/>
    <w:rsid w:val="0016602F"/>
    <w:rsid w:val="00166D9E"/>
    <w:rsid w:val="00167239"/>
    <w:rsid w:val="0016733D"/>
    <w:rsid w:val="00167924"/>
    <w:rsid w:val="00167DE4"/>
    <w:rsid w:val="00170971"/>
    <w:rsid w:val="001711C4"/>
    <w:rsid w:val="00171A0E"/>
    <w:rsid w:val="0017224B"/>
    <w:rsid w:val="0017249D"/>
    <w:rsid w:val="00172600"/>
    <w:rsid w:val="0017316F"/>
    <w:rsid w:val="0017345D"/>
    <w:rsid w:val="0017417D"/>
    <w:rsid w:val="00174390"/>
    <w:rsid w:val="001752A6"/>
    <w:rsid w:val="00175A7D"/>
    <w:rsid w:val="00176300"/>
    <w:rsid w:val="0017697C"/>
    <w:rsid w:val="0017741E"/>
    <w:rsid w:val="001774C6"/>
    <w:rsid w:val="00177628"/>
    <w:rsid w:val="001776A9"/>
    <w:rsid w:val="001779F6"/>
    <w:rsid w:val="00177B5E"/>
    <w:rsid w:val="00177B9B"/>
    <w:rsid w:val="00180239"/>
    <w:rsid w:val="00180391"/>
    <w:rsid w:val="00180619"/>
    <w:rsid w:val="0018084B"/>
    <w:rsid w:val="00181026"/>
    <w:rsid w:val="00181668"/>
    <w:rsid w:val="001816C5"/>
    <w:rsid w:val="00181B3B"/>
    <w:rsid w:val="00181CAC"/>
    <w:rsid w:val="001822A8"/>
    <w:rsid w:val="00182D17"/>
    <w:rsid w:val="00182DAB"/>
    <w:rsid w:val="00183D83"/>
    <w:rsid w:val="00183FBE"/>
    <w:rsid w:val="0018459C"/>
    <w:rsid w:val="00184B87"/>
    <w:rsid w:val="00184D00"/>
    <w:rsid w:val="00185083"/>
    <w:rsid w:val="00185A90"/>
    <w:rsid w:val="001860EE"/>
    <w:rsid w:val="0018680A"/>
    <w:rsid w:val="00186D1C"/>
    <w:rsid w:val="0018752C"/>
    <w:rsid w:val="00187F3E"/>
    <w:rsid w:val="0019063E"/>
    <w:rsid w:val="00190732"/>
    <w:rsid w:val="0019077B"/>
    <w:rsid w:val="001918B4"/>
    <w:rsid w:val="001922E6"/>
    <w:rsid w:val="0019286A"/>
    <w:rsid w:val="00192948"/>
    <w:rsid w:val="001929B2"/>
    <w:rsid w:val="00192F15"/>
    <w:rsid w:val="001945B4"/>
    <w:rsid w:val="00194D3E"/>
    <w:rsid w:val="00197404"/>
    <w:rsid w:val="00197AB6"/>
    <w:rsid w:val="00197C3C"/>
    <w:rsid w:val="00197C77"/>
    <w:rsid w:val="001A0315"/>
    <w:rsid w:val="001A0BBF"/>
    <w:rsid w:val="001A0DF7"/>
    <w:rsid w:val="001A1779"/>
    <w:rsid w:val="001A26A5"/>
    <w:rsid w:val="001A2A73"/>
    <w:rsid w:val="001A2CD8"/>
    <w:rsid w:val="001A3143"/>
    <w:rsid w:val="001A3F6F"/>
    <w:rsid w:val="001A4B6B"/>
    <w:rsid w:val="001A519E"/>
    <w:rsid w:val="001A51F8"/>
    <w:rsid w:val="001A5892"/>
    <w:rsid w:val="001A5BCC"/>
    <w:rsid w:val="001A5FC3"/>
    <w:rsid w:val="001A6359"/>
    <w:rsid w:val="001A6FCD"/>
    <w:rsid w:val="001A77C1"/>
    <w:rsid w:val="001B005C"/>
    <w:rsid w:val="001B0153"/>
    <w:rsid w:val="001B08E7"/>
    <w:rsid w:val="001B0B0F"/>
    <w:rsid w:val="001B0E8C"/>
    <w:rsid w:val="001B17A3"/>
    <w:rsid w:val="001B21BB"/>
    <w:rsid w:val="001B24F6"/>
    <w:rsid w:val="001B2662"/>
    <w:rsid w:val="001B2762"/>
    <w:rsid w:val="001B29EE"/>
    <w:rsid w:val="001B2D7F"/>
    <w:rsid w:val="001B3269"/>
    <w:rsid w:val="001B3279"/>
    <w:rsid w:val="001B3C44"/>
    <w:rsid w:val="001B4F56"/>
    <w:rsid w:val="001B5441"/>
    <w:rsid w:val="001B565D"/>
    <w:rsid w:val="001B6265"/>
    <w:rsid w:val="001B63D7"/>
    <w:rsid w:val="001B64A8"/>
    <w:rsid w:val="001B6C7A"/>
    <w:rsid w:val="001B776D"/>
    <w:rsid w:val="001B7F48"/>
    <w:rsid w:val="001C0171"/>
    <w:rsid w:val="001C0A9B"/>
    <w:rsid w:val="001C1306"/>
    <w:rsid w:val="001C1976"/>
    <w:rsid w:val="001C20A7"/>
    <w:rsid w:val="001C2121"/>
    <w:rsid w:val="001C28A8"/>
    <w:rsid w:val="001C3469"/>
    <w:rsid w:val="001C373A"/>
    <w:rsid w:val="001C3CC3"/>
    <w:rsid w:val="001C4D09"/>
    <w:rsid w:val="001C5081"/>
    <w:rsid w:val="001C54AB"/>
    <w:rsid w:val="001C5EFB"/>
    <w:rsid w:val="001C6461"/>
    <w:rsid w:val="001C6683"/>
    <w:rsid w:val="001C66E0"/>
    <w:rsid w:val="001C696E"/>
    <w:rsid w:val="001C6984"/>
    <w:rsid w:val="001C69A2"/>
    <w:rsid w:val="001C737B"/>
    <w:rsid w:val="001C7C93"/>
    <w:rsid w:val="001C7E15"/>
    <w:rsid w:val="001D021C"/>
    <w:rsid w:val="001D2138"/>
    <w:rsid w:val="001D2B68"/>
    <w:rsid w:val="001D2BC9"/>
    <w:rsid w:val="001D3CE7"/>
    <w:rsid w:val="001D4737"/>
    <w:rsid w:val="001D4A57"/>
    <w:rsid w:val="001D4F5B"/>
    <w:rsid w:val="001D5064"/>
    <w:rsid w:val="001D57B7"/>
    <w:rsid w:val="001D5C9B"/>
    <w:rsid w:val="001D5E37"/>
    <w:rsid w:val="001D6869"/>
    <w:rsid w:val="001D6D48"/>
    <w:rsid w:val="001D6D6E"/>
    <w:rsid w:val="001D7337"/>
    <w:rsid w:val="001D73EB"/>
    <w:rsid w:val="001D742B"/>
    <w:rsid w:val="001D7850"/>
    <w:rsid w:val="001E0436"/>
    <w:rsid w:val="001E0ED9"/>
    <w:rsid w:val="001E1539"/>
    <w:rsid w:val="001E18BA"/>
    <w:rsid w:val="001E1C9D"/>
    <w:rsid w:val="001E2C25"/>
    <w:rsid w:val="001E3209"/>
    <w:rsid w:val="001E3406"/>
    <w:rsid w:val="001E35FF"/>
    <w:rsid w:val="001E3F1D"/>
    <w:rsid w:val="001E4011"/>
    <w:rsid w:val="001E4267"/>
    <w:rsid w:val="001E42F4"/>
    <w:rsid w:val="001E44E1"/>
    <w:rsid w:val="001E486F"/>
    <w:rsid w:val="001E4EEC"/>
    <w:rsid w:val="001E50E6"/>
    <w:rsid w:val="001E5264"/>
    <w:rsid w:val="001E5C11"/>
    <w:rsid w:val="001E6E5A"/>
    <w:rsid w:val="001E7C8A"/>
    <w:rsid w:val="001E7CA7"/>
    <w:rsid w:val="001F0429"/>
    <w:rsid w:val="001F1669"/>
    <w:rsid w:val="001F249F"/>
    <w:rsid w:val="001F2AC3"/>
    <w:rsid w:val="001F2B10"/>
    <w:rsid w:val="001F2E29"/>
    <w:rsid w:val="001F2F66"/>
    <w:rsid w:val="001F4AB6"/>
    <w:rsid w:val="001F4D35"/>
    <w:rsid w:val="001F4D73"/>
    <w:rsid w:val="001F4DE3"/>
    <w:rsid w:val="001F4F31"/>
    <w:rsid w:val="001F5B18"/>
    <w:rsid w:val="001F5B1E"/>
    <w:rsid w:val="001F60AE"/>
    <w:rsid w:val="001F6356"/>
    <w:rsid w:val="001F676E"/>
    <w:rsid w:val="001F686E"/>
    <w:rsid w:val="001F7C04"/>
    <w:rsid w:val="00200493"/>
    <w:rsid w:val="00200589"/>
    <w:rsid w:val="00200710"/>
    <w:rsid w:val="00200A5B"/>
    <w:rsid w:val="00201306"/>
    <w:rsid w:val="00201856"/>
    <w:rsid w:val="00202493"/>
    <w:rsid w:val="0020253E"/>
    <w:rsid w:val="0020280C"/>
    <w:rsid w:val="00202A3D"/>
    <w:rsid w:val="00204114"/>
    <w:rsid w:val="00204215"/>
    <w:rsid w:val="00204384"/>
    <w:rsid w:val="002047A1"/>
    <w:rsid w:val="00204B08"/>
    <w:rsid w:val="00205138"/>
    <w:rsid w:val="002056EF"/>
    <w:rsid w:val="00205805"/>
    <w:rsid w:val="00205B2C"/>
    <w:rsid w:val="00206C25"/>
    <w:rsid w:val="00207007"/>
    <w:rsid w:val="00207416"/>
    <w:rsid w:val="00207D6F"/>
    <w:rsid w:val="0021082B"/>
    <w:rsid w:val="0021114F"/>
    <w:rsid w:val="00212EF0"/>
    <w:rsid w:val="0021302D"/>
    <w:rsid w:val="002139C4"/>
    <w:rsid w:val="0021439C"/>
    <w:rsid w:val="00214661"/>
    <w:rsid w:val="00214AAB"/>
    <w:rsid w:val="00214BCF"/>
    <w:rsid w:val="00214F2A"/>
    <w:rsid w:val="0021508F"/>
    <w:rsid w:val="00215518"/>
    <w:rsid w:val="00215B00"/>
    <w:rsid w:val="00216921"/>
    <w:rsid w:val="00216CE9"/>
    <w:rsid w:val="002170FB"/>
    <w:rsid w:val="002173B8"/>
    <w:rsid w:val="002173E2"/>
    <w:rsid w:val="0021747B"/>
    <w:rsid w:val="00217C5D"/>
    <w:rsid w:val="00217D39"/>
    <w:rsid w:val="00220980"/>
    <w:rsid w:val="00221598"/>
    <w:rsid w:val="00221C57"/>
    <w:rsid w:val="00222314"/>
    <w:rsid w:val="00222FA5"/>
    <w:rsid w:val="00223E9B"/>
    <w:rsid w:val="002242A4"/>
    <w:rsid w:val="0022496D"/>
    <w:rsid w:val="00224D7F"/>
    <w:rsid w:val="00225C0B"/>
    <w:rsid w:val="00225D0F"/>
    <w:rsid w:val="0022618E"/>
    <w:rsid w:val="00226670"/>
    <w:rsid w:val="00226D04"/>
    <w:rsid w:val="00227000"/>
    <w:rsid w:val="00230574"/>
    <w:rsid w:val="00230D76"/>
    <w:rsid w:val="00231CB8"/>
    <w:rsid w:val="00231D17"/>
    <w:rsid w:val="00231DA3"/>
    <w:rsid w:val="00232809"/>
    <w:rsid w:val="00232846"/>
    <w:rsid w:val="0023289C"/>
    <w:rsid w:val="00232AED"/>
    <w:rsid w:val="00232D33"/>
    <w:rsid w:val="0023305D"/>
    <w:rsid w:val="002335D1"/>
    <w:rsid w:val="00235255"/>
    <w:rsid w:val="0023530F"/>
    <w:rsid w:val="00235DCE"/>
    <w:rsid w:val="002367C5"/>
    <w:rsid w:val="002368C0"/>
    <w:rsid w:val="00236EDC"/>
    <w:rsid w:val="00237216"/>
    <w:rsid w:val="0023751A"/>
    <w:rsid w:val="00237FE9"/>
    <w:rsid w:val="002401A2"/>
    <w:rsid w:val="00240439"/>
    <w:rsid w:val="002415F2"/>
    <w:rsid w:val="00242917"/>
    <w:rsid w:val="00246831"/>
    <w:rsid w:val="00247F55"/>
    <w:rsid w:val="002506E1"/>
    <w:rsid w:val="002506ED"/>
    <w:rsid w:val="00250722"/>
    <w:rsid w:val="00250DDA"/>
    <w:rsid w:val="00250E5A"/>
    <w:rsid w:val="00250F7C"/>
    <w:rsid w:val="002511AD"/>
    <w:rsid w:val="00251213"/>
    <w:rsid w:val="00252B64"/>
    <w:rsid w:val="00252D09"/>
    <w:rsid w:val="00252E9B"/>
    <w:rsid w:val="00253B8E"/>
    <w:rsid w:val="00254730"/>
    <w:rsid w:val="00254DEA"/>
    <w:rsid w:val="0025554F"/>
    <w:rsid w:val="0025585E"/>
    <w:rsid w:val="0025759A"/>
    <w:rsid w:val="00257817"/>
    <w:rsid w:val="00257845"/>
    <w:rsid w:val="002603FB"/>
    <w:rsid w:val="002608D8"/>
    <w:rsid w:val="00260D59"/>
    <w:rsid w:val="00261421"/>
    <w:rsid w:val="00261B0E"/>
    <w:rsid w:val="00261C41"/>
    <w:rsid w:val="00261FCF"/>
    <w:rsid w:val="0026261D"/>
    <w:rsid w:val="00263952"/>
    <w:rsid w:val="00263DAF"/>
    <w:rsid w:val="00263E93"/>
    <w:rsid w:val="002641FD"/>
    <w:rsid w:val="002649BD"/>
    <w:rsid w:val="00264C8C"/>
    <w:rsid w:val="002654A6"/>
    <w:rsid w:val="0026580F"/>
    <w:rsid w:val="002659F6"/>
    <w:rsid w:val="00265E8C"/>
    <w:rsid w:val="00266638"/>
    <w:rsid w:val="00267270"/>
    <w:rsid w:val="00270837"/>
    <w:rsid w:val="00270D07"/>
    <w:rsid w:val="00271AF8"/>
    <w:rsid w:val="00271B62"/>
    <w:rsid w:val="00271D82"/>
    <w:rsid w:val="0027265B"/>
    <w:rsid w:val="00272E31"/>
    <w:rsid w:val="002734E6"/>
    <w:rsid w:val="00273FC8"/>
    <w:rsid w:val="002743A7"/>
    <w:rsid w:val="00275461"/>
    <w:rsid w:val="00275D65"/>
    <w:rsid w:val="002768BB"/>
    <w:rsid w:val="00277232"/>
    <w:rsid w:val="00277861"/>
    <w:rsid w:val="00280C94"/>
    <w:rsid w:val="00280CCA"/>
    <w:rsid w:val="002818E2"/>
    <w:rsid w:val="00282A13"/>
    <w:rsid w:val="00282ABC"/>
    <w:rsid w:val="00282BD1"/>
    <w:rsid w:val="0028354D"/>
    <w:rsid w:val="00283838"/>
    <w:rsid w:val="0028532C"/>
    <w:rsid w:val="00285D0A"/>
    <w:rsid w:val="002865F1"/>
    <w:rsid w:val="00286CDC"/>
    <w:rsid w:val="00286D65"/>
    <w:rsid w:val="00286EA9"/>
    <w:rsid w:val="0028730A"/>
    <w:rsid w:val="002877C9"/>
    <w:rsid w:val="00291511"/>
    <w:rsid w:val="002915B6"/>
    <w:rsid w:val="00291672"/>
    <w:rsid w:val="00291A53"/>
    <w:rsid w:val="00292465"/>
    <w:rsid w:val="002930AC"/>
    <w:rsid w:val="002932E3"/>
    <w:rsid w:val="0029449A"/>
    <w:rsid w:val="0029464F"/>
    <w:rsid w:val="00294CA8"/>
    <w:rsid w:val="002953A0"/>
    <w:rsid w:val="002954E5"/>
    <w:rsid w:val="002954EA"/>
    <w:rsid w:val="0029585F"/>
    <w:rsid w:val="0029627B"/>
    <w:rsid w:val="00296334"/>
    <w:rsid w:val="002964E3"/>
    <w:rsid w:val="0029717C"/>
    <w:rsid w:val="00297346"/>
    <w:rsid w:val="002A00B7"/>
    <w:rsid w:val="002A03BD"/>
    <w:rsid w:val="002A074D"/>
    <w:rsid w:val="002A086E"/>
    <w:rsid w:val="002A094D"/>
    <w:rsid w:val="002A0CDB"/>
    <w:rsid w:val="002A1537"/>
    <w:rsid w:val="002A1AD7"/>
    <w:rsid w:val="002A1E78"/>
    <w:rsid w:val="002A27ED"/>
    <w:rsid w:val="002A3710"/>
    <w:rsid w:val="002A4CE4"/>
    <w:rsid w:val="002A54F0"/>
    <w:rsid w:val="002A5726"/>
    <w:rsid w:val="002A658D"/>
    <w:rsid w:val="002A7970"/>
    <w:rsid w:val="002A7E33"/>
    <w:rsid w:val="002A7F9F"/>
    <w:rsid w:val="002B065E"/>
    <w:rsid w:val="002B0B64"/>
    <w:rsid w:val="002B11A6"/>
    <w:rsid w:val="002B12A8"/>
    <w:rsid w:val="002B20BF"/>
    <w:rsid w:val="002B212E"/>
    <w:rsid w:val="002B2D5C"/>
    <w:rsid w:val="002B310E"/>
    <w:rsid w:val="002B320D"/>
    <w:rsid w:val="002B329B"/>
    <w:rsid w:val="002B3607"/>
    <w:rsid w:val="002B3F26"/>
    <w:rsid w:val="002B4D33"/>
    <w:rsid w:val="002B5153"/>
    <w:rsid w:val="002B66F3"/>
    <w:rsid w:val="002B6897"/>
    <w:rsid w:val="002B6936"/>
    <w:rsid w:val="002B6A44"/>
    <w:rsid w:val="002B7201"/>
    <w:rsid w:val="002B7245"/>
    <w:rsid w:val="002B7ABB"/>
    <w:rsid w:val="002C0A9F"/>
    <w:rsid w:val="002C0AD4"/>
    <w:rsid w:val="002C1785"/>
    <w:rsid w:val="002C1B27"/>
    <w:rsid w:val="002C1B28"/>
    <w:rsid w:val="002C1F9B"/>
    <w:rsid w:val="002C22D3"/>
    <w:rsid w:val="002C2304"/>
    <w:rsid w:val="002C2A4F"/>
    <w:rsid w:val="002C2C7C"/>
    <w:rsid w:val="002C3AB1"/>
    <w:rsid w:val="002C3FFB"/>
    <w:rsid w:val="002C438B"/>
    <w:rsid w:val="002C6491"/>
    <w:rsid w:val="002C6BD9"/>
    <w:rsid w:val="002C7927"/>
    <w:rsid w:val="002D10F9"/>
    <w:rsid w:val="002D1BCA"/>
    <w:rsid w:val="002D23A5"/>
    <w:rsid w:val="002D252F"/>
    <w:rsid w:val="002D2BBC"/>
    <w:rsid w:val="002D4823"/>
    <w:rsid w:val="002D4D38"/>
    <w:rsid w:val="002D5411"/>
    <w:rsid w:val="002D64CB"/>
    <w:rsid w:val="002D6ED0"/>
    <w:rsid w:val="002D72D1"/>
    <w:rsid w:val="002D7EB9"/>
    <w:rsid w:val="002D7FA1"/>
    <w:rsid w:val="002E05C7"/>
    <w:rsid w:val="002E0CE0"/>
    <w:rsid w:val="002E0FAC"/>
    <w:rsid w:val="002E1C25"/>
    <w:rsid w:val="002E1C5B"/>
    <w:rsid w:val="002E356B"/>
    <w:rsid w:val="002E3EF5"/>
    <w:rsid w:val="002E4EA8"/>
    <w:rsid w:val="002E5A2A"/>
    <w:rsid w:val="002E5AEE"/>
    <w:rsid w:val="002E62A1"/>
    <w:rsid w:val="002E6CBE"/>
    <w:rsid w:val="002E72D0"/>
    <w:rsid w:val="002E7434"/>
    <w:rsid w:val="002E7E2C"/>
    <w:rsid w:val="002E7F89"/>
    <w:rsid w:val="002F0024"/>
    <w:rsid w:val="002F0102"/>
    <w:rsid w:val="002F1578"/>
    <w:rsid w:val="002F166F"/>
    <w:rsid w:val="002F1921"/>
    <w:rsid w:val="002F26EF"/>
    <w:rsid w:val="002F40FB"/>
    <w:rsid w:val="002F4422"/>
    <w:rsid w:val="002F4659"/>
    <w:rsid w:val="002F5C35"/>
    <w:rsid w:val="002F5CD1"/>
    <w:rsid w:val="002F6D10"/>
    <w:rsid w:val="002F6D18"/>
    <w:rsid w:val="002F6D62"/>
    <w:rsid w:val="002F6FA2"/>
    <w:rsid w:val="002F7432"/>
    <w:rsid w:val="002F7A97"/>
    <w:rsid w:val="002F7BB2"/>
    <w:rsid w:val="002F7EBC"/>
    <w:rsid w:val="0030195B"/>
    <w:rsid w:val="00301BE5"/>
    <w:rsid w:val="00302163"/>
    <w:rsid w:val="00302AD8"/>
    <w:rsid w:val="00302BC4"/>
    <w:rsid w:val="00304F2E"/>
    <w:rsid w:val="00306407"/>
    <w:rsid w:val="00306F10"/>
    <w:rsid w:val="00306F77"/>
    <w:rsid w:val="00307CD4"/>
    <w:rsid w:val="00307E4C"/>
    <w:rsid w:val="00310493"/>
    <w:rsid w:val="00310A23"/>
    <w:rsid w:val="0031119F"/>
    <w:rsid w:val="0031183C"/>
    <w:rsid w:val="003118BD"/>
    <w:rsid w:val="0031236E"/>
    <w:rsid w:val="00312465"/>
    <w:rsid w:val="00312E9F"/>
    <w:rsid w:val="00312F6B"/>
    <w:rsid w:val="0031412F"/>
    <w:rsid w:val="00314537"/>
    <w:rsid w:val="00314A17"/>
    <w:rsid w:val="00315211"/>
    <w:rsid w:val="003152AE"/>
    <w:rsid w:val="003154D0"/>
    <w:rsid w:val="0031585F"/>
    <w:rsid w:val="003159ED"/>
    <w:rsid w:val="00315B61"/>
    <w:rsid w:val="00315EE3"/>
    <w:rsid w:val="00315F86"/>
    <w:rsid w:val="00316D22"/>
    <w:rsid w:val="003178CF"/>
    <w:rsid w:val="00317AC3"/>
    <w:rsid w:val="00317EA6"/>
    <w:rsid w:val="00317F39"/>
    <w:rsid w:val="00320FC6"/>
    <w:rsid w:val="003213B5"/>
    <w:rsid w:val="00321541"/>
    <w:rsid w:val="0032177A"/>
    <w:rsid w:val="0032189D"/>
    <w:rsid w:val="00322021"/>
    <w:rsid w:val="003229CD"/>
    <w:rsid w:val="00323176"/>
    <w:rsid w:val="00323397"/>
    <w:rsid w:val="003233E3"/>
    <w:rsid w:val="003236B0"/>
    <w:rsid w:val="003241D8"/>
    <w:rsid w:val="00324962"/>
    <w:rsid w:val="00324A89"/>
    <w:rsid w:val="003250E1"/>
    <w:rsid w:val="00327611"/>
    <w:rsid w:val="00330E0A"/>
    <w:rsid w:val="003316D8"/>
    <w:rsid w:val="003319FD"/>
    <w:rsid w:val="003321F5"/>
    <w:rsid w:val="00332266"/>
    <w:rsid w:val="00332633"/>
    <w:rsid w:val="003332E7"/>
    <w:rsid w:val="003334F8"/>
    <w:rsid w:val="00333547"/>
    <w:rsid w:val="0033423F"/>
    <w:rsid w:val="003344DE"/>
    <w:rsid w:val="00334B10"/>
    <w:rsid w:val="00334DAD"/>
    <w:rsid w:val="00334E54"/>
    <w:rsid w:val="00334F56"/>
    <w:rsid w:val="00335375"/>
    <w:rsid w:val="00335B83"/>
    <w:rsid w:val="00335E0D"/>
    <w:rsid w:val="00336494"/>
    <w:rsid w:val="00336693"/>
    <w:rsid w:val="00336709"/>
    <w:rsid w:val="00336889"/>
    <w:rsid w:val="00336DE5"/>
    <w:rsid w:val="00336E36"/>
    <w:rsid w:val="0033717A"/>
    <w:rsid w:val="0033733B"/>
    <w:rsid w:val="003373FE"/>
    <w:rsid w:val="0033773B"/>
    <w:rsid w:val="00337D20"/>
    <w:rsid w:val="00337E1F"/>
    <w:rsid w:val="0034060D"/>
    <w:rsid w:val="0034144B"/>
    <w:rsid w:val="00341CA6"/>
    <w:rsid w:val="00342976"/>
    <w:rsid w:val="003432C9"/>
    <w:rsid w:val="00343515"/>
    <w:rsid w:val="00344BA2"/>
    <w:rsid w:val="0034509A"/>
    <w:rsid w:val="003453B8"/>
    <w:rsid w:val="00345743"/>
    <w:rsid w:val="00347011"/>
    <w:rsid w:val="00347145"/>
    <w:rsid w:val="0034750E"/>
    <w:rsid w:val="0034754A"/>
    <w:rsid w:val="00347ED6"/>
    <w:rsid w:val="00350744"/>
    <w:rsid w:val="003511F1"/>
    <w:rsid w:val="003527BF"/>
    <w:rsid w:val="003528C2"/>
    <w:rsid w:val="00352B16"/>
    <w:rsid w:val="003544E3"/>
    <w:rsid w:val="00354A2B"/>
    <w:rsid w:val="00354DE8"/>
    <w:rsid w:val="0035548A"/>
    <w:rsid w:val="00355745"/>
    <w:rsid w:val="00356085"/>
    <w:rsid w:val="003564F5"/>
    <w:rsid w:val="00356875"/>
    <w:rsid w:val="00356B9C"/>
    <w:rsid w:val="0035742A"/>
    <w:rsid w:val="00361B13"/>
    <w:rsid w:val="003623B1"/>
    <w:rsid w:val="0036325B"/>
    <w:rsid w:val="003639B3"/>
    <w:rsid w:val="00363A22"/>
    <w:rsid w:val="00364234"/>
    <w:rsid w:val="003643C4"/>
    <w:rsid w:val="00364B4B"/>
    <w:rsid w:val="00364C35"/>
    <w:rsid w:val="00364CE4"/>
    <w:rsid w:val="003653CC"/>
    <w:rsid w:val="00366480"/>
    <w:rsid w:val="003664FE"/>
    <w:rsid w:val="0036680B"/>
    <w:rsid w:val="00366AF6"/>
    <w:rsid w:val="00366C06"/>
    <w:rsid w:val="00366D84"/>
    <w:rsid w:val="003705FF"/>
    <w:rsid w:val="003706FC"/>
    <w:rsid w:val="00370A3F"/>
    <w:rsid w:val="003710AB"/>
    <w:rsid w:val="003733AF"/>
    <w:rsid w:val="00373508"/>
    <w:rsid w:val="00373BF4"/>
    <w:rsid w:val="00373E58"/>
    <w:rsid w:val="003744C5"/>
    <w:rsid w:val="00374536"/>
    <w:rsid w:val="003749A0"/>
    <w:rsid w:val="00374CE7"/>
    <w:rsid w:val="003755A0"/>
    <w:rsid w:val="00375AF0"/>
    <w:rsid w:val="00375B7F"/>
    <w:rsid w:val="00375BCA"/>
    <w:rsid w:val="0037680D"/>
    <w:rsid w:val="00376A89"/>
    <w:rsid w:val="00376CD6"/>
    <w:rsid w:val="00377174"/>
    <w:rsid w:val="00377DC8"/>
    <w:rsid w:val="00380B94"/>
    <w:rsid w:val="00381373"/>
    <w:rsid w:val="00381674"/>
    <w:rsid w:val="003816C6"/>
    <w:rsid w:val="003818B3"/>
    <w:rsid w:val="003818EF"/>
    <w:rsid w:val="00381DFA"/>
    <w:rsid w:val="003820DB"/>
    <w:rsid w:val="00382A05"/>
    <w:rsid w:val="00382A84"/>
    <w:rsid w:val="00382DE3"/>
    <w:rsid w:val="00383141"/>
    <w:rsid w:val="00383152"/>
    <w:rsid w:val="003841AA"/>
    <w:rsid w:val="00384917"/>
    <w:rsid w:val="003860F4"/>
    <w:rsid w:val="00386EC9"/>
    <w:rsid w:val="003873AA"/>
    <w:rsid w:val="00387EA0"/>
    <w:rsid w:val="00390D8F"/>
    <w:rsid w:val="003918BC"/>
    <w:rsid w:val="00391A76"/>
    <w:rsid w:val="00391EB6"/>
    <w:rsid w:val="00392560"/>
    <w:rsid w:val="00392689"/>
    <w:rsid w:val="00392FBC"/>
    <w:rsid w:val="00393980"/>
    <w:rsid w:val="00394129"/>
    <w:rsid w:val="00394CEF"/>
    <w:rsid w:val="00395228"/>
    <w:rsid w:val="003952D9"/>
    <w:rsid w:val="0039559E"/>
    <w:rsid w:val="00395EB4"/>
    <w:rsid w:val="00395F2F"/>
    <w:rsid w:val="003963BF"/>
    <w:rsid w:val="003964C8"/>
    <w:rsid w:val="0039659B"/>
    <w:rsid w:val="003966E4"/>
    <w:rsid w:val="00396A77"/>
    <w:rsid w:val="00396B58"/>
    <w:rsid w:val="00396BB1"/>
    <w:rsid w:val="00397925"/>
    <w:rsid w:val="00397ACA"/>
    <w:rsid w:val="00397C61"/>
    <w:rsid w:val="00397E0E"/>
    <w:rsid w:val="003A001F"/>
    <w:rsid w:val="003A00A8"/>
    <w:rsid w:val="003A01D7"/>
    <w:rsid w:val="003A09D0"/>
    <w:rsid w:val="003A0B70"/>
    <w:rsid w:val="003A25B5"/>
    <w:rsid w:val="003A2B24"/>
    <w:rsid w:val="003A2F11"/>
    <w:rsid w:val="003A3B86"/>
    <w:rsid w:val="003A3DBB"/>
    <w:rsid w:val="003A4268"/>
    <w:rsid w:val="003A5BBC"/>
    <w:rsid w:val="003A6AB7"/>
    <w:rsid w:val="003A7C3F"/>
    <w:rsid w:val="003B13BB"/>
    <w:rsid w:val="003B15B4"/>
    <w:rsid w:val="003B1E9C"/>
    <w:rsid w:val="003B1F5C"/>
    <w:rsid w:val="003B1FB9"/>
    <w:rsid w:val="003B271E"/>
    <w:rsid w:val="003B2ED2"/>
    <w:rsid w:val="003B2F84"/>
    <w:rsid w:val="003B3E82"/>
    <w:rsid w:val="003B46AA"/>
    <w:rsid w:val="003B54B6"/>
    <w:rsid w:val="003B5E26"/>
    <w:rsid w:val="003B749E"/>
    <w:rsid w:val="003B78A6"/>
    <w:rsid w:val="003B79AC"/>
    <w:rsid w:val="003C034E"/>
    <w:rsid w:val="003C037B"/>
    <w:rsid w:val="003C15FB"/>
    <w:rsid w:val="003C2023"/>
    <w:rsid w:val="003C262A"/>
    <w:rsid w:val="003C294F"/>
    <w:rsid w:val="003C3668"/>
    <w:rsid w:val="003C385F"/>
    <w:rsid w:val="003C4D8D"/>
    <w:rsid w:val="003C57F7"/>
    <w:rsid w:val="003C5C61"/>
    <w:rsid w:val="003C6169"/>
    <w:rsid w:val="003C7597"/>
    <w:rsid w:val="003C77A7"/>
    <w:rsid w:val="003D03C5"/>
    <w:rsid w:val="003D0C1F"/>
    <w:rsid w:val="003D1DFC"/>
    <w:rsid w:val="003D1E87"/>
    <w:rsid w:val="003D22C3"/>
    <w:rsid w:val="003D242C"/>
    <w:rsid w:val="003D2D0F"/>
    <w:rsid w:val="003D3023"/>
    <w:rsid w:val="003D396A"/>
    <w:rsid w:val="003D3C01"/>
    <w:rsid w:val="003D3C06"/>
    <w:rsid w:val="003D3C39"/>
    <w:rsid w:val="003D4079"/>
    <w:rsid w:val="003D4178"/>
    <w:rsid w:val="003D420B"/>
    <w:rsid w:val="003D452D"/>
    <w:rsid w:val="003D4A6E"/>
    <w:rsid w:val="003D5138"/>
    <w:rsid w:val="003D57F0"/>
    <w:rsid w:val="003D6755"/>
    <w:rsid w:val="003D6CC7"/>
    <w:rsid w:val="003D7198"/>
    <w:rsid w:val="003D72D2"/>
    <w:rsid w:val="003E060D"/>
    <w:rsid w:val="003E0E45"/>
    <w:rsid w:val="003E15E9"/>
    <w:rsid w:val="003E1824"/>
    <w:rsid w:val="003E29DC"/>
    <w:rsid w:val="003E2AB9"/>
    <w:rsid w:val="003E32C4"/>
    <w:rsid w:val="003E3F64"/>
    <w:rsid w:val="003E4263"/>
    <w:rsid w:val="003E4787"/>
    <w:rsid w:val="003E5AC9"/>
    <w:rsid w:val="003E5FB6"/>
    <w:rsid w:val="003E6238"/>
    <w:rsid w:val="003E677D"/>
    <w:rsid w:val="003E6D73"/>
    <w:rsid w:val="003F00CF"/>
    <w:rsid w:val="003F0440"/>
    <w:rsid w:val="003F062B"/>
    <w:rsid w:val="003F114B"/>
    <w:rsid w:val="003F12E0"/>
    <w:rsid w:val="003F1BF7"/>
    <w:rsid w:val="003F1EBF"/>
    <w:rsid w:val="003F26EE"/>
    <w:rsid w:val="003F26F5"/>
    <w:rsid w:val="003F287A"/>
    <w:rsid w:val="003F2AC7"/>
    <w:rsid w:val="003F3935"/>
    <w:rsid w:val="003F4422"/>
    <w:rsid w:val="003F4FF1"/>
    <w:rsid w:val="003F5A03"/>
    <w:rsid w:val="003F5AB0"/>
    <w:rsid w:val="003F5C45"/>
    <w:rsid w:val="003F5E21"/>
    <w:rsid w:val="003F6187"/>
    <w:rsid w:val="003F6254"/>
    <w:rsid w:val="003F64A9"/>
    <w:rsid w:val="004001FC"/>
    <w:rsid w:val="00400461"/>
    <w:rsid w:val="00400BDC"/>
    <w:rsid w:val="00400FE0"/>
    <w:rsid w:val="00400FEF"/>
    <w:rsid w:val="00401A57"/>
    <w:rsid w:val="00401C9E"/>
    <w:rsid w:val="00401DE1"/>
    <w:rsid w:val="00401F99"/>
    <w:rsid w:val="004022D7"/>
    <w:rsid w:val="00403598"/>
    <w:rsid w:val="00403814"/>
    <w:rsid w:val="004047B1"/>
    <w:rsid w:val="004049F7"/>
    <w:rsid w:val="004060B7"/>
    <w:rsid w:val="00406372"/>
    <w:rsid w:val="00406899"/>
    <w:rsid w:val="00406B24"/>
    <w:rsid w:val="0040722F"/>
    <w:rsid w:val="004074B9"/>
    <w:rsid w:val="0040760A"/>
    <w:rsid w:val="00407647"/>
    <w:rsid w:val="00407ABB"/>
    <w:rsid w:val="00407ACD"/>
    <w:rsid w:val="00411026"/>
    <w:rsid w:val="0041131A"/>
    <w:rsid w:val="0041131B"/>
    <w:rsid w:val="00411F5D"/>
    <w:rsid w:val="00411FC0"/>
    <w:rsid w:val="00412327"/>
    <w:rsid w:val="00413049"/>
    <w:rsid w:val="0041307A"/>
    <w:rsid w:val="004136E0"/>
    <w:rsid w:val="00413B60"/>
    <w:rsid w:val="00413C17"/>
    <w:rsid w:val="004157CA"/>
    <w:rsid w:val="00417087"/>
    <w:rsid w:val="0041710C"/>
    <w:rsid w:val="00417958"/>
    <w:rsid w:val="00420085"/>
    <w:rsid w:val="00420D56"/>
    <w:rsid w:val="00420E50"/>
    <w:rsid w:val="00420FD1"/>
    <w:rsid w:val="00421092"/>
    <w:rsid w:val="0042136C"/>
    <w:rsid w:val="00421733"/>
    <w:rsid w:val="0042339B"/>
    <w:rsid w:val="004233AE"/>
    <w:rsid w:val="00423A7A"/>
    <w:rsid w:val="00423C64"/>
    <w:rsid w:val="00423F04"/>
    <w:rsid w:val="0042420F"/>
    <w:rsid w:val="00424537"/>
    <w:rsid w:val="0042500D"/>
    <w:rsid w:val="0042504B"/>
    <w:rsid w:val="0042510D"/>
    <w:rsid w:val="004256A0"/>
    <w:rsid w:val="00425A5C"/>
    <w:rsid w:val="0042633A"/>
    <w:rsid w:val="004266FD"/>
    <w:rsid w:val="00426D62"/>
    <w:rsid w:val="0042716F"/>
    <w:rsid w:val="004271A4"/>
    <w:rsid w:val="00427A32"/>
    <w:rsid w:val="004306BC"/>
    <w:rsid w:val="00430750"/>
    <w:rsid w:val="004312EA"/>
    <w:rsid w:val="004316ED"/>
    <w:rsid w:val="00431929"/>
    <w:rsid w:val="00431A73"/>
    <w:rsid w:val="00431EFD"/>
    <w:rsid w:val="00432EA4"/>
    <w:rsid w:val="0043300B"/>
    <w:rsid w:val="0043332F"/>
    <w:rsid w:val="00433921"/>
    <w:rsid w:val="004348C3"/>
    <w:rsid w:val="00434DA2"/>
    <w:rsid w:val="004352F4"/>
    <w:rsid w:val="004361AF"/>
    <w:rsid w:val="00436238"/>
    <w:rsid w:val="00436F92"/>
    <w:rsid w:val="00437398"/>
    <w:rsid w:val="0043791B"/>
    <w:rsid w:val="00437B3C"/>
    <w:rsid w:val="004400FE"/>
    <w:rsid w:val="004405A0"/>
    <w:rsid w:val="0044068E"/>
    <w:rsid w:val="00440F43"/>
    <w:rsid w:val="004425C8"/>
    <w:rsid w:val="00442648"/>
    <w:rsid w:val="00442C5D"/>
    <w:rsid w:val="00442F39"/>
    <w:rsid w:val="004430F3"/>
    <w:rsid w:val="004437BD"/>
    <w:rsid w:val="00443F63"/>
    <w:rsid w:val="00444099"/>
    <w:rsid w:val="004442C2"/>
    <w:rsid w:val="004443E6"/>
    <w:rsid w:val="00444959"/>
    <w:rsid w:val="00444EF4"/>
    <w:rsid w:val="00445AE2"/>
    <w:rsid w:val="00445B56"/>
    <w:rsid w:val="00446969"/>
    <w:rsid w:val="00446A71"/>
    <w:rsid w:val="004504F4"/>
    <w:rsid w:val="004511DB"/>
    <w:rsid w:val="004511F9"/>
    <w:rsid w:val="00451ACB"/>
    <w:rsid w:val="00451E8A"/>
    <w:rsid w:val="00451E95"/>
    <w:rsid w:val="00452613"/>
    <w:rsid w:val="00453514"/>
    <w:rsid w:val="00453C4A"/>
    <w:rsid w:val="004545D3"/>
    <w:rsid w:val="00454C64"/>
    <w:rsid w:val="00454CE3"/>
    <w:rsid w:val="00454DBB"/>
    <w:rsid w:val="004567F9"/>
    <w:rsid w:val="00456E1D"/>
    <w:rsid w:val="004606D8"/>
    <w:rsid w:val="0046077D"/>
    <w:rsid w:val="00460D9C"/>
    <w:rsid w:val="004619C2"/>
    <w:rsid w:val="00461BC9"/>
    <w:rsid w:val="004626AF"/>
    <w:rsid w:val="00463149"/>
    <w:rsid w:val="004631C3"/>
    <w:rsid w:val="0046494C"/>
    <w:rsid w:val="00465B59"/>
    <w:rsid w:val="0046682A"/>
    <w:rsid w:val="0046691D"/>
    <w:rsid w:val="00467EE8"/>
    <w:rsid w:val="004703B1"/>
    <w:rsid w:val="00470AE6"/>
    <w:rsid w:val="004713F6"/>
    <w:rsid w:val="00471531"/>
    <w:rsid w:val="00471C20"/>
    <w:rsid w:val="00471E26"/>
    <w:rsid w:val="00472E13"/>
    <w:rsid w:val="00473711"/>
    <w:rsid w:val="004744D3"/>
    <w:rsid w:val="00474996"/>
    <w:rsid w:val="00474B62"/>
    <w:rsid w:val="00474FAD"/>
    <w:rsid w:val="00475433"/>
    <w:rsid w:val="0047552D"/>
    <w:rsid w:val="004755D7"/>
    <w:rsid w:val="00475EF1"/>
    <w:rsid w:val="0047623F"/>
    <w:rsid w:val="00477ACA"/>
    <w:rsid w:val="00477F7A"/>
    <w:rsid w:val="0048086D"/>
    <w:rsid w:val="00480BD2"/>
    <w:rsid w:val="0048147E"/>
    <w:rsid w:val="00481BF2"/>
    <w:rsid w:val="004828D5"/>
    <w:rsid w:val="004829B4"/>
    <w:rsid w:val="00482AA0"/>
    <w:rsid w:val="00482D3E"/>
    <w:rsid w:val="00482F50"/>
    <w:rsid w:val="004832AA"/>
    <w:rsid w:val="00483713"/>
    <w:rsid w:val="00483728"/>
    <w:rsid w:val="00483936"/>
    <w:rsid w:val="00483B3E"/>
    <w:rsid w:val="00483C7D"/>
    <w:rsid w:val="0048423C"/>
    <w:rsid w:val="00484969"/>
    <w:rsid w:val="004855F4"/>
    <w:rsid w:val="00485B0C"/>
    <w:rsid w:val="00485F2B"/>
    <w:rsid w:val="004866B5"/>
    <w:rsid w:val="004866B8"/>
    <w:rsid w:val="00486B77"/>
    <w:rsid w:val="00486C58"/>
    <w:rsid w:val="0048721C"/>
    <w:rsid w:val="00487325"/>
    <w:rsid w:val="0048766B"/>
    <w:rsid w:val="00487C2B"/>
    <w:rsid w:val="0049063A"/>
    <w:rsid w:val="00490A6C"/>
    <w:rsid w:val="00491152"/>
    <w:rsid w:val="00491AE9"/>
    <w:rsid w:val="004923EE"/>
    <w:rsid w:val="00493693"/>
    <w:rsid w:val="00494077"/>
    <w:rsid w:val="00494954"/>
    <w:rsid w:val="00494BFC"/>
    <w:rsid w:val="004955D1"/>
    <w:rsid w:val="00495FD3"/>
    <w:rsid w:val="004963BB"/>
    <w:rsid w:val="00496EC5"/>
    <w:rsid w:val="004978DE"/>
    <w:rsid w:val="004A03AC"/>
    <w:rsid w:val="004A03E2"/>
    <w:rsid w:val="004A04BF"/>
    <w:rsid w:val="004A1106"/>
    <w:rsid w:val="004A1D17"/>
    <w:rsid w:val="004A20E1"/>
    <w:rsid w:val="004A3468"/>
    <w:rsid w:val="004A3550"/>
    <w:rsid w:val="004A3555"/>
    <w:rsid w:val="004A4A43"/>
    <w:rsid w:val="004A5041"/>
    <w:rsid w:val="004A58F7"/>
    <w:rsid w:val="004A5D30"/>
    <w:rsid w:val="004A5FD5"/>
    <w:rsid w:val="004A6495"/>
    <w:rsid w:val="004A69F5"/>
    <w:rsid w:val="004A79BB"/>
    <w:rsid w:val="004A7C8B"/>
    <w:rsid w:val="004B0A35"/>
    <w:rsid w:val="004B193F"/>
    <w:rsid w:val="004B1ACE"/>
    <w:rsid w:val="004B1BB9"/>
    <w:rsid w:val="004B3BB3"/>
    <w:rsid w:val="004B52D0"/>
    <w:rsid w:val="004B5D9E"/>
    <w:rsid w:val="004B5E49"/>
    <w:rsid w:val="004B677D"/>
    <w:rsid w:val="004B6B94"/>
    <w:rsid w:val="004B7119"/>
    <w:rsid w:val="004B7DE3"/>
    <w:rsid w:val="004C0124"/>
    <w:rsid w:val="004C0275"/>
    <w:rsid w:val="004C1365"/>
    <w:rsid w:val="004C15EC"/>
    <w:rsid w:val="004C3577"/>
    <w:rsid w:val="004C3824"/>
    <w:rsid w:val="004C3D10"/>
    <w:rsid w:val="004C4203"/>
    <w:rsid w:val="004C5E99"/>
    <w:rsid w:val="004C784B"/>
    <w:rsid w:val="004C7975"/>
    <w:rsid w:val="004D0D08"/>
    <w:rsid w:val="004D1028"/>
    <w:rsid w:val="004D1818"/>
    <w:rsid w:val="004D220A"/>
    <w:rsid w:val="004D2495"/>
    <w:rsid w:val="004D249E"/>
    <w:rsid w:val="004D24CF"/>
    <w:rsid w:val="004D2526"/>
    <w:rsid w:val="004D3099"/>
    <w:rsid w:val="004D3147"/>
    <w:rsid w:val="004D3F06"/>
    <w:rsid w:val="004D40DB"/>
    <w:rsid w:val="004D4312"/>
    <w:rsid w:val="004D4CF5"/>
    <w:rsid w:val="004D50BA"/>
    <w:rsid w:val="004D58AC"/>
    <w:rsid w:val="004D603F"/>
    <w:rsid w:val="004D66C0"/>
    <w:rsid w:val="004D6CD2"/>
    <w:rsid w:val="004D7085"/>
    <w:rsid w:val="004E099F"/>
    <w:rsid w:val="004E0E99"/>
    <w:rsid w:val="004E1004"/>
    <w:rsid w:val="004E204F"/>
    <w:rsid w:val="004E23DC"/>
    <w:rsid w:val="004E2471"/>
    <w:rsid w:val="004E2D4C"/>
    <w:rsid w:val="004E4006"/>
    <w:rsid w:val="004E44E8"/>
    <w:rsid w:val="004E47F1"/>
    <w:rsid w:val="004E5042"/>
    <w:rsid w:val="004E5289"/>
    <w:rsid w:val="004E5B8D"/>
    <w:rsid w:val="004E6B5F"/>
    <w:rsid w:val="004E783E"/>
    <w:rsid w:val="004E7CE7"/>
    <w:rsid w:val="004F031D"/>
    <w:rsid w:val="004F04C9"/>
    <w:rsid w:val="004F078C"/>
    <w:rsid w:val="004F0AE9"/>
    <w:rsid w:val="004F130B"/>
    <w:rsid w:val="004F2473"/>
    <w:rsid w:val="004F2919"/>
    <w:rsid w:val="004F2F47"/>
    <w:rsid w:val="004F3043"/>
    <w:rsid w:val="004F40BA"/>
    <w:rsid w:val="004F49F9"/>
    <w:rsid w:val="004F5766"/>
    <w:rsid w:val="004F5B2D"/>
    <w:rsid w:val="004F5C4F"/>
    <w:rsid w:val="004F5C7B"/>
    <w:rsid w:val="004F5E0B"/>
    <w:rsid w:val="004F5FFA"/>
    <w:rsid w:val="004F6747"/>
    <w:rsid w:val="004F6A94"/>
    <w:rsid w:val="004F79A7"/>
    <w:rsid w:val="004F7DC9"/>
    <w:rsid w:val="005004A2"/>
    <w:rsid w:val="00500860"/>
    <w:rsid w:val="00500D46"/>
    <w:rsid w:val="005013CF"/>
    <w:rsid w:val="00501558"/>
    <w:rsid w:val="0050165E"/>
    <w:rsid w:val="00502310"/>
    <w:rsid w:val="00502588"/>
    <w:rsid w:val="005025D5"/>
    <w:rsid w:val="00503444"/>
    <w:rsid w:val="00503463"/>
    <w:rsid w:val="00503856"/>
    <w:rsid w:val="00503B01"/>
    <w:rsid w:val="00503C5A"/>
    <w:rsid w:val="00503D29"/>
    <w:rsid w:val="0050451F"/>
    <w:rsid w:val="00504A2C"/>
    <w:rsid w:val="0050522D"/>
    <w:rsid w:val="005054AE"/>
    <w:rsid w:val="00505BB9"/>
    <w:rsid w:val="00507209"/>
    <w:rsid w:val="00507366"/>
    <w:rsid w:val="00507D90"/>
    <w:rsid w:val="00510C95"/>
    <w:rsid w:val="00511053"/>
    <w:rsid w:val="00511D88"/>
    <w:rsid w:val="00512C3E"/>
    <w:rsid w:val="00512F6A"/>
    <w:rsid w:val="00513544"/>
    <w:rsid w:val="005135ED"/>
    <w:rsid w:val="005135F0"/>
    <w:rsid w:val="0051364A"/>
    <w:rsid w:val="00515F3A"/>
    <w:rsid w:val="005160F6"/>
    <w:rsid w:val="00517209"/>
    <w:rsid w:val="005177B3"/>
    <w:rsid w:val="005178D2"/>
    <w:rsid w:val="00517A77"/>
    <w:rsid w:val="005212B1"/>
    <w:rsid w:val="0052192B"/>
    <w:rsid w:val="00521AA3"/>
    <w:rsid w:val="00521E79"/>
    <w:rsid w:val="005229B6"/>
    <w:rsid w:val="00522EAF"/>
    <w:rsid w:val="005238A6"/>
    <w:rsid w:val="00523984"/>
    <w:rsid w:val="00524434"/>
    <w:rsid w:val="00524A0D"/>
    <w:rsid w:val="00524A60"/>
    <w:rsid w:val="00524CAE"/>
    <w:rsid w:val="005258E3"/>
    <w:rsid w:val="00525F6A"/>
    <w:rsid w:val="0052630F"/>
    <w:rsid w:val="00527457"/>
    <w:rsid w:val="00527992"/>
    <w:rsid w:val="00527D6C"/>
    <w:rsid w:val="0053062C"/>
    <w:rsid w:val="00530ADD"/>
    <w:rsid w:val="00530E21"/>
    <w:rsid w:val="00531352"/>
    <w:rsid w:val="0053178C"/>
    <w:rsid w:val="00531919"/>
    <w:rsid w:val="0053191B"/>
    <w:rsid w:val="0053203A"/>
    <w:rsid w:val="0053206B"/>
    <w:rsid w:val="00532B35"/>
    <w:rsid w:val="0053435D"/>
    <w:rsid w:val="00534815"/>
    <w:rsid w:val="00534B69"/>
    <w:rsid w:val="00534ECB"/>
    <w:rsid w:val="00535306"/>
    <w:rsid w:val="005355FE"/>
    <w:rsid w:val="005357B2"/>
    <w:rsid w:val="00536509"/>
    <w:rsid w:val="00536679"/>
    <w:rsid w:val="00536685"/>
    <w:rsid w:val="00537881"/>
    <w:rsid w:val="005400C2"/>
    <w:rsid w:val="0054011F"/>
    <w:rsid w:val="005401C6"/>
    <w:rsid w:val="0054021F"/>
    <w:rsid w:val="00540D23"/>
    <w:rsid w:val="0054166E"/>
    <w:rsid w:val="00543361"/>
    <w:rsid w:val="005435BD"/>
    <w:rsid w:val="005435DE"/>
    <w:rsid w:val="00543870"/>
    <w:rsid w:val="0054421C"/>
    <w:rsid w:val="005442DF"/>
    <w:rsid w:val="005445A4"/>
    <w:rsid w:val="005459A7"/>
    <w:rsid w:val="00545AB0"/>
    <w:rsid w:val="0054622A"/>
    <w:rsid w:val="005465CA"/>
    <w:rsid w:val="00546A10"/>
    <w:rsid w:val="0054709A"/>
    <w:rsid w:val="00547C14"/>
    <w:rsid w:val="00550E0B"/>
    <w:rsid w:val="00551427"/>
    <w:rsid w:val="00551787"/>
    <w:rsid w:val="00551D44"/>
    <w:rsid w:val="00551E0E"/>
    <w:rsid w:val="00552013"/>
    <w:rsid w:val="00552090"/>
    <w:rsid w:val="005527EF"/>
    <w:rsid w:val="00552C8A"/>
    <w:rsid w:val="00552D45"/>
    <w:rsid w:val="00552DDE"/>
    <w:rsid w:val="00553DFF"/>
    <w:rsid w:val="00553ECC"/>
    <w:rsid w:val="00554145"/>
    <w:rsid w:val="0055465A"/>
    <w:rsid w:val="00554EA2"/>
    <w:rsid w:val="0055546B"/>
    <w:rsid w:val="00555FE0"/>
    <w:rsid w:val="0055622E"/>
    <w:rsid w:val="00556251"/>
    <w:rsid w:val="0055643D"/>
    <w:rsid w:val="00556948"/>
    <w:rsid w:val="00556F22"/>
    <w:rsid w:val="00557261"/>
    <w:rsid w:val="00557C92"/>
    <w:rsid w:val="00557D53"/>
    <w:rsid w:val="0056002C"/>
    <w:rsid w:val="005604A4"/>
    <w:rsid w:val="005608D0"/>
    <w:rsid w:val="00560934"/>
    <w:rsid w:val="00560A60"/>
    <w:rsid w:val="005619F2"/>
    <w:rsid w:val="00562F58"/>
    <w:rsid w:val="0056369F"/>
    <w:rsid w:val="005647B9"/>
    <w:rsid w:val="00565289"/>
    <w:rsid w:val="005659A7"/>
    <w:rsid w:val="00565D35"/>
    <w:rsid w:val="00566387"/>
    <w:rsid w:val="00566A06"/>
    <w:rsid w:val="00566A4E"/>
    <w:rsid w:val="00567DE7"/>
    <w:rsid w:val="00570135"/>
    <w:rsid w:val="00570C54"/>
    <w:rsid w:val="0057171C"/>
    <w:rsid w:val="00572BAA"/>
    <w:rsid w:val="005739E6"/>
    <w:rsid w:val="0057541D"/>
    <w:rsid w:val="005754DD"/>
    <w:rsid w:val="00575994"/>
    <w:rsid w:val="00575DC2"/>
    <w:rsid w:val="00575E76"/>
    <w:rsid w:val="00576E63"/>
    <w:rsid w:val="00577500"/>
    <w:rsid w:val="005775CD"/>
    <w:rsid w:val="00580981"/>
    <w:rsid w:val="00580A84"/>
    <w:rsid w:val="00581192"/>
    <w:rsid w:val="0058151F"/>
    <w:rsid w:val="005816CF"/>
    <w:rsid w:val="00581879"/>
    <w:rsid w:val="00581E8C"/>
    <w:rsid w:val="00581F1A"/>
    <w:rsid w:val="00582698"/>
    <w:rsid w:val="00582717"/>
    <w:rsid w:val="005839BC"/>
    <w:rsid w:val="0058553F"/>
    <w:rsid w:val="00585F73"/>
    <w:rsid w:val="00585FAE"/>
    <w:rsid w:val="005866C4"/>
    <w:rsid w:val="00586EE3"/>
    <w:rsid w:val="00590DF6"/>
    <w:rsid w:val="00590E8E"/>
    <w:rsid w:val="0059139B"/>
    <w:rsid w:val="00591892"/>
    <w:rsid w:val="00592585"/>
    <w:rsid w:val="0059295A"/>
    <w:rsid w:val="00592D95"/>
    <w:rsid w:val="00593582"/>
    <w:rsid w:val="00594628"/>
    <w:rsid w:val="00594677"/>
    <w:rsid w:val="005955D8"/>
    <w:rsid w:val="00595CF4"/>
    <w:rsid w:val="00595EFA"/>
    <w:rsid w:val="00595F57"/>
    <w:rsid w:val="00596921"/>
    <w:rsid w:val="00596D05"/>
    <w:rsid w:val="005970B2"/>
    <w:rsid w:val="005A012D"/>
    <w:rsid w:val="005A04F5"/>
    <w:rsid w:val="005A08AA"/>
    <w:rsid w:val="005A0E11"/>
    <w:rsid w:val="005A0F4D"/>
    <w:rsid w:val="005A0F74"/>
    <w:rsid w:val="005A110D"/>
    <w:rsid w:val="005A1167"/>
    <w:rsid w:val="005A17BF"/>
    <w:rsid w:val="005A1C4F"/>
    <w:rsid w:val="005A21A2"/>
    <w:rsid w:val="005A28C9"/>
    <w:rsid w:val="005A33D3"/>
    <w:rsid w:val="005A3995"/>
    <w:rsid w:val="005A4ACF"/>
    <w:rsid w:val="005A4CF4"/>
    <w:rsid w:val="005A5FA8"/>
    <w:rsid w:val="005A784B"/>
    <w:rsid w:val="005A7CAF"/>
    <w:rsid w:val="005A7D55"/>
    <w:rsid w:val="005B0466"/>
    <w:rsid w:val="005B0935"/>
    <w:rsid w:val="005B0A2A"/>
    <w:rsid w:val="005B12CE"/>
    <w:rsid w:val="005B1A0B"/>
    <w:rsid w:val="005B1AF8"/>
    <w:rsid w:val="005B324B"/>
    <w:rsid w:val="005B41E5"/>
    <w:rsid w:val="005B43B7"/>
    <w:rsid w:val="005B4C6A"/>
    <w:rsid w:val="005B50D9"/>
    <w:rsid w:val="005B540B"/>
    <w:rsid w:val="005B542B"/>
    <w:rsid w:val="005B5520"/>
    <w:rsid w:val="005B55AC"/>
    <w:rsid w:val="005B734C"/>
    <w:rsid w:val="005B743B"/>
    <w:rsid w:val="005B7958"/>
    <w:rsid w:val="005B7961"/>
    <w:rsid w:val="005C0090"/>
    <w:rsid w:val="005C0441"/>
    <w:rsid w:val="005C0658"/>
    <w:rsid w:val="005C0A39"/>
    <w:rsid w:val="005C0ED5"/>
    <w:rsid w:val="005C1E03"/>
    <w:rsid w:val="005C2792"/>
    <w:rsid w:val="005C283C"/>
    <w:rsid w:val="005C2D62"/>
    <w:rsid w:val="005C343B"/>
    <w:rsid w:val="005C38F7"/>
    <w:rsid w:val="005C3EA6"/>
    <w:rsid w:val="005C42A0"/>
    <w:rsid w:val="005C55EA"/>
    <w:rsid w:val="005C592C"/>
    <w:rsid w:val="005C604D"/>
    <w:rsid w:val="005C6B21"/>
    <w:rsid w:val="005C7675"/>
    <w:rsid w:val="005C7934"/>
    <w:rsid w:val="005D15AC"/>
    <w:rsid w:val="005D1D65"/>
    <w:rsid w:val="005D39B9"/>
    <w:rsid w:val="005D3C86"/>
    <w:rsid w:val="005D4634"/>
    <w:rsid w:val="005D4AD5"/>
    <w:rsid w:val="005D4BBE"/>
    <w:rsid w:val="005D5023"/>
    <w:rsid w:val="005D50D7"/>
    <w:rsid w:val="005D56D7"/>
    <w:rsid w:val="005D5B69"/>
    <w:rsid w:val="005D66D4"/>
    <w:rsid w:val="005D6CFC"/>
    <w:rsid w:val="005D6EA4"/>
    <w:rsid w:val="005D7330"/>
    <w:rsid w:val="005D7810"/>
    <w:rsid w:val="005D7A65"/>
    <w:rsid w:val="005E0333"/>
    <w:rsid w:val="005E088C"/>
    <w:rsid w:val="005E09E9"/>
    <w:rsid w:val="005E0B54"/>
    <w:rsid w:val="005E1124"/>
    <w:rsid w:val="005E1220"/>
    <w:rsid w:val="005E279E"/>
    <w:rsid w:val="005E3B5D"/>
    <w:rsid w:val="005E4327"/>
    <w:rsid w:val="005E480C"/>
    <w:rsid w:val="005E4B68"/>
    <w:rsid w:val="005E5388"/>
    <w:rsid w:val="005E595B"/>
    <w:rsid w:val="005E5F1D"/>
    <w:rsid w:val="005E6438"/>
    <w:rsid w:val="005E6778"/>
    <w:rsid w:val="005E68AA"/>
    <w:rsid w:val="005E693F"/>
    <w:rsid w:val="005E6952"/>
    <w:rsid w:val="005E710F"/>
    <w:rsid w:val="005E7A6B"/>
    <w:rsid w:val="005E7BCA"/>
    <w:rsid w:val="005F05D9"/>
    <w:rsid w:val="005F0AA6"/>
    <w:rsid w:val="005F0F53"/>
    <w:rsid w:val="005F117F"/>
    <w:rsid w:val="005F1F36"/>
    <w:rsid w:val="005F2B26"/>
    <w:rsid w:val="005F2EEB"/>
    <w:rsid w:val="005F374C"/>
    <w:rsid w:val="005F66CF"/>
    <w:rsid w:val="005F6938"/>
    <w:rsid w:val="00600029"/>
    <w:rsid w:val="00600A2A"/>
    <w:rsid w:val="00601BAF"/>
    <w:rsid w:val="00601F70"/>
    <w:rsid w:val="0060286D"/>
    <w:rsid w:val="00602AEB"/>
    <w:rsid w:val="00603D1F"/>
    <w:rsid w:val="00604E37"/>
    <w:rsid w:val="00604F7A"/>
    <w:rsid w:val="00605639"/>
    <w:rsid w:val="00605846"/>
    <w:rsid w:val="00605E5F"/>
    <w:rsid w:val="00605ED3"/>
    <w:rsid w:val="00605FAA"/>
    <w:rsid w:val="0060625F"/>
    <w:rsid w:val="00606CB1"/>
    <w:rsid w:val="00607988"/>
    <w:rsid w:val="00607CED"/>
    <w:rsid w:val="0061043A"/>
    <w:rsid w:val="006104D9"/>
    <w:rsid w:val="00610539"/>
    <w:rsid w:val="006106DC"/>
    <w:rsid w:val="0061071B"/>
    <w:rsid w:val="00610A07"/>
    <w:rsid w:val="00610E15"/>
    <w:rsid w:val="00610E55"/>
    <w:rsid w:val="00611187"/>
    <w:rsid w:val="006123AD"/>
    <w:rsid w:val="00612616"/>
    <w:rsid w:val="006126ED"/>
    <w:rsid w:val="006128D2"/>
    <w:rsid w:val="00612DD1"/>
    <w:rsid w:val="0061320E"/>
    <w:rsid w:val="00613A5C"/>
    <w:rsid w:val="00613FBE"/>
    <w:rsid w:val="006141D3"/>
    <w:rsid w:val="00614907"/>
    <w:rsid w:val="00614AB2"/>
    <w:rsid w:val="00614B04"/>
    <w:rsid w:val="00614DBB"/>
    <w:rsid w:val="00615001"/>
    <w:rsid w:val="0061581F"/>
    <w:rsid w:val="0061587F"/>
    <w:rsid w:val="006159C9"/>
    <w:rsid w:val="00616120"/>
    <w:rsid w:val="006165E1"/>
    <w:rsid w:val="00616C54"/>
    <w:rsid w:val="00617ADF"/>
    <w:rsid w:val="006203D9"/>
    <w:rsid w:val="00620A2A"/>
    <w:rsid w:val="00620DA9"/>
    <w:rsid w:val="00620DCB"/>
    <w:rsid w:val="00621062"/>
    <w:rsid w:val="006219DA"/>
    <w:rsid w:val="00621D50"/>
    <w:rsid w:val="00621EE9"/>
    <w:rsid w:val="00624E0A"/>
    <w:rsid w:val="0062505D"/>
    <w:rsid w:val="00625128"/>
    <w:rsid w:val="00625468"/>
    <w:rsid w:val="006255A2"/>
    <w:rsid w:val="00625778"/>
    <w:rsid w:val="00625B64"/>
    <w:rsid w:val="00626578"/>
    <w:rsid w:val="00626867"/>
    <w:rsid w:val="00626C33"/>
    <w:rsid w:val="00627398"/>
    <w:rsid w:val="00627E2A"/>
    <w:rsid w:val="00630A15"/>
    <w:rsid w:val="00630FAE"/>
    <w:rsid w:val="00632409"/>
    <w:rsid w:val="006324D5"/>
    <w:rsid w:val="00632D8C"/>
    <w:rsid w:val="00632FEE"/>
    <w:rsid w:val="00633C91"/>
    <w:rsid w:val="006341B5"/>
    <w:rsid w:val="00634C6A"/>
    <w:rsid w:val="00635B32"/>
    <w:rsid w:val="00635BF5"/>
    <w:rsid w:val="00635C86"/>
    <w:rsid w:val="00635D19"/>
    <w:rsid w:val="00635E60"/>
    <w:rsid w:val="00635F07"/>
    <w:rsid w:val="00636842"/>
    <w:rsid w:val="00636EAD"/>
    <w:rsid w:val="006370EC"/>
    <w:rsid w:val="006372B3"/>
    <w:rsid w:val="00637969"/>
    <w:rsid w:val="006405BF"/>
    <w:rsid w:val="00640608"/>
    <w:rsid w:val="006408B9"/>
    <w:rsid w:val="00640AE3"/>
    <w:rsid w:val="00640DEF"/>
    <w:rsid w:val="0064178A"/>
    <w:rsid w:val="006425CF"/>
    <w:rsid w:val="00642682"/>
    <w:rsid w:val="00642D15"/>
    <w:rsid w:val="00642F99"/>
    <w:rsid w:val="0064345D"/>
    <w:rsid w:val="00643C21"/>
    <w:rsid w:val="0064415F"/>
    <w:rsid w:val="00644751"/>
    <w:rsid w:val="00645178"/>
    <w:rsid w:val="0064560B"/>
    <w:rsid w:val="00645707"/>
    <w:rsid w:val="00645A2E"/>
    <w:rsid w:val="00645CE8"/>
    <w:rsid w:val="00645F21"/>
    <w:rsid w:val="00646459"/>
    <w:rsid w:val="00647593"/>
    <w:rsid w:val="00650784"/>
    <w:rsid w:val="0065087F"/>
    <w:rsid w:val="00650A44"/>
    <w:rsid w:val="00650C24"/>
    <w:rsid w:val="00650FF9"/>
    <w:rsid w:val="00651ACD"/>
    <w:rsid w:val="00651B59"/>
    <w:rsid w:val="00651DE3"/>
    <w:rsid w:val="006523B3"/>
    <w:rsid w:val="006525F9"/>
    <w:rsid w:val="00652743"/>
    <w:rsid w:val="006527B5"/>
    <w:rsid w:val="006528E3"/>
    <w:rsid w:val="0065296D"/>
    <w:rsid w:val="006535BE"/>
    <w:rsid w:val="00654A4D"/>
    <w:rsid w:val="00655650"/>
    <w:rsid w:val="00656484"/>
    <w:rsid w:val="00656AC8"/>
    <w:rsid w:val="00657358"/>
    <w:rsid w:val="006579AD"/>
    <w:rsid w:val="00660AD3"/>
    <w:rsid w:val="00660CC4"/>
    <w:rsid w:val="00660EB0"/>
    <w:rsid w:val="00661B01"/>
    <w:rsid w:val="006624A9"/>
    <w:rsid w:val="00662D1D"/>
    <w:rsid w:val="00662EA8"/>
    <w:rsid w:val="006634A2"/>
    <w:rsid w:val="00663E50"/>
    <w:rsid w:val="0066443B"/>
    <w:rsid w:val="00664C47"/>
    <w:rsid w:val="00665759"/>
    <w:rsid w:val="006661CD"/>
    <w:rsid w:val="00666FE6"/>
    <w:rsid w:val="006678D7"/>
    <w:rsid w:val="0067004F"/>
    <w:rsid w:val="006709CB"/>
    <w:rsid w:val="00671330"/>
    <w:rsid w:val="006722E6"/>
    <w:rsid w:val="00672458"/>
    <w:rsid w:val="006735CB"/>
    <w:rsid w:val="006736BD"/>
    <w:rsid w:val="00673979"/>
    <w:rsid w:val="00675589"/>
    <w:rsid w:val="00675D61"/>
    <w:rsid w:val="00676738"/>
    <w:rsid w:val="006769A4"/>
    <w:rsid w:val="00677142"/>
    <w:rsid w:val="00677658"/>
    <w:rsid w:val="00677B01"/>
    <w:rsid w:val="00680B54"/>
    <w:rsid w:val="00680FDB"/>
    <w:rsid w:val="006812BB"/>
    <w:rsid w:val="00681B5C"/>
    <w:rsid w:val="0068244A"/>
    <w:rsid w:val="00682E1F"/>
    <w:rsid w:val="006835A0"/>
    <w:rsid w:val="006835EA"/>
    <w:rsid w:val="006835F0"/>
    <w:rsid w:val="00683CA2"/>
    <w:rsid w:val="00683E8A"/>
    <w:rsid w:val="00684F64"/>
    <w:rsid w:val="00685C4A"/>
    <w:rsid w:val="006868DA"/>
    <w:rsid w:val="00686B13"/>
    <w:rsid w:val="00686FF4"/>
    <w:rsid w:val="0068704A"/>
    <w:rsid w:val="0069040A"/>
    <w:rsid w:val="00690E7F"/>
    <w:rsid w:val="00691848"/>
    <w:rsid w:val="00691A48"/>
    <w:rsid w:val="00691EB2"/>
    <w:rsid w:val="0069325C"/>
    <w:rsid w:val="0069342A"/>
    <w:rsid w:val="00693EC4"/>
    <w:rsid w:val="006940A1"/>
    <w:rsid w:val="00694397"/>
    <w:rsid w:val="00694BAC"/>
    <w:rsid w:val="00694E66"/>
    <w:rsid w:val="00694F23"/>
    <w:rsid w:val="0069565B"/>
    <w:rsid w:val="0069581E"/>
    <w:rsid w:val="00695B51"/>
    <w:rsid w:val="0069791F"/>
    <w:rsid w:val="00697C96"/>
    <w:rsid w:val="006A088C"/>
    <w:rsid w:val="006A0D66"/>
    <w:rsid w:val="006A22A1"/>
    <w:rsid w:val="006A2312"/>
    <w:rsid w:val="006A2506"/>
    <w:rsid w:val="006A31D9"/>
    <w:rsid w:val="006A351B"/>
    <w:rsid w:val="006A3BD1"/>
    <w:rsid w:val="006A454B"/>
    <w:rsid w:val="006A4645"/>
    <w:rsid w:val="006A4D6E"/>
    <w:rsid w:val="006A4FFF"/>
    <w:rsid w:val="006A7235"/>
    <w:rsid w:val="006A74B2"/>
    <w:rsid w:val="006A78B5"/>
    <w:rsid w:val="006A7A2F"/>
    <w:rsid w:val="006A7A80"/>
    <w:rsid w:val="006A7B64"/>
    <w:rsid w:val="006A7E6B"/>
    <w:rsid w:val="006B0863"/>
    <w:rsid w:val="006B0980"/>
    <w:rsid w:val="006B0F29"/>
    <w:rsid w:val="006B10A2"/>
    <w:rsid w:val="006B1247"/>
    <w:rsid w:val="006B1CDC"/>
    <w:rsid w:val="006B25F4"/>
    <w:rsid w:val="006B2897"/>
    <w:rsid w:val="006B2DD2"/>
    <w:rsid w:val="006B4BC4"/>
    <w:rsid w:val="006B53B9"/>
    <w:rsid w:val="006B6E6F"/>
    <w:rsid w:val="006B792E"/>
    <w:rsid w:val="006B7FAB"/>
    <w:rsid w:val="006C03C1"/>
    <w:rsid w:val="006C0F21"/>
    <w:rsid w:val="006C1036"/>
    <w:rsid w:val="006C123E"/>
    <w:rsid w:val="006C1AFA"/>
    <w:rsid w:val="006C2451"/>
    <w:rsid w:val="006C2697"/>
    <w:rsid w:val="006C294D"/>
    <w:rsid w:val="006C2AD3"/>
    <w:rsid w:val="006C2F7E"/>
    <w:rsid w:val="006C3EF7"/>
    <w:rsid w:val="006C41C2"/>
    <w:rsid w:val="006C44AF"/>
    <w:rsid w:val="006C4EFF"/>
    <w:rsid w:val="006C4FBB"/>
    <w:rsid w:val="006C6C5C"/>
    <w:rsid w:val="006C6DA0"/>
    <w:rsid w:val="006C7A5D"/>
    <w:rsid w:val="006D031E"/>
    <w:rsid w:val="006D092C"/>
    <w:rsid w:val="006D0C63"/>
    <w:rsid w:val="006D0D20"/>
    <w:rsid w:val="006D106F"/>
    <w:rsid w:val="006D120F"/>
    <w:rsid w:val="006D1424"/>
    <w:rsid w:val="006D17D1"/>
    <w:rsid w:val="006D1B58"/>
    <w:rsid w:val="006D2111"/>
    <w:rsid w:val="006D2C2E"/>
    <w:rsid w:val="006D2CE6"/>
    <w:rsid w:val="006D2F9D"/>
    <w:rsid w:val="006D381C"/>
    <w:rsid w:val="006D4277"/>
    <w:rsid w:val="006D45EE"/>
    <w:rsid w:val="006D53FA"/>
    <w:rsid w:val="006D6306"/>
    <w:rsid w:val="006D648A"/>
    <w:rsid w:val="006D6BD2"/>
    <w:rsid w:val="006D7383"/>
    <w:rsid w:val="006D7546"/>
    <w:rsid w:val="006D76F1"/>
    <w:rsid w:val="006E05B2"/>
    <w:rsid w:val="006E3852"/>
    <w:rsid w:val="006E38F1"/>
    <w:rsid w:val="006E3F98"/>
    <w:rsid w:val="006E54D8"/>
    <w:rsid w:val="006E55B0"/>
    <w:rsid w:val="006E5970"/>
    <w:rsid w:val="006E6E7E"/>
    <w:rsid w:val="006E7828"/>
    <w:rsid w:val="006E7E7F"/>
    <w:rsid w:val="006F0051"/>
    <w:rsid w:val="006F0261"/>
    <w:rsid w:val="006F0BAE"/>
    <w:rsid w:val="006F11FA"/>
    <w:rsid w:val="006F2183"/>
    <w:rsid w:val="006F2715"/>
    <w:rsid w:val="006F2EF6"/>
    <w:rsid w:val="006F3084"/>
    <w:rsid w:val="006F37BB"/>
    <w:rsid w:val="006F399C"/>
    <w:rsid w:val="006F4431"/>
    <w:rsid w:val="006F469E"/>
    <w:rsid w:val="006F4D86"/>
    <w:rsid w:val="006F4F2A"/>
    <w:rsid w:val="006F5025"/>
    <w:rsid w:val="006F5544"/>
    <w:rsid w:val="006F594B"/>
    <w:rsid w:val="006F5B26"/>
    <w:rsid w:val="006F5BC7"/>
    <w:rsid w:val="006F6078"/>
    <w:rsid w:val="006F64C7"/>
    <w:rsid w:val="006F7A1B"/>
    <w:rsid w:val="006F7BA1"/>
    <w:rsid w:val="006F7BE3"/>
    <w:rsid w:val="007000C3"/>
    <w:rsid w:val="00700D33"/>
    <w:rsid w:val="00701315"/>
    <w:rsid w:val="0070156D"/>
    <w:rsid w:val="007015BE"/>
    <w:rsid w:val="00702780"/>
    <w:rsid w:val="007041F2"/>
    <w:rsid w:val="00704234"/>
    <w:rsid w:val="00704C8C"/>
    <w:rsid w:val="0070597F"/>
    <w:rsid w:val="00705DA1"/>
    <w:rsid w:val="0070617D"/>
    <w:rsid w:val="0070632E"/>
    <w:rsid w:val="00706D30"/>
    <w:rsid w:val="00706E94"/>
    <w:rsid w:val="00707440"/>
    <w:rsid w:val="0071121E"/>
    <w:rsid w:val="007127C2"/>
    <w:rsid w:val="007128C1"/>
    <w:rsid w:val="00713B9C"/>
    <w:rsid w:val="00714783"/>
    <w:rsid w:val="00714813"/>
    <w:rsid w:val="007153BF"/>
    <w:rsid w:val="00715470"/>
    <w:rsid w:val="007156CA"/>
    <w:rsid w:val="00715885"/>
    <w:rsid w:val="00715A12"/>
    <w:rsid w:val="00716242"/>
    <w:rsid w:val="007165A8"/>
    <w:rsid w:val="007165D2"/>
    <w:rsid w:val="00716A3C"/>
    <w:rsid w:val="00716C0A"/>
    <w:rsid w:val="00716D02"/>
    <w:rsid w:val="00716F44"/>
    <w:rsid w:val="00717212"/>
    <w:rsid w:val="00717AC5"/>
    <w:rsid w:val="00717D9A"/>
    <w:rsid w:val="00717F4A"/>
    <w:rsid w:val="007215D4"/>
    <w:rsid w:val="00721E18"/>
    <w:rsid w:val="00721F66"/>
    <w:rsid w:val="0072265D"/>
    <w:rsid w:val="00722797"/>
    <w:rsid w:val="00722D82"/>
    <w:rsid w:val="007234DB"/>
    <w:rsid w:val="00723F53"/>
    <w:rsid w:val="00724B77"/>
    <w:rsid w:val="00724E50"/>
    <w:rsid w:val="00724F12"/>
    <w:rsid w:val="0072548F"/>
    <w:rsid w:val="00725E90"/>
    <w:rsid w:val="00726155"/>
    <w:rsid w:val="00726727"/>
    <w:rsid w:val="0072789B"/>
    <w:rsid w:val="00727DA8"/>
    <w:rsid w:val="007303C2"/>
    <w:rsid w:val="007308BB"/>
    <w:rsid w:val="00730F2B"/>
    <w:rsid w:val="00732CA1"/>
    <w:rsid w:val="00733ACD"/>
    <w:rsid w:val="007343FC"/>
    <w:rsid w:val="0073458D"/>
    <w:rsid w:val="007345E1"/>
    <w:rsid w:val="0073567C"/>
    <w:rsid w:val="007359F0"/>
    <w:rsid w:val="00735AD3"/>
    <w:rsid w:val="00736231"/>
    <w:rsid w:val="007371AF"/>
    <w:rsid w:val="00737238"/>
    <w:rsid w:val="007372B4"/>
    <w:rsid w:val="0073736D"/>
    <w:rsid w:val="007378AE"/>
    <w:rsid w:val="007400BC"/>
    <w:rsid w:val="00740236"/>
    <w:rsid w:val="007404DC"/>
    <w:rsid w:val="007406E6"/>
    <w:rsid w:val="0074098D"/>
    <w:rsid w:val="00740AF3"/>
    <w:rsid w:val="007412AC"/>
    <w:rsid w:val="0074196E"/>
    <w:rsid w:val="00741A2A"/>
    <w:rsid w:val="00741DC5"/>
    <w:rsid w:val="007423CA"/>
    <w:rsid w:val="00742450"/>
    <w:rsid w:val="007427F2"/>
    <w:rsid w:val="00742839"/>
    <w:rsid w:val="00742D84"/>
    <w:rsid w:val="007431DF"/>
    <w:rsid w:val="007432D6"/>
    <w:rsid w:val="0074361C"/>
    <w:rsid w:val="00743A01"/>
    <w:rsid w:val="00743C0A"/>
    <w:rsid w:val="00743FC6"/>
    <w:rsid w:val="0074517D"/>
    <w:rsid w:val="007452DF"/>
    <w:rsid w:val="00746E5E"/>
    <w:rsid w:val="0075089F"/>
    <w:rsid w:val="00750AC7"/>
    <w:rsid w:val="007511E0"/>
    <w:rsid w:val="00751BAA"/>
    <w:rsid w:val="00752164"/>
    <w:rsid w:val="007527C1"/>
    <w:rsid w:val="00752BCD"/>
    <w:rsid w:val="00753653"/>
    <w:rsid w:val="00753B75"/>
    <w:rsid w:val="00753C85"/>
    <w:rsid w:val="00753F4B"/>
    <w:rsid w:val="00754155"/>
    <w:rsid w:val="00754184"/>
    <w:rsid w:val="00754691"/>
    <w:rsid w:val="00755189"/>
    <w:rsid w:val="007555C1"/>
    <w:rsid w:val="007556E8"/>
    <w:rsid w:val="00756BE0"/>
    <w:rsid w:val="00757859"/>
    <w:rsid w:val="00757A8F"/>
    <w:rsid w:val="00757AF2"/>
    <w:rsid w:val="0076006D"/>
    <w:rsid w:val="0076069B"/>
    <w:rsid w:val="00760A83"/>
    <w:rsid w:val="00760EE3"/>
    <w:rsid w:val="0076109B"/>
    <w:rsid w:val="007610C0"/>
    <w:rsid w:val="0076118E"/>
    <w:rsid w:val="00763E57"/>
    <w:rsid w:val="007643BA"/>
    <w:rsid w:val="00764613"/>
    <w:rsid w:val="00764A9E"/>
    <w:rsid w:val="00764AA5"/>
    <w:rsid w:val="00764CA4"/>
    <w:rsid w:val="00764D5D"/>
    <w:rsid w:val="0076545F"/>
    <w:rsid w:val="00765A3E"/>
    <w:rsid w:val="00765A64"/>
    <w:rsid w:val="0076649A"/>
    <w:rsid w:val="007668A0"/>
    <w:rsid w:val="00766B4A"/>
    <w:rsid w:val="0077057C"/>
    <w:rsid w:val="00770E04"/>
    <w:rsid w:val="00771E5B"/>
    <w:rsid w:val="00773605"/>
    <w:rsid w:val="00773DAE"/>
    <w:rsid w:val="0077525B"/>
    <w:rsid w:val="007755E6"/>
    <w:rsid w:val="00775C82"/>
    <w:rsid w:val="0077683B"/>
    <w:rsid w:val="00777219"/>
    <w:rsid w:val="00780393"/>
    <w:rsid w:val="007809E2"/>
    <w:rsid w:val="00780AE1"/>
    <w:rsid w:val="007812B4"/>
    <w:rsid w:val="007814EF"/>
    <w:rsid w:val="00781704"/>
    <w:rsid w:val="00781D6B"/>
    <w:rsid w:val="00782157"/>
    <w:rsid w:val="00782C8A"/>
    <w:rsid w:val="007830CF"/>
    <w:rsid w:val="007832CE"/>
    <w:rsid w:val="00783302"/>
    <w:rsid w:val="00783664"/>
    <w:rsid w:val="00783D3A"/>
    <w:rsid w:val="00784360"/>
    <w:rsid w:val="00784428"/>
    <w:rsid w:val="007848E2"/>
    <w:rsid w:val="007849F8"/>
    <w:rsid w:val="0078557E"/>
    <w:rsid w:val="007858F7"/>
    <w:rsid w:val="00785987"/>
    <w:rsid w:val="00785B02"/>
    <w:rsid w:val="007865B9"/>
    <w:rsid w:val="00786D3D"/>
    <w:rsid w:val="0078775A"/>
    <w:rsid w:val="0078796F"/>
    <w:rsid w:val="00787B61"/>
    <w:rsid w:val="00787D87"/>
    <w:rsid w:val="00787E2D"/>
    <w:rsid w:val="0079014D"/>
    <w:rsid w:val="007901EF"/>
    <w:rsid w:val="00790662"/>
    <w:rsid w:val="00790A03"/>
    <w:rsid w:val="00790CDE"/>
    <w:rsid w:val="0079243B"/>
    <w:rsid w:val="007935C1"/>
    <w:rsid w:val="00793609"/>
    <w:rsid w:val="00793AA9"/>
    <w:rsid w:val="007945B3"/>
    <w:rsid w:val="00794D57"/>
    <w:rsid w:val="00794E25"/>
    <w:rsid w:val="0079522F"/>
    <w:rsid w:val="007952B0"/>
    <w:rsid w:val="0079568D"/>
    <w:rsid w:val="00795CDB"/>
    <w:rsid w:val="0079666E"/>
    <w:rsid w:val="00796D7F"/>
    <w:rsid w:val="007978AF"/>
    <w:rsid w:val="00797AC6"/>
    <w:rsid w:val="007A094E"/>
    <w:rsid w:val="007A0D03"/>
    <w:rsid w:val="007A0EAC"/>
    <w:rsid w:val="007A1C59"/>
    <w:rsid w:val="007A212A"/>
    <w:rsid w:val="007A4624"/>
    <w:rsid w:val="007A528D"/>
    <w:rsid w:val="007A532E"/>
    <w:rsid w:val="007A5DB5"/>
    <w:rsid w:val="007A6000"/>
    <w:rsid w:val="007A638B"/>
    <w:rsid w:val="007A728D"/>
    <w:rsid w:val="007A7506"/>
    <w:rsid w:val="007A7B85"/>
    <w:rsid w:val="007B0BC7"/>
    <w:rsid w:val="007B0DBC"/>
    <w:rsid w:val="007B0DE9"/>
    <w:rsid w:val="007B1775"/>
    <w:rsid w:val="007B17E1"/>
    <w:rsid w:val="007B18BC"/>
    <w:rsid w:val="007B1BDA"/>
    <w:rsid w:val="007B1F96"/>
    <w:rsid w:val="007B223B"/>
    <w:rsid w:val="007B2671"/>
    <w:rsid w:val="007B39B6"/>
    <w:rsid w:val="007B467F"/>
    <w:rsid w:val="007B5530"/>
    <w:rsid w:val="007B61C9"/>
    <w:rsid w:val="007B6845"/>
    <w:rsid w:val="007B7E85"/>
    <w:rsid w:val="007C032E"/>
    <w:rsid w:val="007C036E"/>
    <w:rsid w:val="007C03FC"/>
    <w:rsid w:val="007C04BA"/>
    <w:rsid w:val="007C08EC"/>
    <w:rsid w:val="007C1329"/>
    <w:rsid w:val="007C2411"/>
    <w:rsid w:val="007C2D7E"/>
    <w:rsid w:val="007C34BC"/>
    <w:rsid w:val="007C462B"/>
    <w:rsid w:val="007C4781"/>
    <w:rsid w:val="007C486C"/>
    <w:rsid w:val="007C743A"/>
    <w:rsid w:val="007D0196"/>
    <w:rsid w:val="007D0571"/>
    <w:rsid w:val="007D080F"/>
    <w:rsid w:val="007D1727"/>
    <w:rsid w:val="007D17E1"/>
    <w:rsid w:val="007D210D"/>
    <w:rsid w:val="007D349D"/>
    <w:rsid w:val="007D3AFF"/>
    <w:rsid w:val="007D48B2"/>
    <w:rsid w:val="007D498E"/>
    <w:rsid w:val="007D4DA1"/>
    <w:rsid w:val="007D6D08"/>
    <w:rsid w:val="007D73A8"/>
    <w:rsid w:val="007D798E"/>
    <w:rsid w:val="007D7F97"/>
    <w:rsid w:val="007E01A4"/>
    <w:rsid w:val="007E033F"/>
    <w:rsid w:val="007E0F7F"/>
    <w:rsid w:val="007E1338"/>
    <w:rsid w:val="007E1859"/>
    <w:rsid w:val="007E2D91"/>
    <w:rsid w:val="007E2E69"/>
    <w:rsid w:val="007E2F45"/>
    <w:rsid w:val="007E346C"/>
    <w:rsid w:val="007E363A"/>
    <w:rsid w:val="007E3D82"/>
    <w:rsid w:val="007E401F"/>
    <w:rsid w:val="007E484E"/>
    <w:rsid w:val="007E4932"/>
    <w:rsid w:val="007E4DC2"/>
    <w:rsid w:val="007E5296"/>
    <w:rsid w:val="007E5721"/>
    <w:rsid w:val="007E5E44"/>
    <w:rsid w:val="007E622A"/>
    <w:rsid w:val="007E754C"/>
    <w:rsid w:val="007E7CA3"/>
    <w:rsid w:val="007F05D0"/>
    <w:rsid w:val="007F1ED9"/>
    <w:rsid w:val="007F340A"/>
    <w:rsid w:val="007F3DF9"/>
    <w:rsid w:val="007F3F63"/>
    <w:rsid w:val="007F4027"/>
    <w:rsid w:val="007F43C0"/>
    <w:rsid w:val="007F5196"/>
    <w:rsid w:val="007F6ED9"/>
    <w:rsid w:val="007F724A"/>
    <w:rsid w:val="007F7392"/>
    <w:rsid w:val="007F746F"/>
    <w:rsid w:val="007F7668"/>
    <w:rsid w:val="007F7F34"/>
    <w:rsid w:val="007F7F6F"/>
    <w:rsid w:val="0080034A"/>
    <w:rsid w:val="008003E0"/>
    <w:rsid w:val="008004B0"/>
    <w:rsid w:val="00800AFD"/>
    <w:rsid w:val="00800B6B"/>
    <w:rsid w:val="00800C49"/>
    <w:rsid w:val="0080180F"/>
    <w:rsid w:val="00801B47"/>
    <w:rsid w:val="008023D8"/>
    <w:rsid w:val="008023D9"/>
    <w:rsid w:val="00802916"/>
    <w:rsid w:val="00803289"/>
    <w:rsid w:val="008040FE"/>
    <w:rsid w:val="008047D5"/>
    <w:rsid w:val="00804D70"/>
    <w:rsid w:val="00804FA0"/>
    <w:rsid w:val="00805430"/>
    <w:rsid w:val="0080543A"/>
    <w:rsid w:val="008060D8"/>
    <w:rsid w:val="0080643C"/>
    <w:rsid w:val="008066A2"/>
    <w:rsid w:val="00806828"/>
    <w:rsid w:val="00806DAA"/>
    <w:rsid w:val="0080704B"/>
    <w:rsid w:val="0080708F"/>
    <w:rsid w:val="0080792B"/>
    <w:rsid w:val="0081012D"/>
    <w:rsid w:val="00810B86"/>
    <w:rsid w:val="00810D06"/>
    <w:rsid w:val="00811926"/>
    <w:rsid w:val="008123E8"/>
    <w:rsid w:val="00813FCF"/>
    <w:rsid w:val="00814544"/>
    <w:rsid w:val="00814690"/>
    <w:rsid w:val="00814880"/>
    <w:rsid w:val="00814DF1"/>
    <w:rsid w:val="00815226"/>
    <w:rsid w:val="00815955"/>
    <w:rsid w:val="00815F05"/>
    <w:rsid w:val="00815F0D"/>
    <w:rsid w:val="00815F73"/>
    <w:rsid w:val="008162AD"/>
    <w:rsid w:val="008169A3"/>
    <w:rsid w:val="00816DF8"/>
    <w:rsid w:val="00817776"/>
    <w:rsid w:val="00817978"/>
    <w:rsid w:val="00817CE5"/>
    <w:rsid w:val="00817DD3"/>
    <w:rsid w:val="008213F1"/>
    <w:rsid w:val="00822002"/>
    <w:rsid w:val="0082249F"/>
    <w:rsid w:val="008225B5"/>
    <w:rsid w:val="008228C7"/>
    <w:rsid w:val="008231D5"/>
    <w:rsid w:val="00823D7E"/>
    <w:rsid w:val="0082459B"/>
    <w:rsid w:val="008255D9"/>
    <w:rsid w:val="008258E8"/>
    <w:rsid w:val="00825BAE"/>
    <w:rsid w:val="00825E2B"/>
    <w:rsid w:val="008266CA"/>
    <w:rsid w:val="00826C62"/>
    <w:rsid w:val="008302BA"/>
    <w:rsid w:val="00830778"/>
    <w:rsid w:val="00830B67"/>
    <w:rsid w:val="00831020"/>
    <w:rsid w:val="00831469"/>
    <w:rsid w:val="008314A8"/>
    <w:rsid w:val="00831DD3"/>
    <w:rsid w:val="00832E27"/>
    <w:rsid w:val="00832FF5"/>
    <w:rsid w:val="008331EA"/>
    <w:rsid w:val="00833583"/>
    <w:rsid w:val="00833901"/>
    <w:rsid w:val="00833929"/>
    <w:rsid w:val="00833D92"/>
    <w:rsid w:val="00833E85"/>
    <w:rsid w:val="00834018"/>
    <w:rsid w:val="008340F1"/>
    <w:rsid w:val="00834C5B"/>
    <w:rsid w:val="00834D14"/>
    <w:rsid w:val="00835940"/>
    <w:rsid w:val="008361B7"/>
    <w:rsid w:val="00836621"/>
    <w:rsid w:val="008379A3"/>
    <w:rsid w:val="008379EF"/>
    <w:rsid w:val="00837A14"/>
    <w:rsid w:val="00837FBC"/>
    <w:rsid w:val="00837FFD"/>
    <w:rsid w:val="008409AA"/>
    <w:rsid w:val="00841A4A"/>
    <w:rsid w:val="00841E93"/>
    <w:rsid w:val="00842095"/>
    <w:rsid w:val="008430BA"/>
    <w:rsid w:val="00843235"/>
    <w:rsid w:val="0084332A"/>
    <w:rsid w:val="008436C9"/>
    <w:rsid w:val="00843F33"/>
    <w:rsid w:val="00844903"/>
    <w:rsid w:val="00844A90"/>
    <w:rsid w:val="00844CCC"/>
    <w:rsid w:val="00844D82"/>
    <w:rsid w:val="0084525C"/>
    <w:rsid w:val="00845363"/>
    <w:rsid w:val="0084566C"/>
    <w:rsid w:val="00845A8F"/>
    <w:rsid w:val="00845BA3"/>
    <w:rsid w:val="00845BC8"/>
    <w:rsid w:val="00845D4F"/>
    <w:rsid w:val="00845DF2"/>
    <w:rsid w:val="008463F4"/>
    <w:rsid w:val="00846C65"/>
    <w:rsid w:val="0084773C"/>
    <w:rsid w:val="00850164"/>
    <w:rsid w:val="00851468"/>
    <w:rsid w:val="0085265F"/>
    <w:rsid w:val="00852836"/>
    <w:rsid w:val="00853179"/>
    <w:rsid w:val="00853383"/>
    <w:rsid w:val="00854025"/>
    <w:rsid w:val="008541F3"/>
    <w:rsid w:val="008542A9"/>
    <w:rsid w:val="00854746"/>
    <w:rsid w:val="00854C34"/>
    <w:rsid w:val="00854D0A"/>
    <w:rsid w:val="00854ED5"/>
    <w:rsid w:val="0085516E"/>
    <w:rsid w:val="00856E1D"/>
    <w:rsid w:val="00857F2D"/>
    <w:rsid w:val="0086143E"/>
    <w:rsid w:val="00861586"/>
    <w:rsid w:val="0086163C"/>
    <w:rsid w:val="00861856"/>
    <w:rsid w:val="00864204"/>
    <w:rsid w:val="00864E59"/>
    <w:rsid w:val="00864F41"/>
    <w:rsid w:val="00865146"/>
    <w:rsid w:val="00865898"/>
    <w:rsid w:val="008660E7"/>
    <w:rsid w:val="00866154"/>
    <w:rsid w:val="008662ED"/>
    <w:rsid w:val="00866E0D"/>
    <w:rsid w:val="0086797A"/>
    <w:rsid w:val="00870BC3"/>
    <w:rsid w:val="00871E9A"/>
    <w:rsid w:val="00872136"/>
    <w:rsid w:val="008721AA"/>
    <w:rsid w:val="00872475"/>
    <w:rsid w:val="008725CE"/>
    <w:rsid w:val="00873027"/>
    <w:rsid w:val="00873043"/>
    <w:rsid w:val="0087357D"/>
    <w:rsid w:val="00873772"/>
    <w:rsid w:val="00873F62"/>
    <w:rsid w:val="008741AC"/>
    <w:rsid w:val="00874415"/>
    <w:rsid w:val="008749B0"/>
    <w:rsid w:val="008757B0"/>
    <w:rsid w:val="00875959"/>
    <w:rsid w:val="00875D27"/>
    <w:rsid w:val="00875FF9"/>
    <w:rsid w:val="008762CA"/>
    <w:rsid w:val="0087639B"/>
    <w:rsid w:val="00876587"/>
    <w:rsid w:val="008767F0"/>
    <w:rsid w:val="00876BFA"/>
    <w:rsid w:val="008770B5"/>
    <w:rsid w:val="0087743D"/>
    <w:rsid w:val="00877622"/>
    <w:rsid w:val="00877AD1"/>
    <w:rsid w:val="008818AF"/>
    <w:rsid w:val="00881AA9"/>
    <w:rsid w:val="00881C8D"/>
    <w:rsid w:val="00881E7F"/>
    <w:rsid w:val="00881FC9"/>
    <w:rsid w:val="00882211"/>
    <w:rsid w:val="0088231F"/>
    <w:rsid w:val="00882999"/>
    <w:rsid w:val="00884A93"/>
    <w:rsid w:val="00884C38"/>
    <w:rsid w:val="00884E7A"/>
    <w:rsid w:val="00885491"/>
    <w:rsid w:val="00885CD2"/>
    <w:rsid w:val="00886126"/>
    <w:rsid w:val="0088626F"/>
    <w:rsid w:val="00886DEE"/>
    <w:rsid w:val="00887419"/>
    <w:rsid w:val="00890527"/>
    <w:rsid w:val="00890737"/>
    <w:rsid w:val="00890B3C"/>
    <w:rsid w:val="00891184"/>
    <w:rsid w:val="008918A5"/>
    <w:rsid w:val="00891D78"/>
    <w:rsid w:val="008922C6"/>
    <w:rsid w:val="008926E7"/>
    <w:rsid w:val="0089276C"/>
    <w:rsid w:val="0089296F"/>
    <w:rsid w:val="00892EED"/>
    <w:rsid w:val="00892EF4"/>
    <w:rsid w:val="008943C5"/>
    <w:rsid w:val="0089448B"/>
    <w:rsid w:val="00894A76"/>
    <w:rsid w:val="008953C3"/>
    <w:rsid w:val="00895728"/>
    <w:rsid w:val="00895F97"/>
    <w:rsid w:val="00897139"/>
    <w:rsid w:val="00897860"/>
    <w:rsid w:val="0089792F"/>
    <w:rsid w:val="008A1ABC"/>
    <w:rsid w:val="008A2CE7"/>
    <w:rsid w:val="008A3930"/>
    <w:rsid w:val="008A408A"/>
    <w:rsid w:val="008A408F"/>
    <w:rsid w:val="008A45AE"/>
    <w:rsid w:val="008A48C9"/>
    <w:rsid w:val="008A50D5"/>
    <w:rsid w:val="008A55DC"/>
    <w:rsid w:val="008A569C"/>
    <w:rsid w:val="008A6F52"/>
    <w:rsid w:val="008A795D"/>
    <w:rsid w:val="008B16D4"/>
    <w:rsid w:val="008B20B4"/>
    <w:rsid w:val="008B2A6C"/>
    <w:rsid w:val="008B33A8"/>
    <w:rsid w:val="008B36AB"/>
    <w:rsid w:val="008B36E4"/>
    <w:rsid w:val="008B37E5"/>
    <w:rsid w:val="008B3AA1"/>
    <w:rsid w:val="008B3D1C"/>
    <w:rsid w:val="008B3F88"/>
    <w:rsid w:val="008B422C"/>
    <w:rsid w:val="008B45CE"/>
    <w:rsid w:val="008B4B33"/>
    <w:rsid w:val="008B53C4"/>
    <w:rsid w:val="008B5D97"/>
    <w:rsid w:val="008B60A7"/>
    <w:rsid w:val="008B62E3"/>
    <w:rsid w:val="008B66AF"/>
    <w:rsid w:val="008B6E85"/>
    <w:rsid w:val="008B7B24"/>
    <w:rsid w:val="008B7E11"/>
    <w:rsid w:val="008B7F39"/>
    <w:rsid w:val="008C0008"/>
    <w:rsid w:val="008C03AD"/>
    <w:rsid w:val="008C0CE2"/>
    <w:rsid w:val="008C0E32"/>
    <w:rsid w:val="008C0E47"/>
    <w:rsid w:val="008C204E"/>
    <w:rsid w:val="008C2D5E"/>
    <w:rsid w:val="008C34A6"/>
    <w:rsid w:val="008C3B87"/>
    <w:rsid w:val="008C404B"/>
    <w:rsid w:val="008C424B"/>
    <w:rsid w:val="008C4B2F"/>
    <w:rsid w:val="008C4BE3"/>
    <w:rsid w:val="008C51D2"/>
    <w:rsid w:val="008C5B43"/>
    <w:rsid w:val="008C6128"/>
    <w:rsid w:val="008C6ABB"/>
    <w:rsid w:val="008C7836"/>
    <w:rsid w:val="008C7CAD"/>
    <w:rsid w:val="008D00EF"/>
    <w:rsid w:val="008D0141"/>
    <w:rsid w:val="008D0696"/>
    <w:rsid w:val="008D0B4C"/>
    <w:rsid w:val="008D0C52"/>
    <w:rsid w:val="008D0D0D"/>
    <w:rsid w:val="008D1E5B"/>
    <w:rsid w:val="008D1F77"/>
    <w:rsid w:val="008D2029"/>
    <w:rsid w:val="008D2196"/>
    <w:rsid w:val="008D2285"/>
    <w:rsid w:val="008D2732"/>
    <w:rsid w:val="008D298C"/>
    <w:rsid w:val="008D2EDB"/>
    <w:rsid w:val="008D3145"/>
    <w:rsid w:val="008D37CC"/>
    <w:rsid w:val="008D3DBB"/>
    <w:rsid w:val="008D563C"/>
    <w:rsid w:val="008D680A"/>
    <w:rsid w:val="008D68CC"/>
    <w:rsid w:val="008D6EE7"/>
    <w:rsid w:val="008D77B4"/>
    <w:rsid w:val="008D781E"/>
    <w:rsid w:val="008E01D9"/>
    <w:rsid w:val="008E02D5"/>
    <w:rsid w:val="008E0653"/>
    <w:rsid w:val="008E0D64"/>
    <w:rsid w:val="008E1DEE"/>
    <w:rsid w:val="008E25DD"/>
    <w:rsid w:val="008E2CAE"/>
    <w:rsid w:val="008E3188"/>
    <w:rsid w:val="008E3C45"/>
    <w:rsid w:val="008E41DB"/>
    <w:rsid w:val="008E4389"/>
    <w:rsid w:val="008E438E"/>
    <w:rsid w:val="008E4993"/>
    <w:rsid w:val="008E4ED3"/>
    <w:rsid w:val="008E4F47"/>
    <w:rsid w:val="008E54B5"/>
    <w:rsid w:val="008E5FA8"/>
    <w:rsid w:val="008E6FED"/>
    <w:rsid w:val="008F0DC7"/>
    <w:rsid w:val="008F0EFB"/>
    <w:rsid w:val="008F25A0"/>
    <w:rsid w:val="008F2E4E"/>
    <w:rsid w:val="008F2FC8"/>
    <w:rsid w:val="008F372E"/>
    <w:rsid w:val="008F39EB"/>
    <w:rsid w:val="008F415F"/>
    <w:rsid w:val="008F472F"/>
    <w:rsid w:val="008F481E"/>
    <w:rsid w:val="008F4E5F"/>
    <w:rsid w:val="008F5C5A"/>
    <w:rsid w:val="008F6331"/>
    <w:rsid w:val="008F63EF"/>
    <w:rsid w:val="008F6A3F"/>
    <w:rsid w:val="008F73A5"/>
    <w:rsid w:val="008F76B0"/>
    <w:rsid w:val="008F7B7F"/>
    <w:rsid w:val="0090037E"/>
    <w:rsid w:val="009007B8"/>
    <w:rsid w:val="009009C8"/>
    <w:rsid w:val="0090124F"/>
    <w:rsid w:val="00901D57"/>
    <w:rsid w:val="00902294"/>
    <w:rsid w:val="00902311"/>
    <w:rsid w:val="0090236B"/>
    <w:rsid w:val="009028D0"/>
    <w:rsid w:val="00902D8C"/>
    <w:rsid w:val="00902EEA"/>
    <w:rsid w:val="00903002"/>
    <w:rsid w:val="00903320"/>
    <w:rsid w:val="009043BD"/>
    <w:rsid w:val="00904763"/>
    <w:rsid w:val="00905A66"/>
    <w:rsid w:val="00905D0D"/>
    <w:rsid w:val="00905E23"/>
    <w:rsid w:val="009070DA"/>
    <w:rsid w:val="0090721B"/>
    <w:rsid w:val="00907909"/>
    <w:rsid w:val="00907BA8"/>
    <w:rsid w:val="00910130"/>
    <w:rsid w:val="00910426"/>
    <w:rsid w:val="009104A7"/>
    <w:rsid w:val="00911677"/>
    <w:rsid w:val="009124D4"/>
    <w:rsid w:val="00912796"/>
    <w:rsid w:val="00912D1D"/>
    <w:rsid w:val="00913257"/>
    <w:rsid w:val="0091383F"/>
    <w:rsid w:val="00913841"/>
    <w:rsid w:val="00914709"/>
    <w:rsid w:val="00914F98"/>
    <w:rsid w:val="009153E2"/>
    <w:rsid w:val="00915A65"/>
    <w:rsid w:val="00915C3C"/>
    <w:rsid w:val="00915C91"/>
    <w:rsid w:val="00915D23"/>
    <w:rsid w:val="00915D44"/>
    <w:rsid w:val="009166D3"/>
    <w:rsid w:val="00916965"/>
    <w:rsid w:val="00917188"/>
    <w:rsid w:val="009173D5"/>
    <w:rsid w:val="00917418"/>
    <w:rsid w:val="00917B30"/>
    <w:rsid w:val="00920107"/>
    <w:rsid w:val="009205C2"/>
    <w:rsid w:val="00920CF8"/>
    <w:rsid w:val="00921A35"/>
    <w:rsid w:val="00922F0A"/>
    <w:rsid w:val="00923C8B"/>
    <w:rsid w:val="00923E9A"/>
    <w:rsid w:val="00924101"/>
    <w:rsid w:val="00924708"/>
    <w:rsid w:val="00925035"/>
    <w:rsid w:val="00925431"/>
    <w:rsid w:val="0092554D"/>
    <w:rsid w:val="0092601B"/>
    <w:rsid w:val="009266AE"/>
    <w:rsid w:val="00927BE9"/>
    <w:rsid w:val="00927CEB"/>
    <w:rsid w:val="00927DF1"/>
    <w:rsid w:val="009324DC"/>
    <w:rsid w:val="00933928"/>
    <w:rsid w:val="00933996"/>
    <w:rsid w:val="00934240"/>
    <w:rsid w:val="0093445D"/>
    <w:rsid w:val="009357BE"/>
    <w:rsid w:val="00935A80"/>
    <w:rsid w:val="00935E2C"/>
    <w:rsid w:val="009361C3"/>
    <w:rsid w:val="00936539"/>
    <w:rsid w:val="00937226"/>
    <w:rsid w:val="0093724A"/>
    <w:rsid w:val="009372D0"/>
    <w:rsid w:val="00940ADE"/>
    <w:rsid w:val="00940D56"/>
    <w:rsid w:val="00941107"/>
    <w:rsid w:val="00941D09"/>
    <w:rsid w:val="00942E9C"/>
    <w:rsid w:val="0094347C"/>
    <w:rsid w:val="00943989"/>
    <w:rsid w:val="0094407A"/>
    <w:rsid w:val="0094477C"/>
    <w:rsid w:val="00944B0D"/>
    <w:rsid w:val="00944C03"/>
    <w:rsid w:val="00944C56"/>
    <w:rsid w:val="0094565C"/>
    <w:rsid w:val="0094573A"/>
    <w:rsid w:val="00945D8E"/>
    <w:rsid w:val="00947439"/>
    <w:rsid w:val="00947DD2"/>
    <w:rsid w:val="00947E2B"/>
    <w:rsid w:val="00947E5D"/>
    <w:rsid w:val="00947EE1"/>
    <w:rsid w:val="0095019A"/>
    <w:rsid w:val="00950251"/>
    <w:rsid w:val="00950591"/>
    <w:rsid w:val="009510EC"/>
    <w:rsid w:val="00951BB5"/>
    <w:rsid w:val="00951FA2"/>
    <w:rsid w:val="00952641"/>
    <w:rsid w:val="00952C20"/>
    <w:rsid w:val="00953F9C"/>
    <w:rsid w:val="00954763"/>
    <w:rsid w:val="00954C29"/>
    <w:rsid w:val="00954E45"/>
    <w:rsid w:val="009551CE"/>
    <w:rsid w:val="0095549E"/>
    <w:rsid w:val="009559F1"/>
    <w:rsid w:val="0095610B"/>
    <w:rsid w:val="00956520"/>
    <w:rsid w:val="00956DD3"/>
    <w:rsid w:val="009574D3"/>
    <w:rsid w:val="00957D52"/>
    <w:rsid w:val="0096023A"/>
    <w:rsid w:val="00960E6C"/>
    <w:rsid w:val="00961026"/>
    <w:rsid w:val="009612B2"/>
    <w:rsid w:val="00961C53"/>
    <w:rsid w:val="00961DA5"/>
    <w:rsid w:val="0096214A"/>
    <w:rsid w:val="009623D3"/>
    <w:rsid w:val="009628A3"/>
    <w:rsid w:val="00962CB8"/>
    <w:rsid w:val="00962D17"/>
    <w:rsid w:val="00963573"/>
    <w:rsid w:val="00963C63"/>
    <w:rsid w:val="00963C9D"/>
    <w:rsid w:val="009642CE"/>
    <w:rsid w:val="009648C8"/>
    <w:rsid w:val="00966229"/>
    <w:rsid w:val="009662A8"/>
    <w:rsid w:val="0096681C"/>
    <w:rsid w:val="009669C5"/>
    <w:rsid w:val="00966FDC"/>
    <w:rsid w:val="009673EA"/>
    <w:rsid w:val="009709A6"/>
    <w:rsid w:val="00970AB2"/>
    <w:rsid w:val="00970BC3"/>
    <w:rsid w:val="00970DD2"/>
    <w:rsid w:val="009711F5"/>
    <w:rsid w:val="009713E7"/>
    <w:rsid w:val="00971AC4"/>
    <w:rsid w:val="00971AC5"/>
    <w:rsid w:val="009723D3"/>
    <w:rsid w:val="009724BB"/>
    <w:rsid w:val="00972AC6"/>
    <w:rsid w:val="00972B67"/>
    <w:rsid w:val="00973271"/>
    <w:rsid w:val="00973AFF"/>
    <w:rsid w:val="00974088"/>
    <w:rsid w:val="0097440F"/>
    <w:rsid w:val="00974852"/>
    <w:rsid w:val="00974A4C"/>
    <w:rsid w:val="00975AB8"/>
    <w:rsid w:val="00975AC3"/>
    <w:rsid w:val="00976454"/>
    <w:rsid w:val="0097653F"/>
    <w:rsid w:val="00977365"/>
    <w:rsid w:val="009801C5"/>
    <w:rsid w:val="009801FC"/>
    <w:rsid w:val="00980AFC"/>
    <w:rsid w:val="00980CA9"/>
    <w:rsid w:val="009819A1"/>
    <w:rsid w:val="00981B04"/>
    <w:rsid w:val="00981BF9"/>
    <w:rsid w:val="00981D98"/>
    <w:rsid w:val="00982363"/>
    <w:rsid w:val="009823C3"/>
    <w:rsid w:val="00982B2A"/>
    <w:rsid w:val="00982F93"/>
    <w:rsid w:val="0098304C"/>
    <w:rsid w:val="00983264"/>
    <w:rsid w:val="0098348E"/>
    <w:rsid w:val="00983A11"/>
    <w:rsid w:val="00983CC5"/>
    <w:rsid w:val="009842B4"/>
    <w:rsid w:val="00984D2C"/>
    <w:rsid w:val="009853C6"/>
    <w:rsid w:val="00986D7E"/>
    <w:rsid w:val="00987ADC"/>
    <w:rsid w:val="009908B3"/>
    <w:rsid w:val="009908DE"/>
    <w:rsid w:val="009915AE"/>
    <w:rsid w:val="009922C3"/>
    <w:rsid w:val="009939D3"/>
    <w:rsid w:val="0099474C"/>
    <w:rsid w:val="00994ACA"/>
    <w:rsid w:val="00994D84"/>
    <w:rsid w:val="009954F9"/>
    <w:rsid w:val="00995C59"/>
    <w:rsid w:val="009968F7"/>
    <w:rsid w:val="0099713C"/>
    <w:rsid w:val="009973CE"/>
    <w:rsid w:val="00997C0C"/>
    <w:rsid w:val="009A044E"/>
    <w:rsid w:val="009A06C6"/>
    <w:rsid w:val="009A0BDB"/>
    <w:rsid w:val="009A128A"/>
    <w:rsid w:val="009A13C1"/>
    <w:rsid w:val="009A1629"/>
    <w:rsid w:val="009A1F23"/>
    <w:rsid w:val="009A20D4"/>
    <w:rsid w:val="009A24F8"/>
    <w:rsid w:val="009A2CB1"/>
    <w:rsid w:val="009A36B6"/>
    <w:rsid w:val="009A477C"/>
    <w:rsid w:val="009A4F44"/>
    <w:rsid w:val="009A51F3"/>
    <w:rsid w:val="009A5C9F"/>
    <w:rsid w:val="009A63BC"/>
    <w:rsid w:val="009A6A7B"/>
    <w:rsid w:val="009A7684"/>
    <w:rsid w:val="009A7E73"/>
    <w:rsid w:val="009B130D"/>
    <w:rsid w:val="009B16C0"/>
    <w:rsid w:val="009B2937"/>
    <w:rsid w:val="009B2DE4"/>
    <w:rsid w:val="009B32DD"/>
    <w:rsid w:val="009B3652"/>
    <w:rsid w:val="009B388C"/>
    <w:rsid w:val="009B3A25"/>
    <w:rsid w:val="009B450B"/>
    <w:rsid w:val="009B4C84"/>
    <w:rsid w:val="009B4E40"/>
    <w:rsid w:val="009B518E"/>
    <w:rsid w:val="009B5584"/>
    <w:rsid w:val="009B62EA"/>
    <w:rsid w:val="009B6F29"/>
    <w:rsid w:val="009B7561"/>
    <w:rsid w:val="009C13A9"/>
    <w:rsid w:val="009C1703"/>
    <w:rsid w:val="009C1A87"/>
    <w:rsid w:val="009C23A1"/>
    <w:rsid w:val="009C2417"/>
    <w:rsid w:val="009C24EC"/>
    <w:rsid w:val="009C2833"/>
    <w:rsid w:val="009C336A"/>
    <w:rsid w:val="009C3561"/>
    <w:rsid w:val="009C37EB"/>
    <w:rsid w:val="009C43CD"/>
    <w:rsid w:val="009C4617"/>
    <w:rsid w:val="009C4813"/>
    <w:rsid w:val="009C4823"/>
    <w:rsid w:val="009C48A1"/>
    <w:rsid w:val="009C535A"/>
    <w:rsid w:val="009C5737"/>
    <w:rsid w:val="009C5820"/>
    <w:rsid w:val="009C5E31"/>
    <w:rsid w:val="009C69F3"/>
    <w:rsid w:val="009C6BD3"/>
    <w:rsid w:val="009C6BDD"/>
    <w:rsid w:val="009C6C69"/>
    <w:rsid w:val="009C75DE"/>
    <w:rsid w:val="009C7FC3"/>
    <w:rsid w:val="009D011A"/>
    <w:rsid w:val="009D0E31"/>
    <w:rsid w:val="009D0EB9"/>
    <w:rsid w:val="009D1286"/>
    <w:rsid w:val="009D1C95"/>
    <w:rsid w:val="009D207A"/>
    <w:rsid w:val="009D266E"/>
    <w:rsid w:val="009D2D9B"/>
    <w:rsid w:val="009D3D17"/>
    <w:rsid w:val="009D5BC8"/>
    <w:rsid w:val="009D6B81"/>
    <w:rsid w:val="009D7724"/>
    <w:rsid w:val="009D7A17"/>
    <w:rsid w:val="009D7BFF"/>
    <w:rsid w:val="009D7EFF"/>
    <w:rsid w:val="009D7F7C"/>
    <w:rsid w:val="009E15DC"/>
    <w:rsid w:val="009E188D"/>
    <w:rsid w:val="009E2537"/>
    <w:rsid w:val="009E277A"/>
    <w:rsid w:val="009E32D2"/>
    <w:rsid w:val="009E3384"/>
    <w:rsid w:val="009E3A80"/>
    <w:rsid w:val="009E4180"/>
    <w:rsid w:val="009E49EC"/>
    <w:rsid w:val="009E4A09"/>
    <w:rsid w:val="009E5C85"/>
    <w:rsid w:val="009E614E"/>
    <w:rsid w:val="009E6A11"/>
    <w:rsid w:val="009E6F7A"/>
    <w:rsid w:val="009E7682"/>
    <w:rsid w:val="009E7BC7"/>
    <w:rsid w:val="009F01E5"/>
    <w:rsid w:val="009F067A"/>
    <w:rsid w:val="009F0BB4"/>
    <w:rsid w:val="009F1610"/>
    <w:rsid w:val="009F2E47"/>
    <w:rsid w:val="009F3292"/>
    <w:rsid w:val="009F434E"/>
    <w:rsid w:val="009F4EFB"/>
    <w:rsid w:val="009F54A6"/>
    <w:rsid w:val="009F5890"/>
    <w:rsid w:val="009F779B"/>
    <w:rsid w:val="009F798A"/>
    <w:rsid w:val="00A0013B"/>
    <w:rsid w:val="00A002E0"/>
    <w:rsid w:val="00A00511"/>
    <w:rsid w:val="00A00C89"/>
    <w:rsid w:val="00A01F43"/>
    <w:rsid w:val="00A0288A"/>
    <w:rsid w:val="00A03749"/>
    <w:rsid w:val="00A04404"/>
    <w:rsid w:val="00A0484A"/>
    <w:rsid w:val="00A04CAA"/>
    <w:rsid w:val="00A0531E"/>
    <w:rsid w:val="00A05522"/>
    <w:rsid w:val="00A06073"/>
    <w:rsid w:val="00A06159"/>
    <w:rsid w:val="00A074B3"/>
    <w:rsid w:val="00A07C42"/>
    <w:rsid w:val="00A07EE1"/>
    <w:rsid w:val="00A10194"/>
    <w:rsid w:val="00A101B4"/>
    <w:rsid w:val="00A10360"/>
    <w:rsid w:val="00A105F3"/>
    <w:rsid w:val="00A1066B"/>
    <w:rsid w:val="00A10826"/>
    <w:rsid w:val="00A1117F"/>
    <w:rsid w:val="00A11308"/>
    <w:rsid w:val="00A119D3"/>
    <w:rsid w:val="00A125B5"/>
    <w:rsid w:val="00A12712"/>
    <w:rsid w:val="00A12E35"/>
    <w:rsid w:val="00A13A2A"/>
    <w:rsid w:val="00A14215"/>
    <w:rsid w:val="00A1572B"/>
    <w:rsid w:val="00A16546"/>
    <w:rsid w:val="00A16862"/>
    <w:rsid w:val="00A171B9"/>
    <w:rsid w:val="00A17517"/>
    <w:rsid w:val="00A20432"/>
    <w:rsid w:val="00A215B9"/>
    <w:rsid w:val="00A219E2"/>
    <w:rsid w:val="00A21C79"/>
    <w:rsid w:val="00A229DF"/>
    <w:rsid w:val="00A2358B"/>
    <w:rsid w:val="00A236E4"/>
    <w:rsid w:val="00A23F77"/>
    <w:rsid w:val="00A24372"/>
    <w:rsid w:val="00A243F8"/>
    <w:rsid w:val="00A245FD"/>
    <w:rsid w:val="00A24FE5"/>
    <w:rsid w:val="00A25718"/>
    <w:rsid w:val="00A25751"/>
    <w:rsid w:val="00A258AB"/>
    <w:rsid w:val="00A26039"/>
    <w:rsid w:val="00A267AE"/>
    <w:rsid w:val="00A271C9"/>
    <w:rsid w:val="00A27DFC"/>
    <w:rsid w:val="00A30540"/>
    <w:rsid w:val="00A311D4"/>
    <w:rsid w:val="00A31854"/>
    <w:rsid w:val="00A31926"/>
    <w:rsid w:val="00A32A5D"/>
    <w:rsid w:val="00A32B0B"/>
    <w:rsid w:val="00A32F76"/>
    <w:rsid w:val="00A3427F"/>
    <w:rsid w:val="00A34473"/>
    <w:rsid w:val="00A35451"/>
    <w:rsid w:val="00A3554D"/>
    <w:rsid w:val="00A35A38"/>
    <w:rsid w:val="00A35B72"/>
    <w:rsid w:val="00A36124"/>
    <w:rsid w:val="00A3696C"/>
    <w:rsid w:val="00A36AA9"/>
    <w:rsid w:val="00A37A9C"/>
    <w:rsid w:val="00A41562"/>
    <w:rsid w:val="00A41664"/>
    <w:rsid w:val="00A41834"/>
    <w:rsid w:val="00A41BB0"/>
    <w:rsid w:val="00A41DD1"/>
    <w:rsid w:val="00A41F3D"/>
    <w:rsid w:val="00A41FE7"/>
    <w:rsid w:val="00A43272"/>
    <w:rsid w:val="00A43298"/>
    <w:rsid w:val="00A433D2"/>
    <w:rsid w:val="00A433DB"/>
    <w:rsid w:val="00A447F4"/>
    <w:rsid w:val="00A44E29"/>
    <w:rsid w:val="00A45B55"/>
    <w:rsid w:val="00A4727C"/>
    <w:rsid w:val="00A4739A"/>
    <w:rsid w:val="00A477BF"/>
    <w:rsid w:val="00A47CFC"/>
    <w:rsid w:val="00A5035F"/>
    <w:rsid w:val="00A50BC8"/>
    <w:rsid w:val="00A51239"/>
    <w:rsid w:val="00A512DA"/>
    <w:rsid w:val="00A51718"/>
    <w:rsid w:val="00A52098"/>
    <w:rsid w:val="00A52D21"/>
    <w:rsid w:val="00A53490"/>
    <w:rsid w:val="00A53573"/>
    <w:rsid w:val="00A53690"/>
    <w:rsid w:val="00A546EF"/>
    <w:rsid w:val="00A54B3E"/>
    <w:rsid w:val="00A55B30"/>
    <w:rsid w:val="00A560C8"/>
    <w:rsid w:val="00A56DF5"/>
    <w:rsid w:val="00A57D6B"/>
    <w:rsid w:val="00A601F7"/>
    <w:rsid w:val="00A60B7C"/>
    <w:rsid w:val="00A610C9"/>
    <w:rsid w:val="00A615EB"/>
    <w:rsid w:val="00A62D5C"/>
    <w:rsid w:val="00A63515"/>
    <w:rsid w:val="00A64CB2"/>
    <w:rsid w:val="00A65BF0"/>
    <w:rsid w:val="00A67338"/>
    <w:rsid w:val="00A70133"/>
    <w:rsid w:val="00A70190"/>
    <w:rsid w:val="00A70EF1"/>
    <w:rsid w:val="00A7166F"/>
    <w:rsid w:val="00A72A2A"/>
    <w:rsid w:val="00A73597"/>
    <w:rsid w:val="00A740D7"/>
    <w:rsid w:val="00A74D23"/>
    <w:rsid w:val="00A7612E"/>
    <w:rsid w:val="00A766EC"/>
    <w:rsid w:val="00A76CF2"/>
    <w:rsid w:val="00A81DF1"/>
    <w:rsid w:val="00A81E70"/>
    <w:rsid w:val="00A8202A"/>
    <w:rsid w:val="00A824B3"/>
    <w:rsid w:val="00A825B4"/>
    <w:rsid w:val="00A828F5"/>
    <w:rsid w:val="00A82D45"/>
    <w:rsid w:val="00A83147"/>
    <w:rsid w:val="00A8353B"/>
    <w:rsid w:val="00A83BD9"/>
    <w:rsid w:val="00A83F07"/>
    <w:rsid w:val="00A8503D"/>
    <w:rsid w:val="00A85AF9"/>
    <w:rsid w:val="00A85D4A"/>
    <w:rsid w:val="00A86CD0"/>
    <w:rsid w:val="00A86CF2"/>
    <w:rsid w:val="00A86D09"/>
    <w:rsid w:val="00A87242"/>
    <w:rsid w:val="00A8724A"/>
    <w:rsid w:val="00A87337"/>
    <w:rsid w:val="00A87764"/>
    <w:rsid w:val="00A90231"/>
    <w:rsid w:val="00A90F8B"/>
    <w:rsid w:val="00A9305C"/>
    <w:rsid w:val="00A932D1"/>
    <w:rsid w:val="00A935B0"/>
    <w:rsid w:val="00A93974"/>
    <w:rsid w:val="00A93A55"/>
    <w:rsid w:val="00A93AD3"/>
    <w:rsid w:val="00A93B6F"/>
    <w:rsid w:val="00A9443B"/>
    <w:rsid w:val="00A94581"/>
    <w:rsid w:val="00A94AE1"/>
    <w:rsid w:val="00A94DD4"/>
    <w:rsid w:val="00A94EAE"/>
    <w:rsid w:val="00A94FE9"/>
    <w:rsid w:val="00A9552E"/>
    <w:rsid w:val="00A95CF8"/>
    <w:rsid w:val="00A95D00"/>
    <w:rsid w:val="00A95F33"/>
    <w:rsid w:val="00A95FA6"/>
    <w:rsid w:val="00A96A83"/>
    <w:rsid w:val="00A975C0"/>
    <w:rsid w:val="00A976FE"/>
    <w:rsid w:val="00A97B1C"/>
    <w:rsid w:val="00AA05D6"/>
    <w:rsid w:val="00AA07E2"/>
    <w:rsid w:val="00AA0E9E"/>
    <w:rsid w:val="00AA0FC3"/>
    <w:rsid w:val="00AA11A4"/>
    <w:rsid w:val="00AA1D88"/>
    <w:rsid w:val="00AA2836"/>
    <w:rsid w:val="00AA2B5A"/>
    <w:rsid w:val="00AA2D53"/>
    <w:rsid w:val="00AA306A"/>
    <w:rsid w:val="00AA392F"/>
    <w:rsid w:val="00AA4434"/>
    <w:rsid w:val="00AA4935"/>
    <w:rsid w:val="00AA49C1"/>
    <w:rsid w:val="00AA4F1A"/>
    <w:rsid w:val="00AA5622"/>
    <w:rsid w:val="00AA60D1"/>
    <w:rsid w:val="00AA60D3"/>
    <w:rsid w:val="00AA6341"/>
    <w:rsid w:val="00AA64CC"/>
    <w:rsid w:val="00AA667C"/>
    <w:rsid w:val="00AA70C0"/>
    <w:rsid w:val="00AA7AF8"/>
    <w:rsid w:val="00AA7C5E"/>
    <w:rsid w:val="00AB0B16"/>
    <w:rsid w:val="00AB1118"/>
    <w:rsid w:val="00AB16B6"/>
    <w:rsid w:val="00AB1FC8"/>
    <w:rsid w:val="00AB1FF0"/>
    <w:rsid w:val="00AB23D8"/>
    <w:rsid w:val="00AB2C7F"/>
    <w:rsid w:val="00AB2D7D"/>
    <w:rsid w:val="00AB31FA"/>
    <w:rsid w:val="00AB34E2"/>
    <w:rsid w:val="00AB3ADB"/>
    <w:rsid w:val="00AB4171"/>
    <w:rsid w:val="00AB4288"/>
    <w:rsid w:val="00AB4786"/>
    <w:rsid w:val="00AB589F"/>
    <w:rsid w:val="00AB5C18"/>
    <w:rsid w:val="00AB6E74"/>
    <w:rsid w:val="00AB732A"/>
    <w:rsid w:val="00AB73CF"/>
    <w:rsid w:val="00AB7962"/>
    <w:rsid w:val="00AB7B1B"/>
    <w:rsid w:val="00AC0573"/>
    <w:rsid w:val="00AC0582"/>
    <w:rsid w:val="00AC0CDD"/>
    <w:rsid w:val="00AC1291"/>
    <w:rsid w:val="00AC1326"/>
    <w:rsid w:val="00AC17DB"/>
    <w:rsid w:val="00AC1B22"/>
    <w:rsid w:val="00AC1CE3"/>
    <w:rsid w:val="00AC25AA"/>
    <w:rsid w:val="00AC27F8"/>
    <w:rsid w:val="00AC2A54"/>
    <w:rsid w:val="00AC2C47"/>
    <w:rsid w:val="00AC2F22"/>
    <w:rsid w:val="00AC345A"/>
    <w:rsid w:val="00AC3E3F"/>
    <w:rsid w:val="00AC3F80"/>
    <w:rsid w:val="00AC4051"/>
    <w:rsid w:val="00AC4B95"/>
    <w:rsid w:val="00AC5212"/>
    <w:rsid w:val="00AC5233"/>
    <w:rsid w:val="00AC54A5"/>
    <w:rsid w:val="00AC57EF"/>
    <w:rsid w:val="00AC5D66"/>
    <w:rsid w:val="00AC68D1"/>
    <w:rsid w:val="00AC7642"/>
    <w:rsid w:val="00AD026F"/>
    <w:rsid w:val="00AD0686"/>
    <w:rsid w:val="00AD06A6"/>
    <w:rsid w:val="00AD0910"/>
    <w:rsid w:val="00AD1492"/>
    <w:rsid w:val="00AD1D7B"/>
    <w:rsid w:val="00AD1D95"/>
    <w:rsid w:val="00AD1E80"/>
    <w:rsid w:val="00AD2BAC"/>
    <w:rsid w:val="00AD3B0E"/>
    <w:rsid w:val="00AD40BD"/>
    <w:rsid w:val="00AD4649"/>
    <w:rsid w:val="00AD5896"/>
    <w:rsid w:val="00AD58EE"/>
    <w:rsid w:val="00AD66A9"/>
    <w:rsid w:val="00AD66BF"/>
    <w:rsid w:val="00AD6E57"/>
    <w:rsid w:val="00AD6E90"/>
    <w:rsid w:val="00AD72AE"/>
    <w:rsid w:val="00AD7FEE"/>
    <w:rsid w:val="00AE025F"/>
    <w:rsid w:val="00AE0517"/>
    <w:rsid w:val="00AE0CB1"/>
    <w:rsid w:val="00AE11DB"/>
    <w:rsid w:val="00AE1366"/>
    <w:rsid w:val="00AE1471"/>
    <w:rsid w:val="00AE1880"/>
    <w:rsid w:val="00AE2521"/>
    <w:rsid w:val="00AE5017"/>
    <w:rsid w:val="00AE50EB"/>
    <w:rsid w:val="00AE5387"/>
    <w:rsid w:val="00AE5DA4"/>
    <w:rsid w:val="00AE6046"/>
    <w:rsid w:val="00AE65DF"/>
    <w:rsid w:val="00AE70CD"/>
    <w:rsid w:val="00AF044D"/>
    <w:rsid w:val="00AF0729"/>
    <w:rsid w:val="00AF0F4F"/>
    <w:rsid w:val="00AF2584"/>
    <w:rsid w:val="00AF28E8"/>
    <w:rsid w:val="00AF2FDD"/>
    <w:rsid w:val="00AF351C"/>
    <w:rsid w:val="00AF383A"/>
    <w:rsid w:val="00AF3D7B"/>
    <w:rsid w:val="00AF3F02"/>
    <w:rsid w:val="00AF4035"/>
    <w:rsid w:val="00AF4C4F"/>
    <w:rsid w:val="00AF5072"/>
    <w:rsid w:val="00AF50B5"/>
    <w:rsid w:val="00AF5256"/>
    <w:rsid w:val="00AF55DB"/>
    <w:rsid w:val="00AF605C"/>
    <w:rsid w:val="00AF6145"/>
    <w:rsid w:val="00AF78A0"/>
    <w:rsid w:val="00AF7F79"/>
    <w:rsid w:val="00B00A55"/>
    <w:rsid w:val="00B00C16"/>
    <w:rsid w:val="00B01393"/>
    <w:rsid w:val="00B019AC"/>
    <w:rsid w:val="00B02320"/>
    <w:rsid w:val="00B02454"/>
    <w:rsid w:val="00B02B1F"/>
    <w:rsid w:val="00B02C3C"/>
    <w:rsid w:val="00B02DD7"/>
    <w:rsid w:val="00B04314"/>
    <w:rsid w:val="00B0512F"/>
    <w:rsid w:val="00B05C25"/>
    <w:rsid w:val="00B06C52"/>
    <w:rsid w:val="00B07123"/>
    <w:rsid w:val="00B0715F"/>
    <w:rsid w:val="00B07513"/>
    <w:rsid w:val="00B07AE4"/>
    <w:rsid w:val="00B10250"/>
    <w:rsid w:val="00B107FB"/>
    <w:rsid w:val="00B10A08"/>
    <w:rsid w:val="00B10AC5"/>
    <w:rsid w:val="00B118A1"/>
    <w:rsid w:val="00B122F7"/>
    <w:rsid w:val="00B123B7"/>
    <w:rsid w:val="00B135A0"/>
    <w:rsid w:val="00B1404E"/>
    <w:rsid w:val="00B14471"/>
    <w:rsid w:val="00B1474A"/>
    <w:rsid w:val="00B14C39"/>
    <w:rsid w:val="00B158C3"/>
    <w:rsid w:val="00B15926"/>
    <w:rsid w:val="00B16047"/>
    <w:rsid w:val="00B161F9"/>
    <w:rsid w:val="00B169C5"/>
    <w:rsid w:val="00B16F11"/>
    <w:rsid w:val="00B1727A"/>
    <w:rsid w:val="00B172D8"/>
    <w:rsid w:val="00B1743F"/>
    <w:rsid w:val="00B178D4"/>
    <w:rsid w:val="00B201AF"/>
    <w:rsid w:val="00B20DB7"/>
    <w:rsid w:val="00B2131B"/>
    <w:rsid w:val="00B23842"/>
    <w:rsid w:val="00B2440B"/>
    <w:rsid w:val="00B24436"/>
    <w:rsid w:val="00B24B84"/>
    <w:rsid w:val="00B24F27"/>
    <w:rsid w:val="00B25202"/>
    <w:rsid w:val="00B25BCC"/>
    <w:rsid w:val="00B25C5C"/>
    <w:rsid w:val="00B26649"/>
    <w:rsid w:val="00B26E13"/>
    <w:rsid w:val="00B26E47"/>
    <w:rsid w:val="00B26F71"/>
    <w:rsid w:val="00B26FA4"/>
    <w:rsid w:val="00B277C7"/>
    <w:rsid w:val="00B27F24"/>
    <w:rsid w:val="00B3014A"/>
    <w:rsid w:val="00B30185"/>
    <w:rsid w:val="00B303C4"/>
    <w:rsid w:val="00B30612"/>
    <w:rsid w:val="00B31695"/>
    <w:rsid w:val="00B32A66"/>
    <w:rsid w:val="00B32B03"/>
    <w:rsid w:val="00B3330C"/>
    <w:rsid w:val="00B33FF8"/>
    <w:rsid w:val="00B34480"/>
    <w:rsid w:val="00B34559"/>
    <w:rsid w:val="00B34594"/>
    <w:rsid w:val="00B35093"/>
    <w:rsid w:val="00B36FE5"/>
    <w:rsid w:val="00B3742C"/>
    <w:rsid w:val="00B37708"/>
    <w:rsid w:val="00B37F0E"/>
    <w:rsid w:val="00B4028A"/>
    <w:rsid w:val="00B407D3"/>
    <w:rsid w:val="00B40BEA"/>
    <w:rsid w:val="00B40CE6"/>
    <w:rsid w:val="00B40D2E"/>
    <w:rsid w:val="00B40FAE"/>
    <w:rsid w:val="00B42464"/>
    <w:rsid w:val="00B42F6C"/>
    <w:rsid w:val="00B4314A"/>
    <w:rsid w:val="00B43A4D"/>
    <w:rsid w:val="00B43AFA"/>
    <w:rsid w:val="00B44081"/>
    <w:rsid w:val="00B44D07"/>
    <w:rsid w:val="00B44D97"/>
    <w:rsid w:val="00B45274"/>
    <w:rsid w:val="00B456AC"/>
    <w:rsid w:val="00B45D8E"/>
    <w:rsid w:val="00B45F7D"/>
    <w:rsid w:val="00B4604A"/>
    <w:rsid w:val="00B46EBE"/>
    <w:rsid w:val="00B472D4"/>
    <w:rsid w:val="00B4794D"/>
    <w:rsid w:val="00B47964"/>
    <w:rsid w:val="00B47CCB"/>
    <w:rsid w:val="00B47DD2"/>
    <w:rsid w:val="00B47FB9"/>
    <w:rsid w:val="00B505AF"/>
    <w:rsid w:val="00B518C8"/>
    <w:rsid w:val="00B5196A"/>
    <w:rsid w:val="00B51C4F"/>
    <w:rsid w:val="00B52683"/>
    <w:rsid w:val="00B5282F"/>
    <w:rsid w:val="00B52A13"/>
    <w:rsid w:val="00B52A37"/>
    <w:rsid w:val="00B53186"/>
    <w:rsid w:val="00B5381E"/>
    <w:rsid w:val="00B539F3"/>
    <w:rsid w:val="00B53CB4"/>
    <w:rsid w:val="00B546F4"/>
    <w:rsid w:val="00B547C8"/>
    <w:rsid w:val="00B555DB"/>
    <w:rsid w:val="00B55796"/>
    <w:rsid w:val="00B557BD"/>
    <w:rsid w:val="00B55E03"/>
    <w:rsid w:val="00B562B9"/>
    <w:rsid w:val="00B56530"/>
    <w:rsid w:val="00B566E0"/>
    <w:rsid w:val="00B56797"/>
    <w:rsid w:val="00B56A0E"/>
    <w:rsid w:val="00B57752"/>
    <w:rsid w:val="00B57943"/>
    <w:rsid w:val="00B57A2A"/>
    <w:rsid w:val="00B57BE2"/>
    <w:rsid w:val="00B6171B"/>
    <w:rsid w:val="00B61F57"/>
    <w:rsid w:val="00B62BCD"/>
    <w:rsid w:val="00B630A5"/>
    <w:rsid w:val="00B63E8F"/>
    <w:rsid w:val="00B63F57"/>
    <w:rsid w:val="00B64144"/>
    <w:rsid w:val="00B6495C"/>
    <w:rsid w:val="00B64D94"/>
    <w:rsid w:val="00B65459"/>
    <w:rsid w:val="00B65A53"/>
    <w:rsid w:val="00B661A7"/>
    <w:rsid w:val="00B66504"/>
    <w:rsid w:val="00B666B8"/>
    <w:rsid w:val="00B666C6"/>
    <w:rsid w:val="00B66E54"/>
    <w:rsid w:val="00B70898"/>
    <w:rsid w:val="00B70D6A"/>
    <w:rsid w:val="00B70E48"/>
    <w:rsid w:val="00B71DDD"/>
    <w:rsid w:val="00B72C96"/>
    <w:rsid w:val="00B732DE"/>
    <w:rsid w:val="00B75E79"/>
    <w:rsid w:val="00B771D9"/>
    <w:rsid w:val="00B774E6"/>
    <w:rsid w:val="00B80261"/>
    <w:rsid w:val="00B80333"/>
    <w:rsid w:val="00B804E5"/>
    <w:rsid w:val="00B80645"/>
    <w:rsid w:val="00B80F3F"/>
    <w:rsid w:val="00B81DEA"/>
    <w:rsid w:val="00B82296"/>
    <w:rsid w:val="00B83771"/>
    <w:rsid w:val="00B83B50"/>
    <w:rsid w:val="00B83F06"/>
    <w:rsid w:val="00B842D8"/>
    <w:rsid w:val="00B84739"/>
    <w:rsid w:val="00B84BAC"/>
    <w:rsid w:val="00B8504E"/>
    <w:rsid w:val="00B8513A"/>
    <w:rsid w:val="00B853E9"/>
    <w:rsid w:val="00B85760"/>
    <w:rsid w:val="00B8580B"/>
    <w:rsid w:val="00B85921"/>
    <w:rsid w:val="00B85B25"/>
    <w:rsid w:val="00B85D5F"/>
    <w:rsid w:val="00B86A1D"/>
    <w:rsid w:val="00B86FBB"/>
    <w:rsid w:val="00B87045"/>
    <w:rsid w:val="00B8791B"/>
    <w:rsid w:val="00B904C4"/>
    <w:rsid w:val="00B90ECF"/>
    <w:rsid w:val="00B91F71"/>
    <w:rsid w:val="00B924CC"/>
    <w:rsid w:val="00B92FDB"/>
    <w:rsid w:val="00B93158"/>
    <w:rsid w:val="00B93327"/>
    <w:rsid w:val="00B933D9"/>
    <w:rsid w:val="00B9348E"/>
    <w:rsid w:val="00B9377E"/>
    <w:rsid w:val="00B951A9"/>
    <w:rsid w:val="00B952A5"/>
    <w:rsid w:val="00B95558"/>
    <w:rsid w:val="00B9566C"/>
    <w:rsid w:val="00B9589C"/>
    <w:rsid w:val="00B964DB"/>
    <w:rsid w:val="00B96A8F"/>
    <w:rsid w:val="00B970FF"/>
    <w:rsid w:val="00B97272"/>
    <w:rsid w:val="00B979E5"/>
    <w:rsid w:val="00B97BCF"/>
    <w:rsid w:val="00B97DF6"/>
    <w:rsid w:val="00BA00ED"/>
    <w:rsid w:val="00BA04D0"/>
    <w:rsid w:val="00BA0581"/>
    <w:rsid w:val="00BA0E9E"/>
    <w:rsid w:val="00BA1814"/>
    <w:rsid w:val="00BA1B10"/>
    <w:rsid w:val="00BA2839"/>
    <w:rsid w:val="00BA2B24"/>
    <w:rsid w:val="00BA2E7F"/>
    <w:rsid w:val="00BA3934"/>
    <w:rsid w:val="00BA5263"/>
    <w:rsid w:val="00BA5548"/>
    <w:rsid w:val="00BA5CFD"/>
    <w:rsid w:val="00BA5F43"/>
    <w:rsid w:val="00BA6452"/>
    <w:rsid w:val="00BA71AD"/>
    <w:rsid w:val="00BA7711"/>
    <w:rsid w:val="00BA7EAB"/>
    <w:rsid w:val="00BB10C0"/>
    <w:rsid w:val="00BB14BC"/>
    <w:rsid w:val="00BB16B9"/>
    <w:rsid w:val="00BB17F9"/>
    <w:rsid w:val="00BB1CB3"/>
    <w:rsid w:val="00BB215F"/>
    <w:rsid w:val="00BB24D3"/>
    <w:rsid w:val="00BB2541"/>
    <w:rsid w:val="00BB2AAE"/>
    <w:rsid w:val="00BB2C01"/>
    <w:rsid w:val="00BB4194"/>
    <w:rsid w:val="00BB4270"/>
    <w:rsid w:val="00BB4457"/>
    <w:rsid w:val="00BB553F"/>
    <w:rsid w:val="00BB5A43"/>
    <w:rsid w:val="00BB60BE"/>
    <w:rsid w:val="00BB6B45"/>
    <w:rsid w:val="00BB75E9"/>
    <w:rsid w:val="00BB779D"/>
    <w:rsid w:val="00BC0F4F"/>
    <w:rsid w:val="00BC2207"/>
    <w:rsid w:val="00BC2378"/>
    <w:rsid w:val="00BC2D31"/>
    <w:rsid w:val="00BC3192"/>
    <w:rsid w:val="00BC3B5B"/>
    <w:rsid w:val="00BC4972"/>
    <w:rsid w:val="00BC4CA9"/>
    <w:rsid w:val="00BC5AB5"/>
    <w:rsid w:val="00BC5FA5"/>
    <w:rsid w:val="00BC625E"/>
    <w:rsid w:val="00BC69E3"/>
    <w:rsid w:val="00BC6BB8"/>
    <w:rsid w:val="00BC70CB"/>
    <w:rsid w:val="00BD0423"/>
    <w:rsid w:val="00BD0504"/>
    <w:rsid w:val="00BD064E"/>
    <w:rsid w:val="00BD0771"/>
    <w:rsid w:val="00BD0B86"/>
    <w:rsid w:val="00BD171F"/>
    <w:rsid w:val="00BD187F"/>
    <w:rsid w:val="00BD1BFE"/>
    <w:rsid w:val="00BD2A3B"/>
    <w:rsid w:val="00BD2B92"/>
    <w:rsid w:val="00BD39D5"/>
    <w:rsid w:val="00BD4963"/>
    <w:rsid w:val="00BD4987"/>
    <w:rsid w:val="00BD5179"/>
    <w:rsid w:val="00BD5AB0"/>
    <w:rsid w:val="00BD66F2"/>
    <w:rsid w:val="00BD68AE"/>
    <w:rsid w:val="00BD7A43"/>
    <w:rsid w:val="00BD7D46"/>
    <w:rsid w:val="00BE1120"/>
    <w:rsid w:val="00BE163B"/>
    <w:rsid w:val="00BE1705"/>
    <w:rsid w:val="00BE1C87"/>
    <w:rsid w:val="00BE251D"/>
    <w:rsid w:val="00BE2971"/>
    <w:rsid w:val="00BE2D07"/>
    <w:rsid w:val="00BE36AC"/>
    <w:rsid w:val="00BE3D63"/>
    <w:rsid w:val="00BE4075"/>
    <w:rsid w:val="00BE4711"/>
    <w:rsid w:val="00BE4FEB"/>
    <w:rsid w:val="00BE539F"/>
    <w:rsid w:val="00BE5AF2"/>
    <w:rsid w:val="00BE6CDD"/>
    <w:rsid w:val="00BE6DCE"/>
    <w:rsid w:val="00BE7DEE"/>
    <w:rsid w:val="00BF1BF3"/>
    <w:rsid w:val="00BF1DB8"/>
    <w:rsid w:val="00BF24CD"/>
    <w:rsid w:val="00BF270A"/>
    <w:rsid w:val="00BF2924"/>
    <w:rsid w:val="00BF2F6F"/>
    <w:rsid w:val="00BF3564"/>
    <w:rsid w:val="00BF3768"/>
    <w:rsid w:val="00BF385A"/>
    <w:rsid w:val="00BF443A"/>
    <w:rsid w:val="00BF4916"/>
    <w:rsid w:val="00BF53D3"/>
    <w:rsid w:val="00BF5561"/>
    <w:rsid w:val="00BF57ED"/>
    <w:rsid w:val="00BF58E3"/>
    <w:rsid w:val="00BF5903"/>
    <w:rsid w:val="00BF5BFF"/>
    <w:rsid w:val="00BF5EF0"/>
    <w:rsid w:val="00BF63B4"/>
    <w:rsid w:val="00BF67E2"/>
    <w:rsid w:val="00BF6B85"/>
    <w:rsid w:val="00BF6DCD"/>
    <w:rsid w:val="00BF76AF"/>
    <w:rsid w:val="00C00C39"/>
    <w:rsid w:val="00C00F3D"/>
    <w:rsid w:val="00C02053"/>
    <w:rsid w:val="00C03238"/>
    <w:rsid w:val="00C03E3E"/>
    <w:rsid w:val="00C042F2"/>
    <w:rsid w:val="00C05285"/>
    <w:rsid w:val="00C0626D"/>
    <w:rsid w:val="00C066A5"/>
    <w:rsid w:val="00C06B3E"/>
    <w:rsid w:val="00C06D1A"/>
    <w:rsid w:val="00C077D2"/>
    <w:rsid w:val="00C102C6"/>
    <w:rsid w:val="00C109A7"/>
    <w:rsid w:val="00C113A4"/>
    <w:rsid w:val="00C114BD"/>
    <w:rsid w:val="00C11B80"/>
    <w:rsid w:val="00C12263"/>
    <w:rsid w:val="00C1237A"/>
    <w:rsid w:val="00C1255A"/>
    <w:rsid w:val="00C12873"/>
    <w:rsid w:val="00C12ABA"/>
    <w:rsid w:val="00C12B32"/>
    <w:rsid w:val="00C12C75"/>
    <w:rsid w:val="00C13406"/>
    <w:rsid w:val="00C136E8"/>
    <w:rsid w:val="00C13CF5"/>
    <w:rsid w:val="00C1526E"/>
    <w:rsid w:val="00C15B1C"/>
    <w:rsid w:val="00C15BB6"/>
    <w:rsid w:val="00C16242"/>
    <w:rsid w:val="00C16977"/>
    <w:rsid w:val="00C16E1B"/>
    <w:rsid w:val="00C175B7"/>
    <w:rsid w:val="00C176A8"/>
    <w:rsid w:val="00C17BF5"/>
    <w:rsid w:val="00C2015A"/>
    <w:rsid w:val="00C20471"/>
    <w:rsid w:val="00C20634"/>
    <w:rsid w:val="00C20CA9"/>
    <w:rsid w:val="00C211A1"/>
    <w:rsid w:val="00C2127D"/>
    <w:rsid w:val="00C21A80"/>
    <w:rsid w:val="00C21DB0"/>
    <w:rsid w:val="00C2205E"/>
    <w:rsid w:val="00C22291"/>
    <w:rsid w:val="00C23C7E"/>
    <w:rsid w:val="00C23DF9"/>
    <w:rsid w:val="00C247F5"/>
    <w:rsid w:val="00C2671F"/>
    <w:rsid w:val="00C267D4"/>
    <w:rsid w:val="00C3179C"/>
    <w:rsid w:val="00C31A67"/>
    <w:rsid w:val="00C31EB7"/>
    <w:rsid w:val="00C325AB"/>
    <w:rsid w:val="00C34CA4"/>
    <w:rsid w:val="00C354E7"/>
    <w:rsid w:val="00C356E3"/>
    <w:rsid w:val="00C36497"/>
    <w:rsid w:val="00C365FE"/>
    <w:rsid w:val="00C36641"/>
    <w:rsid w:val="00C36B06"/>
    <w:rsid w:val="00C36B84"/>
    <w:rsid w:val="00C37AD4"/>
    <w:rsid w:val="00C400E3"/>
    <w:rsid w:val="00C405B3"/>
    <w:rsid w:val="00C40EE3"/>
    <w:rsid w:val="00C41297"/>
    <w:rsid w:val="00C41441"/>
    <w:rsid w:val="00C41592"/>
    <w:rsid w:val="00C41788"/>
    <w:rsid w:val="00C418A1"/>
    <w:rsid w:val="00C41A9C"/>
    <w:rsid w:val="00C41BE1"/>
    <w:rsid w:val="00C4254C"/>
    <w:rsid w:val="00C42813"/>
    <w:rsid w:val="00C42B6A"/>
    <w:rsid w:val="00C43154"/>
    <w:rsid w:val="00C438A3"/>
    <w:rsid w:val="00C446EC"/>
    <w:rsid w:val="00C45042"/>
    <w:rsid w:val="00C4511D"/>
    <w:rsid w:val="00C452FE"/>
    <w:rsid w:val="00C45994"/>
    <w:rsid w:val="00C45A70"/>
    <w:rsid w:val="00C45E83"/>
    <w:rsid w:val="00C46642"/>
    <w:rsid w:val="00C466CE"/>
    <w:rsid w:val="00C47318"/>
    <w:rsid w:val="00C47F13"/>
    <w:rsid w:val="00C502D9"/>
    <w:rsid w:val="00C50899"/>
    <w:rsid w:val="00C50C54"/>
    <w:rsid w:val="00C50DD6"/>
    <w:rsid w:val="00C50FA0"/>
    <w:rsid w:val="00C515B9"/>
    <w:rsid w:val="00C51766"/>
    <w:rsid w:val="00C51BC2"/>
    <w:rsid w:val="00C5202B"/>
    <w:rsid w:val="00C5242A"/>
    <w:rsid w:val="00C52ADC"/>
    <w:rsid w:val="00C52ADE"/>
    <w:rsid w:val="00C52DEA"/>
    <w:rsid w:val="00C52EC2"/>
    <w:rsid w:val="00C53310"/>
    <w:rsid w:val="00C53472"/>
    <w:rsid w:val="00C5390D"/>
    <w:rsid w:val="00C53948"/>
    <w:rsid w:val="00C53DBA"/>
    <w:rsid w:val="00C54E7A"/>
    <w:rsid w:val="00C5568E"/>
    <w:rsid w:val="00C55701"/>
    <w:rsid w:val="00C56037"/>
    <w:rsid w:val="00C565E2"/>
    <w:rsid w:val="00C574B1"/>
    <w:rsid w:val="00C57528"/>
    <w:rsid w:val="00C57B77"/>
    <w:rsid w:val="00C600F8"/>
    <w:rsid w:val="00C60625"/>
    <w:rsid w:val="00C6108B"/>
    <w:rsid w:val="00C61546"/>
    <w:rsid w:val="00C618D1"/>
    <w:rsid w:val="00C61B7D"/>
    <w:rsid w:val="00C623ED"/>
    <w:rsid w:val="00C626E0"/>
    <w:rsid w:val="00C62A5D"/>
    <w:rsid w:val="00C62F05"/>
    <w:rsid w:val="00C6316C"/>
    <w:rsid w:val="00C636B0"/>
    <w:rsid w:val="00C6429E"/>
    <w:rsid w:val="00C64CBA"/>
    <w:rsid w:val="00C64CCF"/>
    <w:rsid w:val="00C650AA"/>
    <w:rsid w:val="00C65129"/>
    <w:rsid w:val="00C6597A"/>
    <w:rsid w:val="00C66285"/>
    <w:rsid w:val="00C66398"/>
    <w:rsid w:val="00C66875"/>
    <w:rsid w:val="00C66A32"/>
    <w:rsid w:val="00C67E38"/>
    <w:rsid w:val="00C71043"/>
    <w:rsid w:val="00C710F0"/>
    <w:rsid w:val="00C7163D"/>
    <w:rsid w:val="00C71C45"/>
    <w:rsid w:val="00C71EDD"/>
    <w:rsid w:val="00C71EF2"/>
    <w:rsid w:val="00C72AFC"/>
    <w:rsid w:val="00C72D87"/>
    <w:rsid w:val="00C732B6"/>
    <w:rsid w:val="00C736A2"/>
    <w:rsid w:val="00C7432B"/>
    <w:rsid w:val="00C755AE"/>
    <w:rsid w:val="00C75D01"/>
    <w:rsid w:val="00C76767"/>
    <w:rsid w:val="00C76E45"/>
    <w:rsid w:val="00C8029D"/>
    <w:rsid w:val="00C8107C"/>
    <w:rsid w:val="00C81109"/>
    <w:rsid w:val="00C811B7"/>
    <w:rsid w:val="00C815D1"/>
    <w:rsid w:val="00C81AD7"/>
    <w:rsid w:val="00C81D6E"/>
    <w:rsid w:val="00C81E5B"/>
    <w:rsid w:val="00C82276"/>
    <w:rsid w:val="00C8230A"/>
    <w:rsid w:val="00C82993"/>
    <w:rsid w:val="00C82B4B"/>
    <w:rsid w:val="00C82F78"/>
    <w:rsid w:val="00C83274"/>
    <w:rsid w:val="00C83B69"/>
    <w:rsid w:val="00C83C40"/>
    <w:rsid w:val="00C84943"/>
    <w:rsid w:val="00C84B85"/>
    <w:rsid w:val="00C84C5E"/>
    <w:rsid w:val="00C85256"/>
    <w:rsid w:val="00C85E6D"/>
    <w:rsid w:val="00C86742"/>
    <w:rsid w:val="00C869A0"/>
    <w:rsid w:val="00C86BF3"/>
    <w:rsid w:val="00C86E10"/>
    <w:rsid w:val="00C8712B"/>
    <w:rsid w:val="00C87462"/>
    <w:rsid w:val="00C908A0"/>
    <w:rsid w:val="00C91147"/>
    <w:rsid w:val="00C91885"/>
    <w:rsid w:val="00C92D02"/>
    <w:rsid w:val="00C9318C"/>
    <w:rsid w:val="00C93683"/>
    <w:rsid w:val="00C938AE"/>
    <w:rsid w:val="00C94074"/>
    <w:rsid w:val="00C9415D"/>
    <w:rsid w:val="00C94A9C"/>
    <w:rsid w:val="00C94E36"/>
    <w:rsid w:val="00C95100"/>
    <w:rsid w:val="00C951B7"/>
    <w:rsid w:val="00C95C21"/>
    <w:rsid w:val="00C96D09"/>
    <w:rsid w:val="00C97795"/>
    <w:rsid w:val="00C979A6"/>
    <w:rsid w:val="00CA0237"/>
    <w:rsid w:val="00CA0960"/>
    <w:rsid w:val="00CA0AA0"/>
    <w:rsid w:val="00CA0CA9"/>
    <w:rsid w:val="00CA105C"/>
    <w:rsid w:val="00CA1E17"/>
    <w:rsid w:val="00CA26BD"/>
    <w:rsid w:val="00CA30B3"/>
    <w:rsid w:val="00CA3AD3"/>
    <w:rsid w:val="00CA3CD4"/>
    <w:rsid w:val="00CA3D28"/>
    <w:rsid w:val="00CA4545"/>
    <w:rsid w:val="00CA4B02"/>
    <w:rsid w:val="00CA5281"/>
    <w:rsid w:val="00CA55EF"/>
    <w:rsid w:val="00CA65DE"/>
    <w:rsid w:val="00CA6CD6"/>
    <w:rsid w:val="00CA7120"/>
    <w:rsid w:val="00CA7A09"/>
    <w:rsid w:val="00CB00A1"/>
    <w:rsid w:val="00CB1267"/>
    <w:rsid w:val="00CB178B"/>
    <w:rsid w:val="00CB1910"/>
    <w:rsid w:val="00CB1A7F"/>
    <w:rsid w:val="00CB1E19"/>
    <w:rsid w:val="00CB2049"/>
    <w:rsid w:val="00CB2149"/>
    <w:rsid w:val="00CB29D1"/>
    <w:rsid w:val="00CB3779"/>
    <w:rsid w:val="00CB38B8"/>
    <w:rsid w:val="00CB3B20"/>
    <w:rsid w:val="00CB3BAF"/>
    <w:rsid w:val="00CB437A"/>
    <w:rsid w:val="00CB4B8E"/>
    <w:rsid w:val="00CB5CBE"/>
    <w:rsid w:val="00CB62FA"/>
    <w:rsid w:val="00CB662F"/>
    <w:rsid w:val="00CB68F8"/>
    <w:rsid w:val="00CB6961"/>
    <w:rsid w:val="00CB6DA9"/>
    <w:rsid w:val="00CB6F91"/>
    <w:rsid w:val="00CB7651"/>
    <w:rsid w:val="00CC0509"/>
    <w:rsid w:val="00CC0CEC"/>
    <w:rsid w:val="00CC0DEA"/>
    <w:rsid w:val="00CC122D"/>
    <w:rsid w:val="00CC13DD"/>
    <w:rsid w:val="00CC1471"/>
    <w:rsid w:val="00CC155F"/>
    <w:rsid w:val="00CC1D14"/>
    <w:rsid w:val="00CC1F25"/>
    <w:rsid w:val="00CC2954"/>
    <w:rsid w:val="00CC36D3"/>
    <w:rsid w:val="00CC3C4A"/>
    <w:rsid w:val="00CC45B3"/>
    <w:rsid w:val="00CC4799"/>
    <w:rsid w:val="00CC4F96"/>
    <w:rsid w:val="00CC7F5A"/>
    <w:rsid w:val="00CD0246"/>
    <w:rsid w:val="00CD0332"/>
    <w:rsid w:val="00CD0A0A"/>
    <w:rsid w:val="00CD11C2"/>
    <w:rsid w:val="00CD207A"/>
    <w:rsid w:val="00CD272D"/>
    <w:rsid w:val="00CD29EC"/>
    <w:rsid w:val="00CD3488"/>
    <w:rsid w:val="00CD4318"/>
    <w:rsid w:val="00CD48FE"/>
    <w:rsid w:val="00CD51D6"/>
    <w:rsid w:val="00CD52FB"/>
    <w:rsid w:val="00CD5377"/>
    <w:rsid w:val="00CD5735"/>
    <w:rsid w:val="00CD5E18"/>
    <w:rsid w:val="00CD6CD3"/>
    <w:rsid w:val="00CD6FA9"/>
    <w:rsid w:val="00CD7D4F"/>
    <w:rsid w:val="00CE05B9"/>
    <w:rsid w:val="00CE06F0"/>
    <w:rsid w:val="00CE0C8E"/>
    <w:rsid w:val="00CE1002"/>
    <w:rsid w:val="00CE1E6C"/>
    <w:rsid w:val="00CE1F37"/>
    <w:rsid w:val="00CE2C39"/>
    <w:rsid w:val="00CE2D18"/>
    <w:rsid w:val="00CE34DE"/>
    <w:rsid w:val="00CE4589"/>
    <w:rsid w:val="00CE45CD"/>
    <w:rsid w:val="00CE4A4A"/>
    <w:rsid w:val="00CE5B35"/>
    <w:rsid w:val="00CE63F6"/>
    <w:rsid w:val="00CE6519"/>
    <w:rsid w:val="00CE6AD7"/>
    <w:rsid w:val="00CE6E73"/>
    <w:rsid w:val="00CE713D"/>
    <w:rsid w:val="00CE74EC"/>
    <w:rsid w:val="00CE7D6F"/>
    <w:rsid w:val="00CE7E51"/>
    <w:rsid w:val="00CE7E85"/>
    <w:rsid w:val="00CF02C7"/>
    <w:rsid w:val="00CF075A"/>
    <w:rsid w:val="00CF0874"/>
    <w:rsid w:val="00CF0CA7"/>
    <w:rsid w:val="00CF0F43"/>
    <w:rsid w:val="00CF1111"/>
    <w:rsid w:val="00CF1F2A"/>
    <w:rsid w:val="00CF2113"/>
    <w:rsid w:val="00CF2A9C"/>
    <w:rsid w:val="00CF34B2"/>
    <w:rsid w:val="00CF35C3"/>
    <w:rsid w:val="00CF37D1"/>
    <w:rsid w:val="00CF395A"/>
    <w:rsid w:val="00CF5066"/>
    <w:rsid w:val="00CF5213"/>
    <w:rsid w:val="00CF56C3"/>
    <w:rsid w:val="00CF5995"/>
    <w:rsid w:val="00CF5A3B"/>
    <w:rsid w:val="00CF60B4"/>
    <w:rsid w:val="00CF6997"/>
    <w:rsid w:val="00CF71D8"/>
    <w:rsid w:val="00CF76DB"/>
    <w:rsid w:val="00CF7723"/>
    <w:rsid w:val="00CF798F"/>
    <w:rsid w:val="00CF7EA5"/>
    <w:rsid w:val="00D004E2"/>
    <w:rsid w:val="00D01498"/>
    <w:rsid w:val="00D0253C"/>
    <w:rsid w:val="00D02C91"/>
    <w:rsid w:val="00D03250"/>
    <w:rsid w:val="00D03A51"/>
    <w:rsid w:val="00D03BFA"/>
    <w:rsid w:val="00D04213"/>
    <w:rsid w:val="00D0462D"/>
    <w:rsid w:val="00D0466C"/>
    <w:rsid w:val="00D04EE2"/>
    <w:rsid w:val="00D064C2"/>
    <w:rsid w:val="00D065FA"/>
    <w:rsid w:val="00D0671B"/>
    <w:rsid w:val="00D06D3A"/>
    <w:rsid w:val="00D06DB7"/>
    <w:rsid w:val="00D072D5"/>
    <w:rsid w:val="00D10198"/>
    <w:rsid w:val="00D1088D"/>
    <w:rsid w:val="00D10920"/>
    <w:rsid w:val="00D10C0F"/>
    <w:rsid w:val="00D11722"/>
    <w:rsid w:val="00D11A87"/>
    <w:rsid w:val="00D11D1A"/>
    <w:rsid w:val="00D12232"/>
    <w:rsid w:val="00D12607"/>
    <w:rsid w:val="00D1278C"/>
    <w:rsid w:val="00D12827"/>
    <w:rsid w:val="00D13846"/>
    <w:rsid w:val="00D13E66"/>
    <w:rsid w:val="00D13F3C"/>
    <w:rsid w:val="00D13F3E"/>
    <w:rsid w:val="00D14D94"/>
    <w:rsid w:val="00D152E7"/>
    <w:rsid w:val="00D158AA"/>
    <w:rsid w:val="00D1609F"/>
    <w:rsid w:val="00D1618D"/>
    <w:rsid w:val="00D1630A"/>
    <w:rsid w:val="00D168A9"/>
    <w:rsid w:val="00D20C4E"/>
    <w:rsid w:val="00D21235"/>
    <w:rsid w:val="00D21257"/>
    <w:rsid w:val="00D215A8"/>
    <w:rsid w:val="00D21ED8"/>
    <w:rsid w:val="00D22114"/>
    <w:rsid w:val="00D22695"/>
    <w:rsid w:val="00D24136"/>
    <w:rsid w:val="00D247C9"/>
    <w:rsid w:val="00D2487E"/>
    <w:rsid w:val="00D25AC1"/>
    <w:rsid w:val="00D261F4"/>
    <w:rsid w:val="00D26697"/>
    <w:rsid w:val="00D267C0"/>
    <w:rsid w:val="00D26847"/>
    <w:rsid w:val="00D270F5"/>
    <w:rsid w:val="00D30014"/>
    <w:rsid w:val="00D3006F"/>
    <w:rsid w:val="00D30281"/>
    <w:rsid w:val="00D30378"/>
    <w:rsid w:val="00D30F96"/>
    <w:rsid w:val="00D31389"/>
    <w:rsid w:val="00D32355"/>
    <w:rsid w:val="00D326CB"/>
    <w:rsid w:val="00D33682"/>
    <w:rsid w:val="00D3404C"/>
    <w:rsid w:val="00D34EBD"/>
    <w:rsid w:val="00D34ECD"/>
    <w:rsid w:val="00D35591"/>
    <w:rsid w:val="00D3608D"/>
    <w:rsid w:val="00D3634D"/>
    <w:rsid w:val="00D3727C"/>
    <w:rsid w:val="00D37A5B"/>
    <w:rsid w:val="00D404D6"/>
    <w:rsid w:val="00D40B7F"/>
    <w:rsid w:val="00D41899"/>
    <w:rsid w:val="00D4324B"/>
    <w:rsid w:val="00D43270"/>
    <w:rsid w:val="00D44038"/>
    <w:rsid w:val="00D44451"/>
    <w:rsid w:val="00D445FF"/>
    <w:rsid w:val="00D45D02"/>
    <w:rsid w:val="00D45F69"/>
    <w:rsid w:val="00D46011"/>
    <w:rsid w:val="00D46205"/>
    <w:rsid w:val="00D47602"/>
    <w:rsid w:val="00D4761B"/>
    <w:rsid w:val="00D476F3"/>
    <w:rsid w:val="00D502CA"/>
    <w:rsid w:val="00D50920"/>
    <w:rsid w:val="00D50C59"/>
    <w:rsid w:val="00D50FA9"/>
    <w:rsid w:val="00D516DC"/>
    <w:rsid w:val="00D51D65"/>
    <w:rsid w:val="00D52046"/>
    <w:rsid w:val="00D522EC"/>
    <w:rsid w:val="00D52332"/>
    <w:rsid w:val="00D526FA"/>
    <w:rsid w:val="00D52843"/>
    <w:rsid w:val="00D52A5F"/>
    <w:rsid w:val="00D53842"/>
    <w:rsid w:val="00D5474F"/>
    <w:rsid w:val="00D54800"/>
    <w:rsid w:val="00D555C7"/>
    <w:rsid w:val="00D57421"/>
    <w:rsid w:val="00D57C01"/>
    <w:rsid w:val="00D60817"/>
    <w:rsid w:val="00D6111C"/>
    <w:rsid w:val="00D612C3"/>
    <w:rsid w:val="00D61F20"/>
    <w:rsid w:val="00D62845"/>
    <w:rsid w:val="00D62895"/>
    <w:rsid w:val="00D628B0"/>
    <w:rsid w:val="00D62EB3"/>
    <w:rsid w:val="00D636CD"/>
    <w:rsid w:val="00D63A20"/>
    <w:rsid w:val="00D63CFD"/>
    <w:rsid w:val="00D64086"/>
    <w:rsid w:val="00D64D50"/>
    <w:rsid w:val="00D65047"/>
    <w:rsid w:val="00D6530D"/>
    <w:rsid w:val="00D6546F"/>
    <w:rsid w:val="00D66118"/>
    <w:rsid w:val="00D67063"/>
    <w:rsid w:val="00D67941"/>
    <w:rsid w:val="00D67A6C"/>
    <w:rsid w:val="00D67ABA"/>
    <w:rsid w:val="00D700E0"/>
    <w:rsid w:val="00D711C8"/>
    <w:rsid w:val="00D71276"/>
    <w:rsid w:val="00D71CB7"/>
    <w:rsid w:val="00D73599"/>
    <w:rsid w:val="00D74429"/>
    <w:rsid w:val="00D748BA"/>
    <w:rsid w:val="00D75537"/>
    <w:rsid w:val="00D76D01"/>
    <w:rsid w:val="00D77634"/>
    <w:rsid w:val="00D7764A"/>
    <w:rsid w:val="00D8134B"/>
    <w:rsid w:val="00D8135D"/>
    <w:rsid w:val="00D82039"/>
    <w:rsid w:val="00D82E7B"/>
    <w:rsid w:val="00D835D1"/>
    <w:rsid w:val="00D83EBF"/>
    <w:rsid w:val="00D84308"/>
    <w:rsid w:val="00D84639"/>
    <w:rsid w:val="00D846B1"/>
    <w:rsid w:val="00D84B90"/>
    <w:rsid w:val="00D84DF4"/>
    <w:rsid w:val="00D85606"/>
    <w:rsid w:val="00D85750"/>
    <w:rsid w:val="00D85ADC"/>
    <w:rsid w:val="00D86CC7"/>
    <w:rsid w:val="00D86E07"/>
    <w:rsid w:val="00D86E15"/>
    <w:rsid w:val="00D9027E"/>
    <w:rsid w:val="00D904E4"/>
    <w:rsid w:val="00D91032"/>
    <w:rsid w:val="00D91EB9"/>
    <w:rsid w:val="00D920B6"/>
    <w:rsid w:val="00D9235E"/>
    <w:rsid w:val="00D92C29"/>
    <w:rsid w:val="00D92CD4"/>
    <w:rsid w:val="00D93D28"/>
    <w:rsid w:val="00D93E1A"/>
    <w:rsid w:val="00D94119"/>
    <w:rsid w:val="00D94A81"/>
    <w:rsid w:val="00D94FE7"/>
    <w:rsid w:val="00D95440"/>
    <w:rsid w:val="00D95D31"/>
    <w:rsid w:val="00D95E45"/>
    <w:rsid w:val="00D9622C"/>
    <w:rsid w:val="00D96FB6"/>
    <w:rsid w:val="00D971E8"/>
    <w:rsid w:val="00DA1274"/>
    <w:rsid w:val="00DA12E3"/>
    <w:rsid w:val="00DA151C"/>
    <w:rsid w:val="00DA1CED"/>
    <w:rsid w:val="00DA243E"/>
    <w:rsid w:val="00DA2914"/>
    <w:rsid w:val="00DA2BFE"/>
    <w:rsid w:val="00DA2F51"/>
    <w:rsid w:val="00DA392C"/>
    <w:rsid w:val="00DA39E8"/>
    <w:rsid w:val="00DA49AC"/>
    <w:rsid w:val="00DA5981"/>
    <w:rsid w:val="00DA627A"/>
    <w:rsid w:val="00DA635A"/>
    <w:rsid w:val="00DA6A46"/>
    <w:rsid w:val="00DA6E54"/>
    <w:rsid w:val="00DA79C0"/>
    <w:rsid w:val="00DA79E6"/>
    <w:rsid w:val="00DA7FF9"/>
    <w:rsid w:val="00DB00FF"/>
    <w:rsid w:val="00DB06A0"/>
    <w:rsid w:val="00DB08FB"/>
    <w:rsid w:val="00DB0A36"/>
    <w:rsid w:val="00DB1620"/>
    <w:rsid w:val="00DB18EF"/>
    <w:rsid w:val="00DB29F4"/>
    <w:rsid w:val="00DB2C63"/>
    <w:rsid w:val="00DB2D63"/>
    <w:rsid w:val="00DB2F9B"/>
    <w:rsid w:val="00DB35D8"/>
    <w:rsid w:val="00DB379D"/>
    <w:rsid w:val="00DB4AE9"/>
    <w:rsid w:val="00DB4B60"/>
    <w:rsid w:val="00DB58B4"/>
    <w:rsid w:val="00DB59C7"/>
    <w:rsid w:val="00DB5A02"/>
    <w:rsid w:val="00DB5EC4"/>
    <w:rsid w:val="00DB724B"/>
    <w:rsid w:val="00DB79DA"/>
    <w:rsid w:val="00DB7F6B"/>
    <w:rsid w:val="00DC06C4"/>
    <w:rsid w:val="00DC0EF9"/>
    <w:rsid w:val="00DC1B73"/>
    <w:rsid w:val="00DC2023"/>
    <w:rsid w:val="00DC2CDB"/>
    <w:rsid w:val="00DC2E42"/>
    <w:rsid w:val="00DC3179"/>
    <w:rsid w:val="00DC3D99"/>
    <w:rsid w:val="00DC49D4"/>
    <w:rsid w:val="00DC4EDF"/>
    <w:rsid w:val="00DC60EA"/>
    <w:rsid w:val="00DC6757"/>
    <w:rsid w:val="00DD110B"/>
    <w:rsid w:val="00DD14D6"/>
    <w:rsid w:val="00DD191F"/>
    <w:rsid w:val="00DD19FC"/>
    <w:rsid w:val="00DD2029"/>
    <w:rsid w:val="00DD205C"/>
    <w:rsid w:val="00DD251E"/>
    <w:rsid w:val="00DD374D"/>
    <w:rsid w:val="00DD4153"/>
    <w:rsid w:val="00DD4167"/>
    <w:rsid w:val="00DD497A"/>
    <w:rsid w:val="00DD4F5C"/>
    <w:rsid w:val="00DD5860"/>
    <w:rsid w:val="00DD6876"/>
    <w:rsid w:val="00DD7355"/>
    <w:rsid w:val="00DD7407"/>
    <w:rsid w:val="00DE01DD"/>
    <w:rsid w:val="00DE05BB"/>
    <w:rsid w:val="00DE0A12"/>
    <w:rsid w:val="00DE0D75"/>
    <w:rsid w:val="00DE0ECE"/>
    <w:rsid w:val="00DE1885"/>
    <w:rsid w:val="00DE2667"/>
    <w:rsid w:val="00DE29D8"/>
    <w:rsid w:val="00DE3426"/>
    <w:rsid w:val="00DE3914"/>
    <w:rsid w:val="00DE41AA"/>
    <w:rsid w:val="00DE51F1"/>
    <w:rsid w:val="00DE540C"/>
    <w:rsid w:val="00DE5CDA"/>
    <w:rsid w:val="00DE680D"/>
    <w:rsid w:val="00DE7090"/>
    <w:rsid w:val="00DF0947"/>
    <w:rsid w:val="00DF1027"/>
    <w:rsid w:val="00DF1678"/>
    <w:rsid w:val="00DF1ED3"/>
    <w:rsid w:val="00DF265A"/>
    <w:rsid w:val="00DF2858"/>
    <w:rsid w:val="00DF2A6C"/>
    <w:rsid w:val="00DF303D"/>
    <w:rsid w:val="00DF37F2"/>
    <w:rsid w:val="00DF3DBD"/>
    <w:rsid w:val="00DF40E6"/>
    <w:rsid w:val="00DF425E"/>
    <w:rsid w:val="00DF4436"/>
    <w:rsid w:val="00DF44CC"/>
    <w:rsid w:val="00DF4DE5"/>
    <w:rsid w:val="00DF54FA"/>
    <w:rsid w:val="00DF55D0"/>
    <w:rsid w:val="00DF5717"/>
    <w:rsid w:val="00DF58CE"/>
    <w:rsid w:val="00DF5B74"/>
    <w:rsid w:val="00E0165B"/>
    <w:rsid w:val="00E01899"/>
    <w:rsid w:val="00E01C72"/>
    <w:rsid w:val="00E02D7B"/>
    <w:rsid w:val="00E040FE"/>
    <w:rsid w:val="00E04D99"/>
    <w:rsid w:val="00E04DFC"/>
    <w:rsid w:val="00E055D0"/>
    <w:rsid w:val="00E05A54"/>
    <w:rsid w:val="00E06419"/>
    <w:rsid w:val="00E06921"/>
    <w:rsid w:val="00E06A47"/>
    <w:rsid w:val="00E06F60"/>
    <w:rsid w:val="00E0737D"/>
    <w:rsid w:val="00E07F7A"/>
    <w:rsid w:val="00E10FD7"/>
    <w:rsid w:val="00E112AA"/>
    <w:rsid w:val="00E1188D"/>
    <w:rsid w:val="00E11BB2"/>
    <w:rsid w:val="00E12277"/>
    <w:rsid w:val="00E1303E"/>
    <w:rsid w:val="00E13055"/>
    <w:rsid w:val="00E1315E"/>
    <w:rsid w:val="00E14268"/>
    <w:rsid w:val="00E15575"/>
    <w:rsid w:val="00E15F8E"/>
    <w:rsid w:val="00E1699E"/>
    <w:rsid w:val="00E16B77"/>
    <w:rsid w:val="00E176A8"/>
    <w:rsid w:val="00E1774F"/>
    <w:rsid w:val="00E20160"/>
    <w:rsid w:val="00E20680"/>
    <w:rsid w:val="00E20714"/>
    <w:rsid w:val="00E21178"/>
    <w:rsid w:val="00E21D1D"/>
    <w:rsid w:val="00E22ABD"/>
    <w:rsid w:val="00E23136"/>
    <w:rsid w:val="00E23827"/>
    <w:rsid w:val="00E23C42"/>
    <w:rsid w:val="00E23CA8"/>
    <w:rsid w:val="00E24174"/>
    <w:rsid w:val="00E247A7"/>
    <w:rsid w:val="00E24D3B"/>
    <w:rsid w:val="00E25287"/>
    <w:rsid w:val="00E25AC2"/>
    <w:rsid w:val="00E26146"/>
    <w:rsid w:val="00E26E59"/>
    <w:rsid w:val="00E27A59"/>
    <w:rsid w:val="00E30CCC"/>
    <w:rsid w:val="00E312B7"/>
    <w:rsid w:val="00E317D2"/>
    <w:rsid w:val="00E31EEE"/>
    <w:rsid w:val="00E320D1"/>
    <w:rsid w:val="00E322F1"/>
    <w:rsid w:val="00E32368"/>
    <w:rsid w:val="00E32B2A"/>
    <w:rsid w:val="00E32D16"/>
    <w:rsid w:val="00E33ABB"/>
    <w:rsid w:val="00E369C5"/>
    <w:rsid w:val="00E36E79"/>
    <w:rsid w:val="00E37017"/>
    <w:rsid w:val="00E377BA"/>
    <w:rsid w:val="00E37C21"/>
    <w:rsid w:val="00E40345"/>
    <w:rsid w:val="00E4044B"/>
    <w:rsid w:val="00E40C51"/>
    <w:rsid w:val="00E416F3"/>
    <w:rsid w:val="00E4208C"/>
    <w:rsid w:val="00E42134"/>
    <w:rsid w:val="00E42CAB"/>
    <w:rsid w:val="00E440D9"/>
    <w:rsid w:val="00E44B92"/>
    <w:rsid w:val="00E45050"/>
    <w:rsid w:val="00E450A1"/>
    <w:rsid w:val="00E45359"/>
    <w:rsid w:val="00E46015"/>
    <w:rsid w:val="00E46129"/>
    <w:rsid w:val="00E46349"/>
    <w:rsid w:val="00E46506"/>
    <w:rsid w:val="00E46551"/>
    <w:rsid w:val="00E46CEB"/>
    <w:rsid w:val="00E47568"/>
    <w:rsid w:val="00E475AC"/>
    <w:rsid w:val="00E47674"/>
    <w:rsid w:val="00E47F4E"/>
    <w:rsid w:val="00E503A7"/>
    <w:rsid w:val="00E50DCB"/>
    <w:rsid w:val="00E51F29"/>
    <w:rsid w:val="00E521C3"/>
    <w:rsid w:val="00E525D6"/>
    <w:rsid w:val="00E52F21"/>
    <w:rsid w:val="00E53D64"/>
    <w:rsid w:val="00E53E73"/>
    <w:rsid w:val="00E545C9"/>
    <w:rsid w:val="00E548B1"/>
    <w:rsid w:val="00E549BB"/>
    <w:rsid w:val="00E557B0"/>
    <w:rsid w:val="00E55AD2"/>
    <w:rsid w:val="00E560A3"/>
    <w:rsid w:val="00E56DAE"/>
    <w:rsid w:val="00E57FC7"/>
    <w:rsid w:val="00E60BDD"/>
    <w:rsid w:val="00E6169E"/>
    <w:rsid w:val="00E61F30"/>
    <w:rsid w:val="00E61FA7"/>
    <w:rsid w:val="00E622C8"/>
    <w:rsid w:val="00E634A2"/>
    <w:rsid w:val="00E63A4E"/>
    <w:rsid w:val="00E63D7A"/>
    <w:rsid w:val="00E64F81"/>
    <w:rsid w:val="00E65509"/>
    <w:rsid w:val="00E6758B"/>
    <w:rsid w:val="00E70371"/>
    <w:rsid w:val="00E709C2"/>
    <w:rsid w:val="00E71151"/>
    <w:rsid w:val="00E718B4"/>
    <w:rsid w:val="00E71BDD"/>
    <w:rsid w:val="00E71D5E"/>
    <w:rsid w:val="00E728BD"/>
    <w:rsid w:val="00E7290E"/>
    <w:rsid w:val="00E7308E"/>
    <w:rsid w:val="00E73A76"/>
    <w:rsid w:val="00E74185"/>
    <w:rsid w:val="00E74C28"/>
    <w:rsid w:val="00E752E6"/>
    <w:rsid w:val="00E75C65"/>
    <w:rsid w:val="00E76189"/>
    <w:rsid w:val="00E76B66"/>
    <w:rsid w:val="00E773EE"/>
    <w:rsid w:val="00E776DA"/>
    <w:rsid w:val="00E77E45"/>
    <w:rsid w:val="00E77E81"/>
    <w:rsid w:val="00E8015E"/>
    <w:rsid w:val="00E809A5"/>
    <w:rsid w:val="00E80EEC"/>
    <w:rsid w:val="00E81078"/>
    <w:rsid w:val="00E815DE"/>
    <w:rsid w:val="00E81BA0"/>
    <w:rsid w:val="00E81EE5"/>
    <w:rsid w:val="00E81EEF"/>
    <w:rsid w:val="00E82088"/>
    <w:rsid w:val="00E822E6"/>
    <w:rsid w:val="00E827A7"/>
    <w:rsid w:val="00E82F91"/>
    <w:rsid w:val="00E832B2"/>
    <w:rsid w:val="00E83BB6"/>
    <w:rsid w:val="00E84278"/>
    <w:rsid w:val="00E850DC"/>
    <w:rsid w:val="00E85242"/>
    <w:rsid w:val="00E85A22"/>
    <w:rsid w:val="00E8629D"/>
    <w:rsid w:val="00E86911"/>
    <w:rsid w:val="00E873C1"/>
    <w:rsid w:val="00E873D6"/>
    <w:rsid w:val="00E87528"/>
    <w:rsid w:val="00E900B7"/>
    <w:rsid w:val="00E9045F"/>
    <w:rsid w:val="00E90711"/>
    <w:rsid w:val="00E92C1A"/>
    <w:rsid w:val="00E93A70"/>
    <w:rsid w:val="00E93D86"/>
    <w:rsid w:val="00E946E8"/>
    <w:rsid w:val="00E94E8F"/>
    <w:rsid w:val="00E950EB"/>
    <w:rsid w:val="00E95C2C"/>
    <w:rsid w:val="00E95E1C"/>
    <w:rsid w:val="00E95FF8"/>
    <w:rsid w:val="00E96487"/>
    <w:rsid w:val="00E97AFA"/>
    <w:rsid w:val="00E97F4C"/>
    <w:rsid w:val="00EA02E8"/>
    <w:rsid w:val="00EA03BD"/>
    <w:rsid w:val="00EA07F0"/>
    <w:rsid w:val="00EA0EF6"/>
    <w:rsid w:val="00EA0F5E"/>
    <w:rsid w:val="00EA19B5"/>
    <w:rsid w:val="00EA1A07"/>
    <w:rsid w:val="00EA1B82"/>
    <w:rsid w:val="00EA21DA"/>
    <w:rsid w:val="00EA274F"/>
    <w:rsid w:val="00EA33B1"/>
    <w:rsid w:val="00EA3C39"/>
    <w:rsid w:val="00EA3EE5"/>
    <w:rsid w:val="00EA495B"/>
    <w:rsid w:val="00EA5067"/>
    <w:rsid w:val="00EA5367"/>
    <w:rsid w:val="00EA60A1"/>
    <w:rsid w:val="00EA63D7"/>
    <w:rsid w:val="00EA68DB"/>
    <w:rsid w:val="00EA6909"/>
    <w:rsid w:val="00EA6B1E"/>
    <w:rsid w:val="00EA70B9"/>
    <w:rsid w:val="00EB00E1"/>
    <w:rsid w:val="00EB03F0"/>
    <w:rsid w:val="00EB0E95"/>
    <w:rsid w:val="00EB1DC2"/>
    <w:rsid w:val="00EB1E62"/>
    <w:rsid w:val="00EB25B0"/>
    <w:rsid w:val="00EB3595"/>
    <w:rsid w:val="00EB36DA"/>
    <w:rsid w:val="00EB3743"/>
    <w:rsid w:val="00EB4039"/>
    <w:rsid w:val="00EB4966"/>
    <w:rsid w:val="00EB4D27"/>
    <w:rsid w:val="00EB5E21"/>
    <w:rsid w:val="00EB612E"/>
    <w:rsid w:val="00EB6255"/>
    <w:rsid w:val="00EB6381"/>
    <w:rsid w:val="00EB6C3D"/>
    <w:rsid w:val="00EB6C98"/>
    <w:rsid w:val="00EB6F6A"/>
    <w:rsid w:val="00EB72A6"/>
    <w:rsid w:val="00EB73CB"/>
    <w:rsid w:val="00EB78E6"/>
    <w:rsid w:val="00EC15B8"/>
    <w:rsid w:val="00EC206B"/>
    <w:rsid w:val="00EC2F00"/>
    <w:rsid w:val="00EC35C8"/>
    <w:rsid w:val="00EC4126"/>
    <w:rsid w:val="00EC41BC"/>
    <w:rsid w:val="00EC473A"/>
    <w:rsid w:val="00EC4F55"/>
    <w:rsid w:val="00EC50A4"/>
    <w:rsid w:val="00EC5CD1"/>
    <w:rsid w:val="00EC66D8"/>
    <w:rsid w:val="00EC76A7"/>
    <w:rsid w:val="00EC7829"/>
    <w:rsid w:val="00ED0578"/>
    <w:rsid w:val="00ED10C8"/>
    <w:rsid w:val="00ED10D3"/>
    <w:rsid w:val="00ED24B2"/>
    <w:rsid w:val="00ED25DA"/>
    <w:rsid w:val="00ED2D2B"/>
    <w:rsid w:val="00ED3404"/>
    <w:rsid w:val="00ED3574"/>
    <w:rsid w:val="00ED49FF"/>
    <w:rsid w:val="00ED5706"/>
    <w:rsid w:val="00ED5BEF"/>
    <w:rsid w:val="00ED7684"/>
    <w:rsid w:val="00EE0B4C"/>
    <w:rsid w:val="00EE10E8"/>
    <w:rsid w:val="00EE11CD"/>
    <w:rsid w:val="00EE15F6"/>
    <w:rsid w:val="00EE1DB6"/>
    <w:rsid w:val="00EE1F37"/>
    <w:rsid w:val="00EE2623"/>
    <w:rsid w:val="00EE283F"/>
    <w:rsid w:val="00EE2D78"/>
    <w:rsid w:val="00EE2F48"/>
    <w:rsid w:val="00EE35A3"/>
    <w:rsid w:val="00EE3B6F"/>
    <w:rsid w:val="00EE4FE3"/>
    <w:rsid w:val="00EE51BE"/>
    <w:rsid w:val="00EE550F"/>
    <w:rsid w:val="00EE6680"/>
    <w:rsid w:val="00EE6688"/>
    <w:rsid w:val="00EE75B0"/>
    <w:rsid w:val="00EE7C3A"/>
    <w:rsid w:val="00EE7CF0"/>
    <w:rsid w:val="00EF04AA"/>
    <w:rsid w:val="00EF0C44"/>
    <w:rsid w:val="00EF1504"/>
    <w:rsid w:val="00EF27AE"/>
    <w:rsid w:val="00EF2A5E"/>
    <w:rsid w:val="00EF3B79"/>
    <w:rsid w:val="00EF3E30"/>
    <w:rsid w:val="00EF3FFB"/>
    <w:rsid w:val="00EF439F"/>
    <w:rsid w:val="00EF4A93"/>
    <w:rsid w:val="00EF5269"/>
    <w:rsid w:val="00EF5963"/>
    <w:rsid w:val="00EF5B40"/>
    <w:rsid w:val="00EF604C"/>
    <w:rsid w:val="00EF6DA6"/>
    <w:rsid w:val="00EF7442"/>
    <w:rsid w:val="00F009F2"/>
    <w:rsid w:val="00F00BB9"/>
    <w:rsid w:val="00F00D3F"/>
    <w:rsid w:val="00F00E90"/>
    <w:rsid w:val="00F014C5"/>
    <w:rsid w:val="00F02051"/>
    <w:rsid w:val="00F02788"/>
    <w:rsid w:val="00F02903"/>
    <w:rsid w:val="00F02A14"/>
    <w:rsid w:val="00F02B93"/>
    <w:rsid w:val="00F02E1C"/>
    <w:rsid w:val="00F038ED"/>
    <w:rsid w:val="00F03906"/>
    <w:rsid w:val="00F03A96"/>
    <w:rsid w:val="00F04851"/>
    <w:rsid w:val="00F051C9"/>
    <w:rsid w:val="00F055EE"/>
    <w:rsid w:val="00F05F0E"/>
    <w:rsid w:val="00F05F14"/>
    <w:rsid w:val="00F06C30"/>
    <w:rsid w:val="00F104A1"/>
    <w:rsid w:val="00F109FB"/>
    <w:rsid w:val="00F10C73"/>
    <w:rsid w:val="00F11077"/>
    <w:rsid w:val="00F111F2"/>
    <w:rsid w:val="00F11BE5"/>
    <w:rsid w:val="00F11F04"/>
    <w:rsid w:val="00F124EC"/>
    <w:rsid w:val="00F13442"/>
    <w:rsid w:val="00F1389D"/>
    <w:rsid w:val="00F13D5A"/>
    <w:rsid w:val="00F13F88"/>
    <w:rsid w:val="00F1424E"/>
    <w:rsid w:val="00F151B1"/>
    <w:rsid w:val="00F15317"/>
    <w:rsid w:val="00F15D27"/>
    <w:rsid w:val="00F15F3F"/>
    <w:rsid w:val="00F1619F"/>
    <w:rsid w:val="00F16AAD"/>
    <w:rsid w:val="00F16B66"/>
    <w:rsid w:val="00F1714E"/>
    <w:rsid w:val="00F172A2"/>
    <w:rsid w:val="00F17359"/>
    <w:rsid w:val="00F2016F"/>
    <w:rsid w:val="00F203EB"/>
    <w:rsid w:val="00F206A3"/>
    <w:rsid w:val="00F208FB"/>
    <w:rsid w:val="00F21A01"/>
    <w:rsid w:val="00F21E90"/>
    <w:rsid w:val="00F21E9D"/>
    <w:rsid w:val="00F21F41"/>
    <w:rsid w:val="00F21F62"/>
    <w:rsid w:val="00F22657"/>
    <w:rsid w:val="00F2281C"/>
    <w:rsid w:val="00F23122"/>
    <w:rsid w:val="00F23BCC"/>
    <w:rsid w:val="00F23DC9"/>
    <w:rsid w:val="00F247AC"/>
    <w:rsid w:val="00F247CD"/>
    <w:rsid w:val="00F248A0"/>
    <w:rsid w:val="00F24ED6"/>
    <w:rsid w:val="00F251F5"/>
    <w:rsid w:val="00F259E3"/>
    <w:rsid w:val="00F2642B"/>
    <w:rsid w:val="00F267CB"/>
    <w:rsid w:val="00F26ABA"/>
    <w:rsid w:val="00F26C19"/>
    <w:rsid w:val="00F27D33"/>
    <w:rsid w:val="00F30213"/>
    <w:rsid w:val="00F30B83"/>
    <w:rsid w:val="00F31586"/>
    <w:rsid w:val="00F31927"/>
    <w:rsid w:val="00F31FC3"/>
    <w:rsid w:val="00F32040"/>
    <w:rsid w:val="00F32540"/>
    <w:rsid w:val="00F327D3"/>
    <w:rsid w:val="00F32CF9"/>
    <w:rsid w:val="00F3429D"/>
    <w:rsid w:val="00F344EF"/>
    <w:rsid w:val="00F34899"/>
    <w:rsid w:val="00F34914"/>
    <w:rsid w:val="00F35444"/>
    <w:rsid w:val="00F35549"/>
    <w:rsid w:val="00F35DFC"/>
    <w:rsid w:val="00F36368"/>
    <w:rsid w:val="00F36CA9"/>
    <w:rsid w:val="00F371FB"/>
    <w:rsid w:val="00F37318"/>
    <w:rsid w:val="00F37451"/>
    <w:rsid w:val="00F376A4"/>
    <w:rsid w:val="00F37B3D"/>
    <w:rsid w:val="00F37F97"/>
    <w:rsid w:val="00F400D7"/>
    <w:rsid w:val="00F40475"/>
    <w:rsid w:val="00F40ACE"/>
    <w:rsid w:val="00F4188C"/>
    <w:rsid w:val="00F42111"/>
    <w:rsid w:val="00F4224A"/>
    <w:rsid w:val="00F424C7"/>
    <w:rsid w:val="00F42A97"/>
    <w:rsid w:val="00F4330C"/>
    <w:rsid w:val="00F4346A"/>
    <w:rsid w:val="00F4443D"/>
    <w:rsid w:val="00F44AAA"/>
    <w:rsid w:val="00F44F45"/>
    <w:rsid w:val="00F455DE"/>
    <w:rsid w:val="00F45B2F"/>
    <w:rsid w:val="00F45C1E"/>
    <w:rsid w:val="00F46DBD"/>
    <w:rsid w:val="00F47CB9"/>
    <w:rsid w:val="00F50229"/>
    <w:rsid w:val="00F50301"/>
    <w:rsid w:val="00F503E3"/>
    <w:rsid w:val="00F50F08"/>
    <w:rsid w:val="00F51BDB"/>
    <w:rsid w:val="00F51C95"/>
    <w:rsid w:val="00F52650"/>
    <w:rsid w:val="00F52FA4"/>
    <w:rsid w:val="00F53010"/>
    <w:rsid w:val="00F5322C"/>
    <w:rsid w:val="00F53882"/>
    <w:rsid w:val="00F53D56"/>
    <w:rsid w:val="00F54DE3"/>
    <w:rsid w:val="00F54EB4"/>
    <w:rsid w:val="00F5579B"/>
    <w:rsid w:val="00F55A12"/>
    <w:rsid w:val="00F55C8E"/>
    <w:rsid w:val="00F5617F"/>
    <w:rsid w:val="00F56A1D"/>
    <w:rsid w:val="00F56E83"/>
    <w:rsid w:val="00F570B6"/>
    <w:rsid w:val="00F57206"/>
    <w:rsid w:val="00F5726F"/>
    <w:rsid w:val="00F5741B"/>
    <w:rsid w:val="00F579CF"/>
    <w:rsid w:val="00F57CF0"/>
    <w:rsid w:val="00F60880"/>
    <w:rsid w:val="00F61A01"/>
    <w:rsid w:val="00F61D49"/>
    <w:rsid w:val="00F62A8D"/>
    <w:rsid w:val="00F6312F"/>
    <w:rsid w:val="00F634BC"/>
    <w:rsid w:val="00F635FF"/>
    <w:rsid w:val="00F639DD"/>
    <w:rsid w:val="00F63DCB"/>
    <w:rsid w:val="00F63F33"/>
    <w:rsid w:val="00F64094"/>
    <w:rsid w:val="00F648DC"/>
    <w:rsid w:val="00F64BA3"/>
    <w:rsid w:val="00F654AE"/>
    <w:rsid w:val="00F6552F"/>
    <w:rsid w:val="00F65BE3"/>
    <w:rsid w:val="00F663D2"/>
    <w:rsid w:val="00F66441"/>
    <w:rsid w:val="00F664BF"/>
    <w:rsid w:val="00F66591"/>
    <w:rsid w:val="00F70567"/>
    <w:rsid w:val="00F7073D"/>
    <w:rsid w:val="00F70CED"/>
    <w:rsid w:val="00F712D1"/>
    <w:rsid w:val="00F71650"/>
    <w:rsid w:val="00F71D94"/>
    <w:rsid w:val="00F72A97"/>
    <w:rsid w:val="00F7318A"/>
    <w:rsid w:val="00F73A04"/>
    <w:rsid w:val="00F740BE"/>
    <w:rsid w:val="00F75665"/>
    <w:rsid w:val="00F75944"/>
    <w:rsid w:val="00F75E39"/>
    <w:rsid w:val="00F76244"/>
    <w:rsid w:val="00F775AB"/>
    <w:rsid w:val="00F77E75"/>
    <w:rsid w:val="00F80322"/>
    <w:rsid w:val="00F804D4"/>
    <w:rsid w:val="00F80E77"/>
    <w:rsid w:val="00F8169B"/>
    <w:rsid w:val="00F81E62"/>
    <w:rsid w:val="00F82E30"/>
    <w:rsid w:val="00F82E6B"/>
    <w:rsid w:val="00F830A9"/>
    <w:rsid w:val="00F83380"/>
    <w:rsid w:val="00F83837"/>
    <w:rsid w:val="00F83C15"/>
    <w:rsid w:val="00F844F5"/>
    <w:rsid w:val="00F848FD"/>
    <w:rsid w:val="00F854D6"/>
    <w:rsid w:val="00F85C8F"/>
    <w:rsid w:val="00F85DA8"/>
    <w:rsid w:val="00F86D2E"/>
    <w:rsid w:val="00F86EB4"/>
    <w:rsid w:val="00F87275"/>
    <w:rsid w:val="00F872B7"/>
    <w:rsid w:val="00F8736A"/>
    <w:rsid w:val="00F874F1"/>
    <w:rsid w:val="00F876D6"/>
    <w:rsid w:val="00F878B2"/>
    <w:rsid w:val="00F87F7E"/>
    <w:rsid w:val="00F9057B"/>
    <w:rsid w:val="00F90FB5"/>
    <w:rsid w:val="00F91CBA"/>
    <w:rsid w:val="00F92F1C"/>
    <w:rsid w:val="00F930EE"/>
    <w:rsid w:val="00F9312D"/>
    <w:rsid w:val="00F93288"/>
    <w:rsid w:val="00F93E45"/>
    <w:rsid w:val="00F949C5"/>
    <w:rsid w:val="00F96DF1"/>
    <w:rsid w:val="00F977B2"/>
    <w:rsid w:val="00FA01A0"/>
    <w:rsid w:val="00FA057B"/>
    <w:rsid w:val="00FA0667"/>
    <w:rsid w:val="00FA20E3"/>
    <w:rsid w:val="00FA23BE"/>
    <w:rsid w:val="00FA2932"/>
    <w:rsid w:val="00FA2ABF"/>
    <w:rsid w:val="00FA2FC7"/>
    <w:rsid w:val="00FA4DB6"/>
    <w:rsid w:val="00FA4E91"/>
    <w:rsid w:val="00FA4F9A"/>
    <w:rsid w:val="00FA50A2"/>
    <w:rsid w:val="00FA5284"/>
    <w:rsid w:val="00FA58F8"/>
    <w:rsid w:val="00FA5AA6"/>
    <w:rsid w:val="00FA614D"/>
    <w:rsid w:val="00FA64B6"/>
    <w:rsid w:val="00FA6D3E"/>
    <w:rsid w:val="00FA7095"/>
    <w:rsid w:val="00FA79D4"/>
    <w:rsid w:val="00FA7E9D"/>
    <w:rsid w:val="00FA7F95"/>
    <w:rsid w:val="00FB08FB"/>
    <w:rsid w:val="00FB1B2C"/>
    <w:rsid w:val="00FB2ED2"/>
    <w:rsid w:val="00FB4B06"/>
    <w:rsid w:val="00FB551C"/>
    <w:rsid w:val="00FB5564"/>
    <w:rsid w:val="00FB6174"/>
    <w:rsid w:val="00FB631E"/>
    <w:rsid w:val="00FB6630"/>
    <w:rsid w:val="00FB6715"/>
    <w:rsid w:val="00FB6AD7"/>
    <w:rsid w:val="00FB7B1A"/>
    <w:rsid w:val="00FC03F4"/>
    <w:rsid w:val="00FC0682"/>
    <w:rsid w:val="00FC0747"/>
    <w:rsid w:val="00FC0C91"/>
    <w:rsid w:val="00FC1E27"/>
    <w:rsid w:val="00FC1EF2"/>
    <w:rsid w:val="00FC2A90"/>
    <w:rsid w:val="00FC4A40"/>
    <w:rsid w:val="00FC54DE"/>
    <w:rsid w:val="00FC55A4"/>
    <w:rsid w:val="00FC64E0"/>
    <w:rsid w:val="00FC680A"/>
    <w:rsid w:val="00FC6AF8"/>
    <w:rsid w:val="00FC6C2D"/>
    <w:rsid w:val="00FC6C57"/>
    <w:rsid w:val="00FC6D75"/>
    <w:rsid w:val="00FC6FBC"/>
    <w:rsid w:val="00FD0508"/>
    <w:rsid w:val="00FD0E40"/>
    <w:rsid w:val="00FD109B"/>
    <w:rsid w:val="00FD227D"/>
    <w:rsid w:val="00FD2406"/>
    <w:rsid w:val="00FD24E6"/>
    <w:rsid w:val="00FD2E85"/>
    <w:rsid w:val="00FD42AD"/>
    <w:rsid w:val="00FD4E79"/>
    <w:rsid w:val="00FD5608"/>
    <w:rsid w:val="00FD569D"/>
    <w:rsid w:val="00FD7CAB"/>
    <w:rsid w:val="00FD7E23"/>
    <w:rsid w:val="00FE0E5F"/>
    <w:rsid w:val="00FE0F92"/>
    <w:rsid w:val="00FE152C"/>
    <w:rsid w:val="00FE1981"/>
    <w:rsid w:val="00FE1BFD"/>
    <w:rsid w:val="00FE1CC1"/>
    <w:rsid w:val="00FE2107"/>
    <w:rsid w:val="00FE357C"/>
    <w:rsid w:val="00FE3FF3"/>
    <w:rsid w:val="00FE4B3C"/>
    <w:rsid w:val="00FE4B4B"/>
    <w:rsid w:val="00FE4DCE"/>
    <w:rsid w:val="00FE5162"/>
    <w:rsid w:val="00FE5BF7"/>
    <w:rsid w:val="00FE5D3D"/>
    <w:rsid w:val="00FE6472"/>
    <w:rsid w:val="00FE67DA"/>
    <w:rsid w:val="00FE6E35"/>
    <w:rsid w:val="00FE71C5"/>
    <w:rsid w:val="00FE7418"/>
    <w:rsid w:val="00FE76A3"/>
    <w:rsid w:val="00FE78A8"/>
    <w:rsid w:val="00FF04EB"/>
    <w:rsid w:val="00FF1295"/>
    <w:rsid w:val="00FF1509"/>
    <w:rsid w:val="00FF1CAD"/>
    <w:rsid w:val="00FF2254"/>
    <w:rsid w:val="00FF271B"/>
    <w:rsid w:val="00FF3494"/>
    <w:rsid w:val="00FF4211"/>
    <w:rsid w:val="00FF44B3"/>
    <w:rsid w:val="00FF49B9"/>
    <w:rsid w:val="00FF49F9"/>
    <w:rsid w:val="00FF4EE7"/>
    <w:rsid w:val="00FF5D8E"/>
    <w:rsid w:val="00FF6F04"/>
    <w:rsid w:val="00FF75D9"/>
    <w:rsid w:val="00FF76A5"/>
    <w:rsid w:val="01702E93"/>
    <w:rsid w:val="01735FDC"/>
    <w:rsid w:val="02EB608A"/>
    <w:rsid w:val="06666570"/>
    <w:rsid w:val="080B168A"/>
    <w:rsid w:val="098B1410"/>
    <w:rsid w:val="09E25A69"/>
    <w:rsid w:val="0CBF23F0"/>
    <w:rsid w:val="0D900D06"/>
    <w:rsid w:val="0E384BC0"/>
    <w:rsid w:val="0F6E0F9E"/>
    <w:rsid w:val="0FC46D1A"/>
    <w:rsid w:val="0FDE486F"/>
    <w:rsid w:val="0FFC8F8A"/>
    <w:rsid w:val="17376544"/>
    <w:rsid w:val="17FF1F8B"/>
    <w:rsid w:val="19B21E33"/>
    <w:rsid w:val="1BF00258"/>
    <w:rsid w:val="1D966E7F"/>
    <w:rsid w:val="1DB22A0B"/>
    <w:rsid w:val="1E662848"/>
    <w:rsid w:val="1ED726CA"/>
    <w:rsid w:val="1FFBC5F5"/>
    <w:rsid w:val="1FFDDA70"/>
    <w:rsid w:val="1FFE8DC3"/>
    <w:rsid w:val="2085782A"/>
    <w:rsid w:val="219B2F98"/>
    <w:rsid w:val="221727F6"/>
    <w:rsid w:val="22441AA6"/>
    <w:rsid w:val="22AB43CB"/>
    <w:rsid w:val="24803FD1"/>
    <w:rsid w:val="27084163"/>
    <w:rsid w:val="27442171"/>
    <w:rsid w:val="27F17129"/>
    <w:rsid w:val="28EF7591"/>
    <w:rsid w:val="2951233E"/>
    <w:rsid w:val="2A8C50E9"/>
    <w:rsid w:val="2C3631A7"/>
    <w:rsid w:val="2E2B5B1A"/>
    <w:rsid w:val="2E303E65"/>
    <w:rsid w:val="2F017595"/>
    <w:rsid w:val="2F0A365B"/>
    <w:rsid w:val="2F7B2AE8"/>
    <w:rsid w:val="2F9F2A89"/>
    <w:rsid w:val="2FBF7DD2"/>
    <w:rsid w:val="2FF85AF4"/>
    <w:rsid w:val="2FFF0984"/>
    <w:rsid w:val="30653A3B"/>
    <w:rsid w:val="31AC19B8"/>
    <w:rsid w:val="32A467A2"/>
    <w:rsid w:val="330F53F9"/>
    <w:rsid w:val="33496219"/>
    <w:rsid w:val="334C2A14"/>
    <w:rsid w:val="34BFCFE0"/>
    <w:rsid w:val="36142768"/>
    <w:rsid w:val="363C3EFD"/>
    <w:rsid w:val="36826B38"/>
    <w:rsid w:val="36E46387"/>
    <w:rsid w:val="377FC97D"/>
    <w:rsid w:val="37B801D6"/>
    <w:rsid w:val="37D13FDE"/>
    <w:rsid w:val="380909E4"/>
    <w:rsid w:val="39F543A7"/>
    <w:rsid w:val="3B582606"/>
    <w:rsid w:val="3BFFBA34"/>
    <w:rsid w:val="3CA82D35"/>
    <w:rsid w:val="3CDA33F5"/>
    <w:rsid w:val="3CE90860"/>
    <w:rsid w:val="3D107365"/>
    <w:rsid w:val="3D7F634D"/>
    <w:rsid w:val="3E0961FD"/>
    <w:rsid w:val="3EAA7920"/>
    <w:rsid w:val="3F3F3364"/>
    <w:rsid w:val="3F77665D"/>
    <w:rsid w:val="3FBFD65A"/>
    <w:rsid w:val="3FCF72EF"/>
    <w:rsid w:val="3FFFCF82"/>
    <w:rsid w:val="40B177B6"/>
    <w:rsid w:val="42951879"/>
    <w:rsid w:val="442C262D"/>
    <w:rsid w:val="457FCDFF"/>
    <w:rsid w:val="48AB63CA"/>
    <w:rsid w:val="48F66029"/>
    <w:rsid w:val="49484F8E"/>
    <w:rsid w:val="495E4E70"/>
    <w:rsid w:val="4A6D47D4"/>
    <w:rsid w:val="4B3FA071"/>
    <w:rsid w:val="4DB0165A"/>
    <w:rsid w:val="4E296C44"/>
    <w:rsid w:val="507B3240"/>
    <w:rsid w:val="50BC7BE2"/>
    <w:rsid w:val="50FB396E"/>
    <w:rsid w:val="514A253B"/>
    <w:rsid w:val="524B60D3"/>
    <w:rsid w:val="52CC1A2E"/>
    <w:rsid w:val="53275479"/>
    <w:rsid w:val="535F12EF"/>
    <w:rsid w:val="54B9786C"/>
    <w:rsid w:val="55A14191"/>
    <w:rsid w:val="56BF7AD8"/>
    <w:rsid w:val="56C69391"/>
    <w:rsid w:val="57BD28CF"/>
    <w:rsid w:val="57E745AA"/>
    <w:rsid w:val="58C35F6E"/>
    <w:rsid w:val="59EE7EDA"/>
    <w:rsid w:val="5B4423CC"/>
    <w:rsid w:val="5BBF4E25"/>
    <w:rsid w:val="5BEF11CE"/>
    <w:rsid w:val="5C837F91"/>
    <w:rsid w:val="5DA04104"/>
    <w:rsid w:val="5DA265C1"/>
    <w:rsid w:val="5DDA6F7F"/>
    <w:rsid w:val="5E253614"/>
    <w:rsid w:val="5E381235"/>
    <w:rsid w:val="5EFFB8AB"/>
    <w:rsid w:val="603A472D"/>
    <w:rsid w:val="605F6436"/>
    <w:rsid w:val="62C405C7"/>
    <w:rsid w:val="636F6454"/>
    <w:rsid w:val="63E648ED"/>
    <w:rsid w:val="642E77D0"/>
    <w:rsid w:val="665338C6"/>
    <w:rsid w:val="66896958"/>
    <w:rsid w:val="66B47CC8"/>
    <w:rsid w:val="67394A9F"/>
    <w:rsid w:val="677F5D33"/>
    <w:rsid w:val="67861C09"/>
    <w:rsid w:val="679E2109"/>
    <w:rsid w:val="67EF3819"/>
    <w:rsid w:val="67FF88B2"/>
    <w:rsid w:val="6A7B09CD"/>
    <w:rsid w:val="6A954C20"/>
    <w:rsid w:val="6AFF6613"/>
    <w:rsid w:val="6B33711A"/>
    <w:rsid w:val="6BFA6292"/>
    <w:rsid w:val="6C035B8E"/>
    <w:rsid w:val="6CFD3D7A"/>
    <w:rsid w:val="6DAE7693"/>
    <w:rsid w:val="6DFA09D5"/>
    <w:rsid w:val="6E0F2CBA"/>
    <w:rsid w:val="6F136DFD"/>
    <w:rsid w:val="6F2E0F96"/>
    <w:rsid w:val="6FA33352"/>
    <w:rsid w:val="6FD03057"/>
    <w:rsid w:val="6FD675B7"/>
    <w:rsid w:val="6FE621A6"/>
    <w:rsid w:val="6FEB49F3"/>
    <w:rsid w:val="6FF72618"/>
    <w:rsid w:val="6FFF313E"/>
    <w:rsid w:val="6FFF3870"/>
    <w:rsid w:val="729C17FE"/>
    <w:rsid w:val="73135813"/>
    <w:rsid w:val="733F7DBD"/>
    <w:rsid w:val="739E6E5D"/>
    <w:rsid w:val="752F283D"/>
    <w:rsid w:val="75DFCCD1"/>
    <w:rsid w:val="75EFF8F2"/>
    <w:rsid w:val="767DDDD6"/>
    <w:rsid w:val="76E730AC"/>
    <w:rsid w:val="770E6064"/>
    <w:rsid w:val="777FC78F"/>
    <w:rsid w:val="77DF90BB"/>
    <w:rsid w:val="77EF201B"/>
    <w:rsid w:val="77FB4510"/>
    <w:rsid w:val="77FD0AC5"/>
    <w:rsid w:val="77FF445B"/>
    <w:rsid w:val="78496156"/>
    <w:rsid w:val="79FA51E4"/>
    <w:rsid w:val="79FDCC19"/>
    <w:rsid w:val="7ABF39C9"/>
    <w:rsid w:val="7BD9B159"/>
    <w:rsid w:val="7BFF8C72"/>
    <w:rsid w:val="7C456174"/>
    <w:rsid w:val="7CF347AD"/>
    <w:rsid w:val="7D7F7218"/>
    <w:rsid w:val="7D7F7547"/>
    <w:rsid w:val="7DDB676F"/>
    <w:rsid w:val="7E0EB57C"/>
    <w:rsid w:val="7E6F05C4"/>
    <w:rsid w:val="7E8D86A5"/>
    <w:rsid w:val="7EC5EC70"/>
    <w:rsid w:val="7EF1D4E1"/>
    <w:rsid w:val="7EF32983"/>
    <w:rsid w:val="7EF56E04"/>
    <w:rsid w:val="7EF789B5"/>
    <w:rsid w:val="7F6BDCD7"/>
    <w:rsid w:val="7F87756D"/>
    <w:rsid w:val="7F9143BB"/>
    <w:rsid w:val="7FBB05DE"/>
    <w:rsid w:val="7FDA12C8"/>
    <w:rsid w:val="7FDB5F16"/>
    <w:rsid w:val="7FDD1496"/>
    <w:rsid w:val="7FE746D6"/>
    <w:rsid w:val="7FEF35E2"/>
    <w:rsid w:val="7FF67A6F"/>
    <w:rsid w:val="7FFFC42E"/>
    <w:rsid w:val="8FFF165D"/>
    <w:rsid w:val="97F761CD"/>
    <w:rsid w:val="9B774AB7"/>
    <w:rsid w:val="9DD74E70"/>
    <w:rsid w:val="9EAECD5D"/>
    <w:rsid w:val="A7B7E1E7"/>
    <w:rsid w:val="AD7559B4"/>
    <w:rsid w:val="B5FEE89C"/>
    <w:rsid w:val="B7BC1149"/>
    <w:rsid w:val="B7F77F09"/>
    <w:rsid w:val="BA5FCA8E"/>
    <w:rsid w:val="BA7B23C6"/>
    <w:rsid w:val="BB1E895D"/>
    <w:rsid w:val="BB75239B"/>
    <w:rsid w:val="BB75AEEF"/>
    <w:rsid w:val="BCF562B9"/>
    <w:rsid w:val="BD4F817F"/>
    <w:rsid w:val="BDFF805A"/>
    <w:rsid w:val="BEF937D3"/>
    <w:rsid w:val="BEFBA87D"/>
    <w:rsid w:val="BF69BC49"/>
    <w:rsid w:val="BFB3FBA9"/>
    <w:rsid w:val="BFBBD819"/>
    <w:rsid w:val="BFDEFED1"/>
    <w:rsid w:val="BFDFC606"/>
    <w:rsid w:val="BFDFDF59"/>
    <w:rsid w:val="BFFE98A1"/>
    <w:rsid w:val="C37B3ADE"/>
    <w:rsid w:val="C48F910C"/>
    <w:rsid w:val="C4FEC328"/>
    <w:rsid w:val="CDFF5699"/>
    <w:rsid w:val="CF7A8B36"/>
    <w:rsid w:val="CFB63EF8"/>
    <w:rsid w:val="CFE345B1"/>
    <w:rsid w:val="D4FD2711"/>
    <w:rsid w:val="DBFB6D62"/>
    <w:rsid w:val="DDAB28B7"/>
    <w:rsid w:val="DDEFFABC"/>
    <w:rsid w:val="DEDD7715"/>
    <w:rsid w:val="DF6F38EE"/>
    <w:rsid w:val="DF6F57D5"/>
    <w:rsid w:val="E32DC9C4"/>
    <w:rsid w:val="E5A5BB07"/>
    <w:rsid w:val="E5BF7E2A"/>
    <w:rsid w:val="E7FBAA2F"/>
    <w:rsid w:val="EAF346F1"/>
    <w:rsid w:val="EAF7A343"/>
    <w:rsid w:val="EBBB74D6"/>
    <w:rsid w:val="EEBB2D6E"/>
    <w:rsid w:val="EEEF2296"/>
    <w:rsid w:val="EF5F9191"/>
    <w:rsid w:val="EF6F9DA9"/>
    <w:rsid w:val="EFB93147"/>
    <w:rsid w:val="EFBDE0A5"/>
    <w:rsid w:val="EFCF1032"/>
    <w:rsid w:val="EFFF7581"/>
    <w:rsid w:val="F1EFD649"/>
    <w:rsid w:val="F3EF9C08"/>
    <w:rsid w:val="F4EBBAD7"/>
    <w:rsid w:val="F5AD634B"/>
    <w:rsid w:val="F67BEDEC"/>
    <w:rsid w:val="F67F2E16"/>
    <w:rsid w:val="F6FFF963"/>
    <w:rsid w:val="F7FB0AEE"/>
    <w:rsid w:val="F8FF4054"/>
    <w:rsid w:val="F8FF8E0A"/>
    <w:rsid w:val="F9FB4943"/>
    <w:rsid w:val="FA2BD2F6"/>
    <w:rsid w:val="FA9F554D"/>
    <w:rsid w:val="FB9BE2DD"/>
    <w:rsid w:val="FB9E191D"/>
    <w:rsid w:val="FBDD8320"/>
    <w:rsid w:val="FBE95F07"/>
    <w:rsid w:val="FBFF74A7"/>
    <w:rsid w:val="FCBD3A5E"/>
    <w:rsid w:val="FDBE97CB"/>
    <w:rsid w:val="FDEB06B4"/>
    <w:rsid w:val="FDEF5EFF"/>
    <w:rsid w:val="FDFB2156"/>
    <w:rsid w:val="FDFDFC65"/>
    <w:rsid w:val="FDFED33F"/>
    <w:rsid w:val="FDFF968B"/>
    <w:rsid w:val="FE4F48DD"/>
    <w:rsid w:val="FE57F16E"/>
    <w:rsid w:val="FE7FB67F"/>
    <w:rsid w:val="FE9BADFC"/>
    <w:rsid w:val="FEEB0AD2"/>
    <w:rsid w:val="FF4AB22B"/>
    <w:rsid w:val="FF6E8A60"/>
    <w:rsid w:val="FF6F2287"/>
    <w:rsid w:val="FF7F6C91"/>
    <w:rsid w:val="FFA7CCB6"/>
    <w:rsid w:val="FFAF5797"/>
    <w:rsid w:val="FFD7311A"/>
    <w:rsid w:val="FFDBA598"/>
    <w:rsid w:val="FFDF93A7"/>
    <w:rsid w:val="FFF34139"/>
    <w:rsid w:val="FFFF37E1"/>
    <w:rsid w:val="FFFFE50A"/>
    <w:rsid w:val="FFFFF9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unhideWhenUsed/>
    <w:qFormat/>
    <w:uiPriority w:val="99"/>
    <w:pPr>
      <w:ind w:firstLine="420" w:firstLineChars="200"/>
    </w:pPr>
    <w:rPr>
      <w:rFonts w:ascii="仿宋_GB2312" w:hAnsi="仿宋_GB2312"/>
      <w:kern w:val="0"/>
      <w:szCs w:val="32"/>
    </w:rPr>
  </w:style>
  <w:style w:type="paragraph" w:styleId="3">
    <w:name w:val="Body Text Indent"/>
    <w:basedOn w:val="1"/>
    <w:link w:val="25"/>
    <w:semiHidden/>
    <w:unhideWhenUsed/>
    <w:qFormat/>
    <w:uiPriority w:val="99"/>
    <w:pPr>
      <w:spacing w:after="120"/>
      <w:ind w:left="420" w:leftChars="200"/>
    </w:pPr>
  </w:style>
  <w:style w:type="paragraph" w:styleId="4">
    <w:name w:val="Body Text"/>
    <w:basedOn w:val="1"/>
    <w:next w:val="5"/>
    <w:unhideWhenUsed/>
    <w:qFormat/>
    <w:uiPriority w:val="1"/>
    <w:pPr>
      <w:autoSpaceDE w:val="0"/>
      <w:autoSpaceDN w:val="0"/>
      <w:adjustRightInd w:val="0"/>
      <w:ind w:left="108"/>
      <w:jc w:val="left"/>
    </w:pPr>
    <w:rPr>
      <w:rFonts w:hint="eastAsia" w:ascii="新蒂剪纸体" w:hAnsi="新蒂剪纸体" w:eastAsia="新蒂剪纸体"/>
      <w:kern w:val="0"/>
      <w:sz w:val="90"/>
    </w:rPr>
  </w:style>
  <w:style w:type="paragraph" w:styleId="5">
    <w:name w:val="Body Text First Indent"/>
    <w:basedOn w:val="4"/>
    <w:qFormat/>
    <w:uiPriority w:val="0"/>
    <w:pPr>
      <w:spacing w:line="500" w:lineRule="exact"/>
      <w:ind w:firstLine="420"/>
    </w:pPr>
    <w:rPr>
      <w:rFonts w:eastAsia="宋体"/>
      <w:sz w:val="28"/>
    </w:rPr>
  </w:style>
  <w:style w:type="paragraph" w:styleId="6">
    <w:name w:val="Body Text Indent 2"/>
    <w:basedOn w:val="1"/>
    <w:link w:val="18"/>
    <w:qFormat/>
    <w:uiPriority w:val="0"/>
    <w:pPr>
      <w:ind w:firstLine="480"/>
    </w:pPr>
    <w:rPr>
      <w:rFonts w:ascii="仿宋_GB2312" w:eastAsia="宋体"/>
      <w:sz w:val="28"/>
    </w:r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rPr>
  </w:style>
  <w:style w:type="paragraph" w:styleId="10">
    <w:name w:val="toc 1"/>
    <w:next w:val="1"/>
    <w:qFormat/>
    <w:uiPriority w:val="39"/>
    <w:pPr>
      <w:widowControl w:val="0"/>
      <w:jc w:val="both"/>
    </w:pPr>
    <w:rPr>
      <w:rFonts w:hint="eastAsia" w:ascii="Arial Unicode MS" w:hAnsi="Arial Unicode MS" w:eastAsia="Arial Unicode MS" w:cs="Arial Unicode MS"/>
      <w:color w:val="000000"/>
      <w:kern w:val="2"/>
      <w:sz w:val="32"/>
      <w:szCs w:val="32"/>
      <w:lang w:val="en-US" w:eastAsia="zh-CN" w:bidi="ar-SA"/>
    </w:rPr>
  </w:style>
  <w:style w:type="paragraph" w:styleId="11">
    <w:name w:val="footnote text"/>
    <w:basedOn w:val="1"/>
    <w:qFormat/>
    <w:uiPriority w:val="99"/>
    <w:pPr>
      <w:snapToGrid w:val="0"/>
      <w:jc w:val="left"/>
    </w:p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page number"/>
    <w:unhideWhenUsed/>
    <w:qFormat/>
    <w:uiPriority w:val="99"/>
  </w:style>
  <w:style w:type="character" w:styleId="17">
    <w:name w:val="Hyperlink"/>
    <w:basedOn w:val="14"/>
    <w:qFormat/>
    <w:uiPriority w:val="0"/>
    <w:rPr>
      <w:color w:val="0000FF"/>
      <w:u w:val="single"/>
    </w:rPr>
  </w:style>
  <w:style w:type="character" w:customStyle="1" w:styleId="18">
    <w:name w:val="正文文本缩进 2 字符"/>
    <w:link w:val="6"/>
    <w:qFormat/>
    <w:uiPriority w:val="0"/>
    <w:rPr>
      <w:rFonts w:ascii="仿宋_GB2312"/>
      <w:kern w:val="2"/>
      <w:sz w:val="28"/>
    </w:rPr>
  </w:style>
  <w:style w:type="character" w:customStyle="1" w:styleId="19">
    <w:name w:val="页脚 字符"/>
    <w:link w:val="8"/>
    <w:qFormat/>
    <w:uiPriority w:val="99"/>
    <w:rPr>
      <w:rFonts w:eastAsia="仿宋_GB2312"/>
      <w:kern w:val="2"/>
      <w:sz w:val="18"/>
    </w:rPr>
  </w:style>
  <w:style w:type="character" w:customStyle="1" w:styleId="20">
    <w:name w:val="页眉 字符"/>
    <w:link w:val="9"/>
    <w:qFormat/>
    <w:uiPriority w:val="99"/>
    <w:rPr>
      <w:rFonts w:eastAsia="仿宋_GB2312"/>
      <w:kern w:val="2"/>
      <w:sz w:val="18"/>
    </w:rPr>
  </w:style>
  <w:style w:type="paragraph" w:customStyle="1" w:styleId="21">
    <w:name w:val="p0"/>
    <w:basedOn w:val="1"/>
    <w:qFormat/>
    <w:uiPriority w:val="0"/>
    <w:pPr>
      <w:widowControl/>
    </w:pPr>
    <w:rPr>
      <w:rFonts w:eastAsia="宋体"/>
      <w:kern w:val="0"/>
      <w:sz w:val="21"/>
      <w:szCs w:val="21"/>
    </w:rPr>
  </w:style>
  <w:style w:type="paragraph" w:styleId="22">
    <w:name w:val="List Paragraph"/>
    <w:basedOn w:val="1"/>
    <w:qFormat/>
    <w:uiPriority w:val="99"/>
    <w:pPr>
      <w:ind w:firstLine="420" w:firstLineChars="200"/>
    </w:pPr>
  </w:style>
  <w:style w:type="paragraph" w:customStyle="1" w:styleId="23">
    <w:name w:val="p16"/>
    <w:basedOn w:val="1"/>
    <w:qFormat/>
    <w:uiPriority w:val="0"/>
    <w:pPr>
      <w:widowControl/>
    </w:pPr>
    <w:rPr>
      <w:rFonts w:eastAsia="宋体"/>
      <w:kern w:val="0"/>
      <w:sz w:val="21"/>
      <w:szCs w:val="21"/>
    </w:rPr>
  </w:style>
  <w:style w:type="character" w:customStyle="1" w:styleId="24">
    <w:name w:val="不明显强调1"/>
    <w:qFormat/>
    <w:uiPriority w:val="19"/>
    <w:rPr>
      <w:i/>
      <w:iCs/>
      <w:color w:val="404040"/>
    </w:rPr>
  </w:style>
  <w:style w:type="character" w:customStyle="1" w:styleId="25">
    <w:name w:val="正文文本缩进 字符"/>
    <w:basedOn w:val="14"/>
    <w:link w:val="3"/>
    <w:semiHidden/>
    <w:qFormat/>
    <w:uiPriority w:val="99"/>
    <w:rPr>
      <w:rFonts w:eastAsia="仿宋_GB2312"/>
      <w:kern w:val="2"/>
      <w:sz w:val="32"/>
    </w:rPr>
  </w:style>
  <w:style w:type="character" w:customStyle="1" w:styleId="26">
    <w:name w:val="正文文本首行缩进 2 字符"/>
    <w:basedOn w:val="25"/>
    <w:link w:val="2"/>
    <w:qFormat/>
    <w:uiPriority w:val="99"/>
    <w:rPr>
      <w:rFonts w:ascii="仿宋_GB2312" w:hAnsi="仿宋_GB2312" w:eastAsia="仿宋_GB2312"/>
      <w:kern w:val="2"/>
      <w:sz w:val="32"/>
      <w:szCs w:val="32"/>
    </w:rPr>
  </w:style>
  <w:style w:type="character" w:customStyle="1" w:styleId="27">
    <w:name w:val="批注框文本 字符"/>
    <w:basedOn w:val="14"/>
    <w:link w:val="7"/>
    <w:semiHidden/>
    <w:qFormat/>
    <w:uiPriority w:val="99"/>
    <w:rPr>
      <w:rFonts w:eastAsia="仿宋_GB2312"/>
      <w:kern w:val="2"/>
      <w:sz w:val="18"/>
      <w:szCs w:val="18"/>
    </w:rPr>
  </w:style>
  <w:style w:type="paragraph" w:customStyle="1" w:styleId="28">
    <w:name w:val="Default"/>
    <w:basedOn w:val="1"/>
    <w:qFormat/>
    <w:uiPriority w:val="0"/>
    <w:pPr>
      <w:autoSpaceDE w:val="0"/>
      <w:autoSpaceDN w:val="0"/>
      <w:adjustRightInd w:val="0"/>
      <w:jc w:val="left"/>
    </w:pPr>
    <w:rPr>
      <w:rFonts w:ascii="Arial Unicode MS" w:hAnsi="Calibri" w:eastAsia="Arial Unicode MS"/>
      <w:color w:val="000000"/>
      <w:kern w:val="0"/>
      <w:sz w:val="24"/>
    </w:rPr>
  </w:style>
  <w:style w:type="character" w:customStyle="1" w:styleId="29">
    <w:name w:val="font21"/>
    <w:qFormat/>
    <w:uiPriority w:val="0"/>
    <w:rPr>
      <w:rFonts w:hint="eastAsia" w:ascii="宋体" w:hAnsi="宋体" w:eastAsia="宋体" w:cs="宋体"/>
      <w:color w:val="000000"/>
      <w:sz w:val="21"/>
      <w:szCs w:val="21"/>
      <w:u w:val="none"/>
    </w:rPr>
  </w:style>
  <w:style w:type="character" w:customStyle="1" w:styleId="30">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30439</Words>
  <Characters>30847</Characters>
  <Lines>227</Lines>
  <Paragraphs>64</Paragraphs>
  <TotalTime>274</TotalTime>
  <ScaleCrop>false</ScaleCrop>
  <LinksUpToDate>false</LinksUpToDate>
  <CharactersWithSpaces>31112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2021-06-04T14:49:00Z</dcterms:created>
  <dc:creator>Administrator</dc:creator>
  <cp:lastModifiedBy>衢州广场路零食码头</cp:lastModifiedBy>
  <cp:lastPrinted>2021-05-15T01:43:00Z</cp:lastPrinted>
  <dcterms:modified xsi:type="dcterms:W3CDTF">2023-01-19T11:34:52Z</dcterms:modified>
  <dc:title>衢市人社险〔2016〕  号</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7858D80C89584F33A15FA700E8963E40</vt:lpwstr>
  </property>
</Properties>
</file>