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3151"/>
        <w:tblW w:w="10251" w:type="dxa"/>
        <w:tblInd w:w="0" w:type="dxa"/>
        <w:tblLayout w:type="autofit"/>
        <w:tblCellMar>
          <w:top w:w="0" w:type="dxa"/>
          <w:left w:w="108" w:type="dxa"/>
          <w:bottom w:w="0" w:type="dxa"/>
          <w:right w:w="108" w:type="dxa"/>
        </w:tblCellMar>
      </w:tblPr>
      <w:tblGrid>
        <w:gridCol w:w="8505"/>
        <w:gridCol w:w="1746"/>
      </w:tblGrid>
      <w:tr>
        <w:tblPrEx>
          <w:tblCellMar>
            <w:top w:w="0" w:type="dxa"/>
            <w:left w:w="108" w:type="dxa"/>
            <w:bottom w:w="0" w:type="dxa"/>
            <w:right w:w="108" w:type="dxa"/>
          </w:tblCellMar>
        </w:tblPrEx>
        <w:tc>
          <w:tcPr>
            <w:tcW w:w="8505" w:type="dxa"/>
            <w:vAlign w:val="center"/>
          </w:tcPr>
          <w:p>
            <w:pPr>
              <w:widowControl/>
              <w:spacing w:line="480" w:lineRule="auto"/>
              <w:contextualSpacing/>
              <w:jc w:val="distribute"/>
              <w:rPr>
                <w:rFonts w:ascii="方正小标宋简体" w:hAnsi="宋体" w:eastAsia="方正小标宋简体" w:cs="宋体"/>
                <w:color w:val="FF0000"/>
                <w:spacing w:val="20"/>
                <w:w w:val="85"/>
                <w:kern w:val="0"/>
                <w:sz w:val="78"/>
                <w:szCs w:val="84"/>
              </w:rPr>
            </w:pPr>
            <w:r>
              <w:rPr>
                <w:rFonts w:hint="eastAsia" w:ascii="方正小标宋简体" w:hAnsi="宋体" w:eastAsia="方正小标宋简体" w:cs="宋体"/>
                <w:color w:val="FF0000"/>
                <w:w w:val="85"/>
                <w:kern w:val="0"/>
                <w:sz w:val="96"/>
                <w:szCs w:val="96"/>
              </w:rPr>
              <w:t>衢州市医疗保障局文件</w:t>
            </w:r>
          </w:p>
        </w:tc>
        <w:tc>
          <w:tcPr>
            <w:tcW w:w="1746" w:type="dxa"/>
            <w:vAlign w:val="center"/>
          </w:tcPr>
          <w:p>
            <w:pPr>
              <w:widowControl/>
              <w:spacing w:line="480" w:lineRule="auto"/>
              <w:contextualSpacing/>
              <w:jc w:val="center"/>
              <w:rPr>
                <w:rFonts w:ascii="方正小标宋简体" w:hAnsi="宋体" w:eastAsia="方正小标宋简体" w:cs="宋体"/>
                <w:color w:val="FF0000"/>
                <w:w w:val="80"/>
                <w:kern w:val="0"/>
                <w:sz w:val="84"/>
                <w:szCs w:val="84"/>
              </w:rPr>
            </w:pPr>
          </w:p>
        </w:tc>
      </w:tr>
    </w:tbl>
    <w:p>
      <w:pPr>
        <w:spacing w:line="600" w:lineRule="exact"/>
        <w:ind w:firstLine="560" w:firstLineChars="200"/>
        <w:jc w:val="right"/>
        <w:textAlignment w:val="baseline"/>
        <w:outlineLvl w:val="1"/>
        <w:rPr>
          <w:rFonts w:ascii="宋体" w:hAnsi="宋体"/>
          <w:b/>
          <w:bCs/>
          <w:kern w:val="0"/>
          <w:sz w:val="28"/>
          <w:szCs w:val="28"/>
        </w:rPr>
      </w:pPr>
      <w:r>
        <w:rPr>
          <w:rFonts w:hint="eastAsia" w:ascii="宋体" w:hAnsi="宋体"/>
          <w:color w:val="111F2C"/>
          <w:sz w:val="28"/>
          <w:szCs w:val="28"/>
          <w:shd w:val="clear" w:color="auto" w:fill="FFFFFF"/>
        </w:rPr>
        <w:t>ZJHC73-2021-0002</w:t>
      </w:r>
    </w:p>
    <w:p>
      <w:pPr>
        <w:adjustRightInd w:val="0"/>
        <w:snapToGrid w:val="0"/>
        <w:spacing w:after="200" w:line="520" w:lineRule="exact"/>
        <w:rPr>
          <w:rFonts w:ascii="等线" w:hAnsi="等线" w:eastAsia="等线" w:cs="仿宋_GB2312"/>
          <w:color w:val="000000"/>
        </w:rPr>
      </w:pPr>
    </w:p>
    <w:p>
      <w:pPr>
        <w:adjustRightInd w:val="0"/>
        <w:snapToGrid w:val="0"/>
        <w:spacing w:after="200" w:line="560" w:lineRule="exact"/>
        <w:jc w:val="center"/>
        <w:rPr>
          <w:rFonts w:ascii="等线" w:hAnsi="等线" w:eastAsia="等线" w:cs="仿宋_GB2312"/>
          <w:color w:val="000000"/>
        </w:rPr>
      </w:pPr>
    </w:p>
    <w:p>
      <w:pPr>
        <w:pStyle w:val="5"/>
        <w:tabs>
          <w:tab w:val="left" w:pos="7088"/>
          <w:tab w:val="left" w:pos="7230"/>
        </w:tabs>
        <w:spacing w:line="640" w:lineRule="exact"/>
        <w:ind w:left="0" w:leftChars="0" w:firstLine="0" w:firstLineChars="0"/>
        <w:jc w:val="center"/>
      </w:pPr>
      <w:r>
        <w:rPr>
          <w:rFonts w:ascii="仿宋_GB2312" w:hAnsi="宋体" w:eastAsia="仿宋_GB2312" w:cs="宋体"/>
          <w:kern w:val="0"/>
          <w:sz w:val="32"/>
          <w:szCs w:val="32"/>
        </w:rPr>
        <w:pict>
          <v:shape id="直接箭头连接符 1" o:spid="_x0000_s2050" o:spt="32" type="#_x0000_t32" style="position:absolute;left:0pt;margin-left:-7.45pt;margin-top:34.7pt;height:0.05pt;width:439.5pt;z-index:25165824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">
            <v:path arrowok="t"/>
            <v:fill on="f" focussize="0,0"/>
            <v:stroke weight="2.25pt" color="#FF0000"/>
            <v:imagedata o:title=""/>
            <o:lock v:ext="edit"/>
          </v:shape>
        </w:pict>
      </w:r>
      <w:r>
        <w:rPr>
          <w:rFonts w:hint="eastAsia" w:ascii="仿宋_GB2312" w:hAnsi="等线" w:eastAsia="仿宋_GB2312" w:cs="仿宋_GB2312"/>
          <w:sz w:val="32"/>
          <w:szCs w:val="32"/>
        </w:rPr>
        <w:t>衢医保发〔2021〕36号</w:t>
      </w:r>
    </w:p>
    <w:p>
      <w:pPr>
        <w:pStyle w:val="5"/>
        <w:ind w:left="0" w:leftChars="0" w:firstLine="0" w:firstLineChars="0"/>
      </w:pPr>
    </w:p>
    <w:p>
      <w:pPr>
        <w:spacing w:line="640" w:lineRule="exact"/>
        <w:jc w:val="center"/>
        <w:rPr>
          <w:rFonts w:hint="eastAsia" w:ascii="方正小标宋简体" w:hAnsi="黑体" w:eastAsia="方正小标宋简体"/>
          <w:sz w:val="44"/>
          <w:szCs w:val="44"/>
          <w:shd w:val="clear" w:color="auto" w:fill="FFFFFF"/>
        </w:rPr>
      </w:pPr>
      <w:r>
        <w:rPr>
          <w:rFonts w:hint="eastAsia" w:ascii="方正小标宋简体" w:hAnsi="黑体" w:eastAsia="方正小标宋简体"/>
          <w:sz w:val="44"/>
          <w:szCs w:val="44"/>
          <w:shd w:val="clear" w:color="auto" w:fill="FFFFFF"/>
        </w:rPr>
        <w:t>衢州市医疗保障局</w:t>
      </w:r>
    </w:p>
    <w:p>
      <w:pPr>
        <w:spacing w:line="640" w:lineRule="exact"/>
        <w:jc w:val="center"/>
        <w:rPr>
          <w:rFonts w:ascii="方正小标宋简体" w:hAnsi="黑体" w:eastAsia="方正小标宋简体"/>
          <w:sz w:val="36"/>
          <w:szCs w:val="36"/>
          <w:shd w:val="clear" w:color="auto" w:fill="FFFFFF"/>
        </w:rPr>
      </w:pPr>
      <w:r>
        <w:rPr>
          <w:rFonts w:hint="eastAsia" w:ascii="方正小标宋简体" w:hAnsi="黑体" w:eastAsia="方正小标宋简体"/>
          <w:sz w:val="44"/>
          <w:szCs w:val="44"/>
          <w:shd w:val="clear" w:color="auto" w:fill="FFFFFF"/>
        </w:rPr>
        <w:t>关于印发《衢州市</w:t>
      </w:r>
      <w:r>
        <w:rPr>
          <w:rFonts w:ascii="方正小标宋简体" w:hAnsi="黑体" w:eastAsia="方正小标宋简体"/>
          <w:sz w:val="44"/>
          <w:szCs w:val="44"/>
          <w:shd w:val="clear" w:color="auto" w:fill="FFFFFF"/>
        </w:rPr>
        <w:t>医疗保障信用管理办法</w:t>
      </w:r>
      <w:r>
        <w:rPr>
          <w:rFonts w:hint="eastAsia" w:ascii="方正小标宋简体" w:hAnsi="黑体" w:eastAsia="方正小标宋简体"/>
          <w:sz w:val="44"/>
          <w:szCs w:val="44"/>
          <w:shd w:val="clear" w:color="auto" w:fill="FFFFFF"/>
        </w:rPr>
        <w:t>》的</w:t>
      </w:r>
      <w:r>
        <w:rPr>
          <w:rFonts w:hint="eastAsia" w:ascii="方正小标宋简体" w:eastAsia="方正小标宋简体"/>
          <w:sz w:val="44"/>
          <w:szCs w:val="44"/>
        </w:rPr>
        <w:t>通知</w:t>
      </w:r>
      <w:bookmarkStart w:id="2" w:name="_GoBack"/>
      <w:bookmarkEnd w:id="2"/>
    </w:p>
    <w:p>
      <w:pPr>
        <w:spacing w:line="600" w:lineRule="exact"/>
        <w:contextualSpacing/>
        <w:jc w:val="center"/>
        <w:rPr>
          <w:rFonts w:ascii="宋体" w:hAnsi="宋体"/>
          <w:sz w:val="36"/>
          <w:szCs w:val="36"/>
        </w:rPr>
      </w:pPr>
    </w:p>
    <w:p>
      <w:pPr>
        <w:spacing w:line="500" w:lineRule="exact"/>
        <w:ind w:firstLine="156" w:firstLineChars="49"/>
        <w:jc w:val="left"/>
        <w:rPr>
          <w:rFonts w:ascii="仿宋_GB2312" w:hAnsi="宋体" w:eastAsia="仿宋_GB2312"/>
          <w:sz w:val="32"/>
          <w:szCs w:val="32"/>
        </w:rPr>
      </w:pPr>
      <w:r>
        <w:rPr>
          <w:rFonts w:hint="eastAsia" w:ascii="仿宋_GB2312" w:hAnsi="宋体" w:eastAsia="仿宋_GB2312"/>
          <w:sz w:val="32"/>
          <w:szCs w:val="32"/>
        </w:rPr>
        <w:t>各县（市、区）医疗保障局、市局各处室、局属各单位：</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《衢州市</w:t>
      </w:r>
      <w:r>
        <w:rPr>
          <w:rFonts w:ascii="仿宋_GB2312" w:hAnsi="宋体" w:eastAsia="仿宋_GB2312"/>
          <w:sz w:val="32"/>
          <w:szCs w:val="32"/>
        </w:rPr>
        <w:t>医疗保障信用管理办法</w:t>
      </w:r>
      <w:r>
        <w:rPr>
          <w:rFonts w:hint="eastAsia" w:ascii="仿宋_GB2312" w:hAnsi="宋体" w:eastAsia="仿宋_GB2312"/>
          <w:sz w:val="32"/>
          <w:szCs w:val="32"/>
        </w:rPr>
        <w:t>》</w:t>
      </w:r>
      <w:r>
        <w:rPr>
          <w:rFonts w:hint="eastAsia" w:ascii="仿宋_GB2312" w:hAnsi="宋体" w:eastAsia="仿宋_GB2312"/>
          <w:sz w:val="32"/>
          <w:szCs w:val="32"/>
          <w:lang w:val="en-US" w:eastAsia="zh-CN"/>
        </w:rPr>
        <w:t>已经研究通过，现</w:t>
      </w:r>
      <w:r>
        <w:rPr>
          <w:rFonts w:hint="eastAsia" w:ascii="仿宋_GB2312" w:hAnsi="宋体" w:eastAsia="仿宋_GB2312"/>
          <w:sz w:val="32"/>
          <w:szCs w:val="32"/>
        </w:rPr>
        <w:t>印发给你们，请</w:t>
      </w:r>
      <w:r>
        <w:rPr>
          <w:rFonts w:hint="eastAsia" w:ascii="仿宋_GB2312" w:hAnsi="宋体" w:eastAsia="仿宋_GB2312"/>
          <w:sz w:val="32"/>
          <w:szCs w:val="32"/>
          <w:lang w:val="en-US" w:eastAsia="zh-CN"/>
        </w:rPr>
        <w:t>遵照执行</w:t>
      </w:r>
      <w:r>
        <w:rPr>
          <w:rFonts w:hint="eastAsia" w:ascii="仿宋_GB2312" w:hAnsi="宋体" w:eastAsia="仿宋_GB2312"/>
          <w:sz w:val="32"/>
          <w:szCs w:val="32"/>
        </w:rPr>
        <w:t>。</w:t>
      </w:r>
    </w:p>
    <w:p>
      <w:pPr>
        <w:spacing w:line="600" w:lineRule="exact"/>
        <w:contextualSpacing/>
        <w:rPr>
          <w:rFonts w:ascii="仿宋_GB2312" w:hAnsi="宋体" w:eastAsia="仿宋_GB2312"/>
          <w:sz w:val="32"/>
          <w:szCs w:val="32"/>
        </w:rPr>
      </w:pPr>
    </w:p>
    <w:p>
      <w:pPr>
        <w:spacing w:line="600" w:lineRule="exact"/>
        <w:contextualSpacing/>
        <w:rPr>
          <w:rFonts w:ascii="仿宋_GB2312" w:hAnsi="宋体" w:eastAsia="仿宋_GB2312"/>
          <w:sz w:val="32"/>
          <w:szCs w:val="32"/>
        </w:rPr>
      </w:pPr>
    </w:p>
    <w:p>
      <w:pPr>
        <w:tabs>
          <w:tab w:val="left" w:pos="7088"/>
        </w:tabs>
        <w:spacing w:line="600" w:lineRule="exact"/>
        <w:ind w:right="640" w:firstLine="4640" w:firstLineChars="1450"/>
        <w:contextualSpacing/>
        <w:rPr>
          <w:rFonts w:ascii="仿宋_GB2312" w:hAnsi="宋体" w:eastAsia="仿宋_GB2312"/>
          <w:sz w:val="32"/>
          <w:szCs w:val="32"/>
        </w:rPr>
      </w:pPr>
      <w:r>
        <w:rPr>
          <w:rFonts w:hint="eastAsia" w:ascii="仿宋_GB2312" w:hAnsi="宋体" w:eastAsia="仿宋_GB2312"/>
          <w:sz w:val="32"/>
          <w:szCs w:val="32"/>
        </w:rPr>
        <w:t>衢州市医疗保障局</w:t>
      </w:r>
    </w:p>
    <w:p>
      <w:pPr>
        <w:spacing w:line="600" w:lineRule="exact"/>
        <w:ind w:firstLine="4640" w:firstLineChars="1450"/>
        <w:contextualSpacing/>
        <w:jc w:val="left"/>
        <w:rPr>
          <w:rFonts w:ascii="仿宋_GB2312" w:hAnsi="宋体" w:eastAsia="仿宋_GB2312"/>
          <w:sz w:val="32"/>
          <w:szCs w:val="32"/>
        </w:rPr>
      </w:pPr>
      <w:r>
        <w:rPr>
          <w:rFonts w:hint="eastAsia" w:ascii="仿宋_GB2312" w:hAnsi="宋体" w:eastAsia="仿宋_GB2312"/>
          <w:sz w:val="32"/>
          <w:szCs w:val="32"/>
        </w:rPr>
        <w:t>2021年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18</w:t>
      </w:r>
      <w:r>
        <w:rPr>
          <w:rFonts w:hint="eastAsia" w:ascii="仿宋_GB2312" w:hAnsi="宋体" w:eastAsia="仿宋_GB2312"/>
          <w:sz w:val="32"/>
          <w:szCs w:val="32"/>
        </w:rPr>
        <w:t>日</w:t>
      </w:r>
    </w:p>
    <w:p/>
    <w:p>
      <w:pPr>
        <w:spacing w:line="600" w:lineRule="exact"/>
        <w:jc w:val="center"/>
        <w:textAlignment w:val="baseline"/>
        <w:outlineLvl w:val="1"/>
        <w:rPr>
          <w:rFonts w:hint="eastAsia" w:eastAsia="方正小标宋简体"/>
          <w:bCs/>
          <w:kern w:val="0"/>
          <w:sz w:val="44"/>
          <w:szCs w:val="44"/>
          <w:highlight w:val="none"/>
          <w:u w:val="none"/>
        </w:rPr>
      </w:pPr>
    </w:p>
    <w:p>
      <w:pPr>
        <w:spacing w:line="600" w:lineRule="exact"/>
        <w:jc w:val="center"/>
        <w:textAlignment w:val="baseline"/>
        <w:outlineLvl w:val="1"/>
        <w:rPr>
          <w:rFonts w:hint="eastAsia" w:eastAsia="方正小标宋简体"/>
          <w:bCs/>
          <w:kern w:val="0"/>
          <w:sz w:val="44"/>
          <w:szCs w:val="44"/>
          <w:highlight w:val="none"/>
          <w:u w:val="none"/>
        </w:rPr>
      </w:pPr>
    </w:p>
    <w:p>
      <w:pPr>
        <w:spacing w:line="600" w:lineRule="exact"/>
        <w:jc w:val="both"/>
        <w:textAlignment w:val="baseline"/>
        <w:outlineLvl w:val="1"/>
        <w:rPr>
          <w:rFonts w:hint="eastAsia" w:eastAsia="方正小标宋简体"/>
          <w:bCs/>
          <w:kern w:val="0"/>
          <w:sz w:val="44"/>
          <w:szCs w:val="44"/>
          <w:highlight w:val="none"/>
          <w:u w:val="none"/>
        </w:rPr>
      </w:pPr>
    </w:p>
    <w:p>
      <w:pPr>
        <w:spacing w:line="600" w:lineRule="exact"/>
        <w:jc w:val="center"/>
        <w:textAlignment w:val="baseline"/>
        <w:outlineLvl w:val="1"/>
        <w:rPr>
          <w:rFonts w:eastAsia="方正小标宋简体"/>
          <w:bCs/>
          <w:kern w:val="0"/>
          <w:sz w:val="44"/>
          <w:szCs w:val="44"/>
          <w:highlight w:val="none"/>
          <w:u w:val="none"/>
        </w:rPr>
      </w:pPr>
      <w:r>
        <w:rPr>
          <w:rFonts w:hint="eastAsia" w:eastAsia="方正小标宋简体"/>
          <w:bCs/>
          <w:kern w:val="0"/>
          <w:sz w:val="44"/>
          <w:szCs w:val="44"/>
          <w:highlight w:val="none"/>
          <w:u w:val="none"/>
        </w:rPr>
        <w:t>衢州市</w:t>
      </w:r>
      <w:r>
        <w:rPr>
          <w:rFonts w:eastAsia="方正小标宋简体"/>
          <w:bCs/>
          <w:kern w:val="0"/>
          <w:sz w:val="44"/>
          <w:szCs w:val="44"/>
          <w:highlight w:val="none"/>
          <w:u w:val="none"/>
        </w:rPr>
        <w:t>医疗保障信用管理办法</w:t>
      </w:r>
    </w:p>
    <w:p>
      <w:pPr>
        <w:spacing w:line="600" w:lineRule="exact"/>
        <w:jc w:val="center"/>
        <w:textAlignment w:val="baseline"/>
        <w:outlineLvl w:val="1"/>
        <w:rPr>
          <w:rFonts w:hint="eastAsia" w:ascii="仿宋_GB2312" w:hAnsi="仿宋_GB2312" w:eastAsia="仿宋_GB2312" w:cs="仿宋_GB2312"/>
          <w:bCs/>
          <w:kern w:val="0"/>
          <w:sz w:val="32"/>
          <w:szCs w:val="32"/>
          <w:highlight w:val="none"/>
          <w:u w:val="none"/>
          <w:lang w:eastAsia="zh-CN"/>
        </w:rPr>
      </w:pPr>
    </w:p>
    <w:p>
      <w:pPr>
        <w:tabs>
          <w:tab w:val="center" w:pos="4320"/>
        </w:tabs>
        <w:spacing w:line="600" w:lineRule="exact"/>
        <w:ind w:firstLine="640" w:firstLineChars="200"/>
        <w:outlineLvl w:val="1"/>
        <w:rPr>
          <w:rFonts w:eastAsia="仿宋_GB2312"/>
          <w:sz w:val="32"/>
          <w:szCs w:val="32"/>
          <w:highlight w:val="none"/>
          <w:u w:val="none"/>
        </w:rPr>
      </w:pPr>
      <w:r>
        <w:rPr>
          <w:rFonts w:eastAsia="仿宋_GB2312"/>
          <w:sz w:val="32"/>
          <w:szCs w:val="32"/>
          <w:highlight w:val="none"/>
          <w:u w:val="none"/>
        </w:rPr>
        <w:t>为推进</w:t>
      </w:r>
      <w:r>
        <w:rPr>
          <w:rFonts w:hint="eastAsia" w:eastAsia="仿宋_GB2312"/>
          <w:sz w:val="32"/>
          <w:szCs w:val="32"/>
          <w:highlight w:val="none"/>
          <w:u w:val="none"/>
        </w:rPr>
        <w:t>医疗保障信用体系</w:t>
      </w:r>
      <w:r>
        <w:rPr>
          <w:rFonts w:eastAsia="仿宋_GB2312"/>
          <w:sz w:val="32"/>
          <w:szCs w:val="32"/>
          <w:highlight w:val="none"/>
          <w:u w:val="none"/>
        </w:rPr>
        <w:t>建设，规范医疗保障信用管理工作</w:t>
      </w:r>
      <w:r>
        <w:rPr>
          <w:rFonts w:hint="eastAsia" w:eastAsia="仿宋_GB2312"/>
          <w:sz w:val="32"/>
          <w:szCs w:val="32"/>
          <w:highlight w:val="none"/>
          <w:u w:val="none"/>
        </w:rPr>
        <w:t>，</w:t>
      </w:r>
      <w:r>
        <w:rPr>
          <w:rFonts w:eastAsia="仿宋_GB2312"/>
          <w:sz w:val="32"/>
          <w:szCs w:val="32"/>
          <w:highlight w:val="none"/>
          <w:u w:val="none"/>
        </w:rPr>
        <w:t>维护参保人合法权益，保障医疗保障基金安全，促进医疗保障事业可持续发展，根据《中共中央国务院关于深化医疗保障制度改革的意见》</w:t>
      </w:r>
      <w:r>
        <w:rPr>
          <w:rFonts w:hint="eastAsia" w:eastAsia="仿宋_GB2312"/>
          <w:sz w:val="32"/>
          <w:szCs w:val="32"/>
          <w:highlight w:val="none"/>
          <w:u w:val="none"/>
        </w:rPr>
        <w:t>、《国务院办公厅关于推进医疗保障基金监管制度体系改革的指导意见》、</w:t>
      </w:r>
      <w:r>
        <w:rPr>
          <w:rFonts w:eastAsia="仿宋_GB2312"/>
          <w:sz w:val="32"/>
          <w:szCs w:val="32"/>
          <w:highlight w:val="none"/>
          <w:u w:val="none"/>
        </w:rPr>
        <w:t>《国务院办公厅关于加快推进社会信用体系建设构建以信用为基础的新型监管机制的指导意见》</w:t>
      </w:r>
      <w:r>
        <w:rPr>
          <w:rFonts w:hint="eastAsia" w:eastAsia="仿宋_GB2312"/>
          <w:sz w:val="32"/>
          <w:szCs w:val="32"/>
          <w:highlight w:val="none"/>
          <w:u w:val="none"/>
        </w:rPr>
        <w:t>、</w:t>
      </w:r>
      <w:r>
        <w:rPr>
          <w:rFonts w:eastAsia="仿宋_GB2312"/>
          <w:sz w:val="32"/>
          <w:szCs w:val="32"/>
          <w:highlight w:val="none"/>
          <w:u w:val="none"/>
        </w:rPr>
        <w:t>《浙江省公共信用信息管理条例》</w:t>
      </w:r>
      <w:r>
        <w:rPr>
          <w:rFonts w:hint="eastAsia" w:eastAsia="仿宋_GB2312"/>
          <w:sz w:val="32"/>
          <w:szCs w:val="32"/>
          <w:highlight w:val="none"/>
          <w:u w:val="none"/>
        </w:rPr>
        <w:t>、《浙江省公共信用修复管理暂行办法》、《浙江省医疗保障信用管理办法》、</w:t>
      </w:r>
      <w:r>
        <w:rPr>
          <w:rFonts w:hint="eastAsia" w:ascii="仿宋_GB2312" w:hAnsi="仿宋_GB2312" w:eastAsia="仿宋_GB2312" w:cs="仿宋_GB2312"/>
          <w:sz w:val="32"/>
          <w:szCs w:val="32"/>
          <w:highlight w:val="none"/>
          <w:u w:val="none"/>
        </w:rPr>
        <w:t>《衢州市人民政府办公室关于印发加强政务诚信和个人诚信体系建设实施细则的通知》</w:t>
      </w:r>
      <w:r>
        <w:rPr>
          <w:rFonts w:hint="eastAsia" w:eastAsia="仿宋_GB2312"/>
          <w:sz w:val="32"/>
          <w:szCs w:val="32"/>
          <w:highlight w:val="none"/>
          <w:u w:val="none"/>
        </w:rPr>
        <w:t>等规定</w:t>
      </w:r>
      <w:r>
        <w:rPr>
          <w:rFonts w:eastAsia="仿宋_GB2312"/>
          <w:sz w:val="32"/>
          <w:szCs w:val="32"/>
          <w:highlight w:val="none"/>
          <w:u w:val="none"/>
        </w:rPr>
        <w:t>，结合我</w:t>
      </w:r>
      <w:r>
        <w:rPr>
          <w:rFonts w:hint="eastAsia" w:eastAsia="仿宋_GB2312"/>
          <w:sz w:val="32"/>
          <w:szCs w:val="32"/>
          <w:highlight w:val="none"/>
          <w:u w:val="none"/>
        </w:rPr>
        <w:t>市</w:t>
      </w:r>
      <w:r>
        <w:rPr>
          <w:rFonts w:eastAsia="仿宋_GB2312"/>
          <w:sz w:val="32"/>
          <w:szCs w:val="32"/>
          <w:highlight w:val="none"/>
          <w:u w:val="none"/>
        </w:rPr>
        <w:t>实际，制定本办法。</w:t>
      </w:r>
    </w:p>
    <w:p>
      <w:pPr>
        <w:tabs>
          <w:tab w:val="center" w:pos="4320"/>
        </w:tabs>
        <w:spacing w:line="600" w:lineRule="exact"/>
        <w:ind w:firstLine="640" w:firstLineChars="200"/>
        <w:outlineLvl w:val="1"/>
        <w:rPr>
          <w:rFonts w:eastAsia="黑体"/>
          <w:sz w:val="32"/>
          <w:szCs w:val="32"/>
          <w:highlight w:val="none"/>
          <w:u w:val="none"/>
        </w:rPr>
      </w:pPr>
      <w:r>
        <w:rPr>
          <w:rFonts w:hint="eastAsia" w:eastAsia="黑体"/>
          <w:sz w:val="32"/>
          <w:szCs w:val="32"/>
          <w:highlight w:val="none"/>
          <w:u w:val="none"/>
        </w:rPr>
        <w:t>一、总体工作要求</w:t>
      </w:r>
    </w:p>
    <w:p>
      <w:pPr>
        <w:spacing w:line="600" w:lineRule="exact"/>
        <w:ind w:firstLine="640" w:firstLineChars="200"/>
        <w:outlineLvl w:val="1"/>
        <w:rPr>
          <w:rFonts w:ascii="仿宋_GB2312" w:eastAsia="仿宋_GB2312"/>
          <w:sz w:val="32"/>
          <w:szCs w:val="32"/>
          <w:highlight w:val="none"/>
          <w:u w:val="none"/>
        </w:rPr>
      </w:pPr>
      <w:r>
        <w:rPr>
          <w:rFonts w:hint="eastAsia" w:eastAsia="仿宋_GB2312"/>
          <w:sz w:val="32"/>
          <w:szCs w:val="32"/>
          <w:highlight w:val="none"/>
          <w:u w:val="none"/>
        </w:rPr>
        <w:t>（一）</w:t>
      </w:r>
      <w:r>
        <w:rPr>
          <w:rFonts w:hint="eastAsia" w:ascii="仿宋_GB2312" w:eastAsia="仿宋_GB2312"/>
          <w:sz w:val="32"/>
          <w:szCs w:val="32"/>
          <w:highlight w:val="none"/>
          <w:u w:val="none"/>
        </w:rPr>
        <w:t>本市行政区域内医疗保障信用主体（以下简称“信用主体”）的信息采集、评价、发布、奖惩、修复等管理活动，适用本办法。</w:t>
      </w:r>
    </w:p>
    <w:p>
      <w:pPr>
        <w:tabs>
          <w:tab w:val="center" w:pos="4320"/>
        </w:tabs>
        <w:spacing w:line="600" w:lineRule="exact"/>
        <w:ind w:firstLine="640" w:firstLineChars="200"/>
        <w:outlineLvl w:val="1"/>
        <w:rPr>
          <w:rFonts w:eastAsia="仿宋_GB2312"/>
          <w:sz w:val="32"/>
          <w:szCs w:val="32"/>
          <w:highlight w:val="none"/>
          <w:u w:val="none"/>
        </w:rPr>
      </w:pPr>
      <w:r>
        <w:rPr>
          <w:rFonts w:hint="eastAsia" w:eastAsia="仿宋_GB2312"/>
          <w:sz w:val="32"/>
          <w:szCs w:val="32"/>
          <w:highlight w:val="none"/>
          <w:u w:val="none"/>
          <w:lang w:eastAsia="zh-CN"/>
        </w:rPr>
        <w:t>（二）</w:t>
      </w:r>
      <w:r>
        <w:rPr>
          <w:rFonts w:eastAsia="仿宋_GB2312"/>
          <w:sz w:val="32"/>
          <w:szCs w:val="32"/>
          <w:highlight w:val="none"/>
          <w:u w:val="none"/>
        </w:rPr>
        <w:t>医疗保障信用管理，是指医疗保障行政部门依法依规，按照规定的指标、方法和程序，</w:t>
      </w:r>
      <w:r>
        <w:rPr>
          <w:rFonts w:hint="eastAsia" w:eastAsia="仿宋_GB2312"/>
          <w:sz w:val="32"/>
          <w:szCs w:val="32"/>
          <w:highlight w:val="none"/>
          <w:u w:val="none"/>
        </w:rPr>
        <w:t>运用公共信用综合评价结果和医疗保障领域信用信息，对信用主体进行动态评价，并依据评价结果确定医疗保障信用等级（以下简称“信用等级”），实施信用监管、信用奖惩措施，以规范信用主体医疗保障行为的管理活动。</w:t>
      </w:r>
    </w:p>
    <w:p>
      <w:pPr>
        <w:tabs>
          <w:tab w:val="center" w:pos="4320"/>
        </w:tabs>
        <w:spacing w:line="600" w:lineRule="exact"/>
        <w:ind w:firstLine="640" w:firstLineChars="200"/>
        <w:outlineLvl w:val="1"/>
        <w:rPr>
          <w:rFonts w:eastAsia="仿宋_GB2312"/>
          <w:sz w:val="32"/>
          <w:szCs w:val="32"/>
          <w:highlight w:val="none"/>
          <w:u w:val="none"/>
        </w:rPr>
      </w:pPr>
      <w:r>
        <w:rPr>
          <w:rFonts w:hint="eastAsia" w:eastAsia="仿宋_GB2312"/>
          <w:sz w:val="32"/>
          <w:szCs w:val="32"/>
          <w:highlight w:val="none"/>
          <w:u w:val="none"/>
        </w:rPr>
        <w:t>医疗保障</w:t>
      </w:r>
      <w:r>
        <w:rPr>
          <w:rFonts w:eastAsia="仿宋_GB2312"/>
          <w:sz w:val="32"/>
          <w:szCs w:val="32"/>
          <w:highlight w:val="none"/>
          <w:u w:val="none"/>
        </w:rPr>
        <w:t>信用评价结果，是指通过信用评价所生成的信用报告、</w:t>
      </w:r>
      <w:r>
        <w:rPr>
          <w:rFonts w:hint="eastAsia" w:eastAsia="仿宋_GB2312"/>
          <w:sz w:val="32"/>
          <w:szCs w:val="32"/>
          <w:highlight w:val="none"/>
          <w:u w:val="none"/>
        </w:rPr>
        <w:t>医疗保障</w:t>
      </w:r>
      <w:r>
        <w:rPr>
          <w:rFonts w:eastAsia="仿宋_GB2312"/>
          <w:sz w:val="32"/>
          <w:szCs w:val="32"/>
          <w:highlight w:val="none"/>
          <w:u w:val="none"/>
        </w:rPr>
        <w:t>信用分和信用等级等。</w:t>
      </w:r>
    </w:p>
    <w:p>
      <w:pPr>
        <w:autoSpaceDE w:val="0"/>
        <w:autoSpaceDN w:val="0"/>
        <w:adjustRightInd w:val="0"/>
        <w:spacing w:line="600" w:lineRule="exact"/>
        <w:ind w:firstLine="640" w:firstLineChars="200"/>
        <w:jc w:val="left"/>
        <w:rPr>
          <w:rFonts w:eastAsia="仿宋_GB2312"/>
          <w:kern w:val="0"/>
          <w:sz w:val="32"/>
          <w:szCs w:val="32"/>
          <w:highlight w:val="none"/>
          <w:u w:val="none"/>
        </w:rPr>
      </w:pPr>
      <w:r>
        <w:rPr>
          <w:rFonts w:hint="eastAsia" w:eastAsia="仿宋_GB2312"/>
          <w:sz w:val="32"/>
          <w:szCs w:val="32"/>
          <w:highlight w:val="none"/>
          <w:u w:val="none"/>
        </w:rPr>
        <w:t>（</w:t>
      </w:r>
      <w:r>
        <w:rPr>
          <w:rFonts w:hint="eastAsia" w:eastAsia="仿宋_GB2312"/>
          <w:sz w:val="32"/>
          <w:szCs w:val="32"/>
          <w:highlight w:val="none"/>
          <w:u w:val="none"/>
          <w:lang w:eastAsia="zh-CN"/>
        </w:rPr>
        <w:t>三</w:t>
      </w:r>
      <w:r>
        <w:rPr>
          <w:rFonts w:hint="eastAsia" w:eastAsia="仿宋_GB2312"/>
          <w:sz w:val="32"/>
          <w:szCs w:val="32"/>
          <w:highlight w:val="none"/>
          <w:u w:val="none"/>
        </w:rPr>
        <w:t>）</w:t>
      </w:r>
      <w:r>
        <w:rPr>
          <w:rFonts w:eastAsia="仿宋_GB2312"/>
          <w:sz w:val="32"/>
          <w:szCs w:val="32"/>
          <w:highlight w:val="none"/>
          <w:u w:val="none"/>
        </w:rPr>
        <w:t>医疗保障信用管理应当遵循</w:t>
      </w:r>
      <w:r>
        <w:rPr>
          <w:rFonts w:hint="eastAsia" w:eastAsia="仿宋_GB2312"/>
          <w:sz w:val="32"/>
          <w:szCs w:val="32"/>
          <w:highlight w:val="none"/>
          <w:u w:val="none"/>
        </w:rPr>
        <w:t>合法公正</w:t>
      </w:r>
      <w:r>
        <w:rPr>
          <w:rFonts w:eastAsia="仿宋_GB2312"/>
          <w:sz w:val="32"/>
          <w:szCs w:val="32"/>
          <w:highlight w:val="none"/>
          <w:u w:val="none"/>
        </w:rPr>
        <w:t>、公开透明、分级分类、动态调整、共建共享的原则，</w:t>
      </w:r>
      <w:r>
        <w:rPr>
          <w:rFonts w:eastAsia="仿宋_GB2312"/>
          <w:kern w:val="0"/>
          <w:sz w:val="32"/>
          <w:szCs w:val="32"/>
          <w:highlight w:val="none"/>
          <w:u w:val="none"/>
        </w:rPr>
        <w:t xml:space="preserve">维护信用主体的合法权益，不得损害国家和社会公共利益，不涉及国家秘密、商业秘密和个人隐私。 </w:t>
      </w:r>
    </w:p>
    <w:p>
      <w:pPr>
        <w:spacing w:line="600" w:lineRule="exact"/>
        <w:ind w:firstLine="640" w:firstLineChars="200"/>
        <w:outlineLvl w:val="1"/>
        <w:rPr>
          <w:rFonts w:hint="eastAsia" w:ascii="仿宋_GB2312" w:hAnsi="仿宋_GB2312" w:eastAsia="仿宋_GB2312" w:cs="仿宋_GB2312"/>
          <w:b w:val="0"/>
          <w:bCs w:val="0"/>
          <w:color w:val="auto"/>
          <w:sz w:val="32"/>
          <w:szCs w:val="32"/>
          <w:highlight w:val="none"/>
          <w:u w:val="none"/>
        </w:rPr>
      </w:pPr>
      <w:r>
        <w:rPr>
          <w:rFonts w:hint="eastAsia" w:eastAsia="仿宋_GB2312"/>
          <w:sz w:val="32"/>
          <w:szCs w:val="32"/>
          <w:highlight w:val="none"/>
          <w:u w:val="none"/>
        </w:rPr>
        <w:t>（</w:t>
      </w:r>
      <w:r>
        <w:rPr>
          <w:rFonts w:hint="eastAsia" w:eastAsia="仿宋_GB2312"/>
          <w:sz w:val="32"/>
          <w:szCs w:val="32"/>
          <w:highlight w:val="none"/>
          <w:u w:val="none"/>
          <w:lang w:eastAsia="zh-CN"/>
        </w:rPr>
        <w:t>四</w:t>
      </w:r>
      <w:r>
        <w:rPr>
          <w:rFonts w:hint="eastAsia" w:eastAsia="仿宋_GB2312"/>
          <w:sz w:val="32"/>
          <w:szCs w:val="32"/>
          <w:highlight w:val="none"/>
          <w:u w:val="none"/>
        </w:rPr>
        <w:t>）</w:t>
      </w:r>
      <w:r>
        <w:rPr>
          <w:rFonts w:eastAsia="仿宋_GB2312"/>
          <w:sz w:val="32"/>
          <w:szCs w:val="32"/>
          <w:highlight w:val="none"/>
          <w:u w:val="none"/>
        </w:rPr>
        <w:t>市、县</w:t>
      </w:r>
      <w:r>
        <w:rPr>
          <w:rFonts w:hint="eastAsia" w:eastAsia="仿宋_GB2312"/>
          <w:sz w:val="32"/>
          <w:szCs w:val="32"/>
          <w:highlight w:val="none"/>
          <w:u w:val="none"/>
        </w:rPr>
        <w:t>（市、区）</w:t>
      </w:r>
      <w:r>
        <w:rPr>
          <w:rFonts w:eastAsia="仿宋_GB2312"/>
          <w:sz w:val="32"/>
          <w:szCs w:val="32"/>
          <w:highlight w:val="none"/>
          <w:u w:val="none"/>
        </w:rPr>
        <w:t>医疗保障行政部门负责组织领导本行政区域内的医疗保障信用管理工作，</w:t>
      </w:r>
      <w:r>
        <w:rPr>
          <w:rFonts w:eastAsia="仿宋_GB2312"/>
          <w:kern w:val="0"/>
          <w:sz w:val="32"/>
          <w:szCs w:val="32"/>
          <w:highlight w:val="none"/>
          <w:u w:val="none"/>
        </w:rPr>
        <w:t>负责本级医疗保障信用管理相关信息的采集、录入和审核</w:t>
      </w:r>
      <w:r>
        <w:rPr>
          <w:rFonts w:hint="eastAsia" w:eastAsia="仿宋_GB2312"/>
          <w:kern w:val="0"/>
          <w:sz w:val="32"/>
          <w:szCs w:val="32"/>
          <w:highlight w:val="none"/>
          <w:u w:val="none"/>
        </w:rPr>
        <w:t>，负责系统</w:t>
      </w:r>
      <w:r>
        <w:rPr>
          <w:rFonts w:eastAsia="仿宋_GB2312"/>
          <w:kern w:val="0"/>
          <w:sz w:val="32"/>
          <w:szCs w:val="32"/>
          <w:highlight w:val="none"/>
          <w:u w:val="none"/>
        </w:rPr>
        <w:t>维护、</w:t>
      </w:r>
      <w:r>
        <w:rPr>
          <w:rFonts w:hint="eastAsia" w:eastAsia="仿宋_GB2312"/>
          <w:kern w:val="0"/>
          <w:sz w:val="32"/>
          <w:szCs w:val="32"/>
          <w:highlight w:val="none"/>
          <w:u w:val="none"/>
        </w:rPr>
        <w:t>开展</w:t>
      </w:r>
      <w:r>
        <w:rPr>
          <w:rFonts w:eastAsia="仿宋_GB2312"/>
          <w:kern w:val="0"/>
          <w:sz w:val="32"/>
          <w:szCs w:val="32"/>
          <w:highlight w:val="none"/>
          <w:u w:val="none"/>
        </w:rPr>
        <w:t>信用评价</w:t>
      </w:r>
      <w:r>
        <w:rPr>
          <w:rFonts w:hint="eastAsia" w:eastAsia="仿宋_GB2312"/>
          <w:kern w:val="0"/>
          <w:sz w:val="32"/>
          <w:szCs w:val="32"/>
          <w:highlight w:val="none"/>
          <w:u w:val="none"/>
        </w:rPr>
        <w:t>并根据评价结果实施奖惩措施。</w:t>
      </w:r>
      <w:r>
        <w:rPr>
          <w:rFonts w:hint="eastAsia" w:ascii="仿宋_GB2312" w:hAnsi="仿宋_GB2312" w:eastAsia="仿宋_GB2312" w:cs="仿宋_GB2312"/>
          <w:color w:val="auto"/>
          <w:sz w:val="32"/>
          <w:szCs w:val="32"/>
          <w:highlight w:val="none"/>
          <w:u w:val="none"/>
        </w:rPr>
        <w:t>涉及信息系统的规划建设由市</w:t>
      </w:r>
      <w:r>
        <w:rPr>
          <w:rFonts w:eastAsia="仿宋_GB2312"/>
          <w:color w:val="auto"/>
          <w:sz w:val="32"/>
          <w:szCs w:val="32"/>
          <w:highlight w:val="none"/>
          <w:u w:val="none"/>
        </w:rPr>
        <w:t>医疗保障行政部</w:t>
      </w:r>
      <w:r>
        <w:rPr>
          <w:rFonts w:eastAsia="仿宋_GB2312"/>
          <w:b w:val="0"/>
          <w:bCs w:val="0"/>
          <w:color w:val="auto"/>
          <w:sz w:val="32"/>
          <w:szCs w:val="32"/>
          <w:highlight w:val="none"/>
          <w:u w:val="none"/>
        </w:rPr>
        <w:t>门</w:t>
      </w:r>
      <w:r>
        <w:rPr>
          <w:rFonts w:hint="eastAsia" w:eastAsia="仿宋_GB2312"/>
          <w:b w:val="0"/>
          <w:bCs w:val="0"/>
          <w:color w:val="auto"/>
          <w:sz w:val="32"/>
          <w:szCs w:val="32"/>
          <w:highlight w:val="none"/>
          <w:u w:val="none"/>
          <w:lang w:eastAsia="zh-CN"/>
        </w:rPr>
        <w:t>根据省级</w:t>
      </w:r>
      <w:r>
        <w:rPr>
          <w:rFonts w:eastAsia="仿宋_GB2312"/>
          <w:b w:val="0"/>
          <w:bCs w:val="0"/>
          <w:color w:val="auto"/>
          <w:sz w:val="32"/>
          <w:szCs w:val="32"/>
          <w:highlight w:val="none"/>
          <w:u w:val="none"/>
        </w:rPr>
        <w:t>医疗保障行政部门</w:t>
      </w:r>
      <w:r>
        <w:rPr>
          <w:rFonts w:hint="eastAsia" w:eastAsia="仿宋_GB2312"/>
          <w:b w:val="0"/>
          <w:bCs w:val="0"/>
          <w:color w:val="auto"/>
          <w:sz w:val="32"/>
          <w:szCs w:val="32"/>
          <w:highlight w:val="none"/>
          <w:u w:val="none"/>
          <w:lang w:eastAsia="zh-CN"/>
        </w:rPr>
        <w:t>的安排</w:t>
      </w:r>
      <w:r>
        <w:rPr>
          <w:rFonts w:hint="eastAsia" w:eastAsia="仿宋_GB2312"/>
          <w:b w:val="0"/>
          <w:bCs w:val="0"/>
          <w:color w:val="auto"/>
          <w:sz w:val="32"/>
          <w:szCs w:val="32"/>
          <w:highlight w:val="none"/>
          <w:u w:val="none"/>
        </w:rPr>
        <w:t>统筹</w:t>
      </w:r>
      <w:r>
        <w:rPr>
          <w:rFonts w:hint="eastAsia" w:eastAsia="仿宋_GB2312"/>
          <w:b w:val="0"/>
          <w:bCs w:val="0"/>
          <w:color w:val="auto"/>
          <w:sz w:val="32"/>
          <w:szCs w:val="32"/>
          <w:highlight w:val="none"/>
          <w:u w:val="none"/>
          <w:lang w:eastAsia="zh-CN"/>
        </w:rPr>
        <w:t>解决</w:t>
      </w:r>
      <w:r>
        <w:rPr>
          <w:rFonts w:hint="eastAsia" w:ascii="仿宋_GB2312" w:hAnsi="仿宋_GB2312" w:eastAsia="仿宋_GB2312" w:cs="仿宋_GB2312"/>
          <w:b w:val="0"/>
          <w:bCs w:val="0"/>
          <w:color w:val="auto"/>
          <w:sz w:val="32"/>
          <w:szCs w:val="32"/>
          <w:highlight w:val="none"/>
          <w:u w:val="none"/>
        </w:rPr>
        <w:t>。</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w:t>
      </w:r>
      <w:r>
        <w:rPr>
          <w:rFonts w:hint="eastAsia" w:ascii="仿宋_GB2312" w:eastAsia="仿宋_GB2312"/>
          <w:sz w:val="32"/>
          <w:szCs w:val="32"/>
          <w:highlight w:val="none"/>
          <w:u w:val="none"/>
          <w:lang w:eastAsia="zh-CN"/>
        </w:rPr>
        <w:t>五</w:t>
      </w:r>
      <w:r>
        <w:rPr>
          <w:rFonts w:hint="eastAsia" w:ascii="仿宋_GB2312" w:eastAsia="仿宋_GB2312"/>
          <w:sz w:val="32"/>
          <w:szCs w:val="32"/>
          <w:highlight w:val="none"/>
          <w:u w:val="none"/>
        </w:rPr>
        <w:t>）各级医疗保障行政部门所属的医疗保障经办机构承担医疗保障信用管理的具体工作，也可委托经国务院征信业监督管理部门许可或备案的第三方信用服务机构（以下统称“评价机构”）开展信用主体的信用评价工作。</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（六）鼓励各级医疗保障行业协会建立医疗保障信用管理和教育制度，组织各类信用主体签署信用承诺书，开展信用知识培训和诚信创建活动，培育信用文化。</w:t>
      </w:r>
    </w:p>
    <w:p>
      <w:pPr>
        <w:tabs>
          <w:tab w:val="center" w:pos="4320"/>
        </w:tabs>
        <w:spacing w:line="600" w:lineRule="exact"/>
        <w:ind w:firstLine="640" w:firstLineChars="200"/>
        <w:outlineLvl w:val="1"/>
        <w:rPr>
          <w:rFonts w:eastAsia="黑体"/>
          <w:sz w:val="32"/>
          <w:szCs w:val="32"/>
          <w:highlight w:val="none"/>
          <w:u w:val="none"/>
        </w:rPr>
      </w:pPr>
      <w:r>
        <w:rPr>
          <w:rFonts w:hint="eastAsia" w:eastAsia="黑体"/>
          <w:sz w:val="32"/>
          <w:szCs w:val="32"/>
          <w:highlight w:val="none"/>
          <w:u w:val="none"/>
        </w:rPr>
        <w:t>二、信用主体分类</w:t>
      </w:r>
    </w:p>
    <w:p>
      <w:pPr>
        <w:tabs>
          <w:tab w:val="center" w:pos="4320"/>
        </w:tabs>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信用主体主要分为机构和个人两类。</w:t>
      </w:r>
    </w:p>
    <w:p>
      <w:pPr>
        <w:tabs>
          <w:tab w:val="center" w:pos="4320"/>
        </w:tabs>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（一）机构类信用主体</w:t>
      </w:r>
    </w:p>
    <w:p>
      <w:pPr>
        <w:tabs>
          <w:tab w:val="center" w:pos="4320"/>
        </w:tabs>
        <w:spacing w:line="600" w:lineRule="exact"/>
        <w:ind w:firstLine="640" w:firstLineChars="200"/>
        <w:rPr>
          <w:rFonts w:ascii="仿宋_GB2312" w:eastAsia="仿宋_GB2312"/>
          <w:sz w:val="32"/>
          <w:szCs w:val="32"/>
          <w:highlight w:val="none"/>
          <w:u w:val="none"/>
        </w:rPr>
      </w:pPr>
      <w:r>
        <w:rPr>
          <w:rFonts w:hint="eastAsia" w:ascii="仿宋_GB2312" w:eastAsia="仿宋_GB2312"/>
          <w:sz w:val="32"/>
          <w:szCs w:val="32"/>
          <w:highlight w:val="none"/>
          <w:u w:val="none"/>
        </w:rPr>
        <w:t>1．基本医疗保险定点医疗机构；</w:t>
      </w:r>
    </w:p>
    <w:p>
      <w:pPr>
        <w:tabs>
          <w:tab w:val="center" w:pos="4320"/>
        </w:tabs>
        <w:spacing w:line="600" w:lineRule="exact"/>
        <w:ind w:firstLine="640" w:firstLineChars="200"/>
        <w:rPr>
          <w:rFonts w:ascii="仿宋_GB2312" w:eastAsia="仿宋_GB2312"/>
          <w:sz w:val="32"/>
          <w:szCs w:val="32"/>
          <w:highlight w:val="none"/>
          <w:u w:val="none"/>
        </w:rPr>
      </w:pPr>
      <w:r>
        <w:rPr>
          <w:rFonts w:hint="eastAsia" w:ascii="仿宋_GB2312" w:eastAsia="仿宋_GB2312"/>
          <w:sz w:val="32"/>
          <w:szCs w:val="32"/>
          <w:highlight w:val="none"/>
          <w:u w:val="none"/>
        </w:rPr>
        <w:t>2．基本医疗保险定点零售药店；</w:t>
      </w:r>
    </w:p>
    <w:p>
      <w:pPr>
        <w:spacing w:line="600" w:lineRule="exact"/>
        <w:ind w:firstLine="640" w:firstLineChars="200"/>
        <w:rPr>
          <w:rFonts w:ascii="仿宋_GB2312" w:eastAsia="仿宋_GB2312"/>
          <w:sz w:val="32"/>
          <w:szCs w:val="32"/>
          <w:highlight w:val="none"/>
          <w:u w:val="none"/>
        </w:rPr>
      </w:pPr>
      <w:r>
        <w:rPr>
          <w:rFonts w:hint="eastAsia" w:ascii="仿宋_GB2312" w:eastAsia="仿宋_GB2312"/>
          <w:sz w:val="32"/>
          <w:szCs w:val="32"/>
          <w:highlight w:val="none"/>
          <w:u w:val="none"/>
        </w:rPr>
        <w:t>3．基本医疗保险参保单位；</w:t>
      </w:r>
    </w:p>
    <w:p>
      <w:pPr>
        <w:spacing w:line="600" w:lineRule="exact"/>
        <w:ind w:firstLine="640" w:firstLineChars="200"/>
        <w:rPr>
          <w:rFonts w:ascii="仿宋_GB2312" w:eastAsia="仿宋_GB2312"/>
          <w:sz w:val="32"/>
          <w:szCs w:val="32"/>
          <w:highlight w:val="none"/>
          <w:u w:val="none"/>
        </w:rPr>
      </w:pPr>
      <w:r>
        <w:rPr>
          <w:rFonts w:hint="eastAsia" w:ascii="仿宋_GB2312" w:eastAsia="仿宋_GB2312"/>
          <w:sz w:val="32"/>
          <w:szCs w:val="32"/>
          <w:highlight w:val="none"/>
          <w:u w:val="none"/>
        </w:rPr>
        <w:t>4．承办医疗保障经办业务的第三方机构；</w:t>
      </w:r>
    </w:p>
    <w:p>
      <w:pPr>
        <w:spacing w:line="600" w:lineRule="exact"/>
        <w:ind w:firstLine="640" w:firstLineChars="200"/>
        <w:rPr>
          <w:rFonts w:ascii="仿宋_GB2312" w:eastAsia="仿宋_GB2312"/>
          <w:sz w:val="32"/>
          <w:szCs w:val="32"/>
          <w:highlight w:val="none"/>
          <w:u w:val="none"/>
        </w:rPr>
      </w:pPr>
      <w:r>
        <w:rPr>
          <w:rFonts w:hint="eastAsia" w:ascii="仿宋_GB2312" w:eastAsia="仿宋_GB2312"/>
          <w:sz w:val="32"/>
          <w:szCs w:val="32"/>
          <w:highlight w:val="none"/>
          <w:u w:val="none"/>
        </w:rPr>
        <w:t>5．参与药械集中采购的医药生产和流通企业；</w:t>
      </w:r>
    </w:p>
    <w:p>
      <w:pPr>
        <w:spacing w:line="600" w:lineRule="exact"/>
        <w:ind w:firstLine="640" w:firstLineChars="200"/>
        <w:rPr>
          <w:rFonts w:ascii="仿宋_GB2312" w:eastAsia="仿宋_GB2312"/>
          <w:sz w:val="32"/>
          <w:szCs w:val="32"/>
          <w:highlight w:val="none"/>
          <w:u w:val="none"/>
        </w:rPr>
      </w:pPr>
      <w:r>
        <w:rPr>
          <w:rFonts w:hint="eastAsia" w:ascii="仿宋_GB2312" w:eastAsia="仿宋_GB2312"/>
          <w:sz w:val="32"/>
          <w:szCs w:val="32"/>
          <w:highlight w:val="none"/>
          <w:u w:val="none"/>
        </w:rPr>
        <w:t>6．其他参与医疗保障活动的机构。</w:t>
      </w:r>
    </w:p>
    <w:p>
      <w:pPr>
        <w:tabs>
          <w:tab w:val="center" w:pos="4320"/>
        </w:tabs>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（二）个人类信用主体</w:t>
      </w:r>
    </w:p>
    <w:p>
      <w:pPr>
        <w:tabs>
          <w:tab w:val="center" w:pos="4320"/>
        </w:tabs>
        <w:spacing w:line="600" w:lineRule="exact"/>
        <w:ind w:firstLine="640" w:firstLineChars="200"/>
        <w:rPr>
          <w:rFonts w:ascii="仿宋_GB2312" w:eastAsia="仿宋_GB2312"/>
          <w:sz w:val="32"/>
          <w:szCs w:val="32"/>
          <w:highlight w:val="none"/>
          <w:u w:val="none"/>
        </w:rPr>
      </w:pPr>
      <w:r>
        <w:rPr>
          <w:rFonts w:hint="eastAsia" w:ascii="仿宋_GB2312" w:eastAsia="仿宋_GB2312"/>
          <w:sz w:val="32"/>
          <w:szCs w:val="32"/>
          <w:highlight w:val="none"/>
          <w:u w:val="none"/>
        </w:rPr>
        <w:t>1．提供医疗保障服务的医师、护士（师）、药师等专业从业人员；</w:t>
      </w:r>
    </w:p>
    <w:p>
      <w:pPr>
        <w:tabs>
          <w:tab w:val="center" w:pos="4320"/>
        </w:tabs>
        <w:spacing w:line="600" w:lineRule="exact"/>
        <w:ind w:firstLine="640" w:firstLineChars="200"/>
        <w:rPr>
          <w:rFonts w:ascii="仿宋_GB2312" w:eastAsia="仿宋_GB2312"/>
          <w:sz w:val="32"/>
          <w:szCs w:val="32"/>
          <w:highlight w:val="none"/>
          <w:u w:val="none"/>
        </w:rPr>
      </w:pPr>
      <w:r>
        <w:rPr>
          <w:rFonts w:hint="eastAsia" w:ascii="仿宋_GB2312" w:eastAsia="仿宋_GB2312"/>
          <w:sz w:val="32"/>
          <w:szCs w:val="32"/>
          <w:highlight w:val="none"/>
          <w:u w:val="none"/>
        </w:rPr>
        <w:t>2．参保人员；</w:t>
      </w:r>
    </w:p>
    <w:p>
      <w:pPr>
        <w:tabs>
          <w:tab w:val="center" w:pos="4320"/>
        </w:tabs>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3．投资医疗保障服务机构的法人代表人或主要负责人、实际控制人；</w:t>
      </w:r>
    </w:p>
    <w:p>
      <w:pPr>
        <w:tabs>
          <w:tab w:val="center" w:pos="4320"/>
        </w:tabs>
        <w:spacing w:line="600" w:lineRule="exact"/>
        <w:ind w:firstLine="640" w:firstLineChars="200"/>
        <w:rPr>
          <w:rFonts w:ascii="仿宋_GB2312" w:eastAsia="仿宋_GB2312"/>
          <w:sz w:val="32"/>
          <w:szCs w:val="32"/>
          <w:highlight w:val="none"/>
          <w:u w:val="none"/>
        </w:rPr>
      </w:pPr>
      <w:r>
        <w:rPr>
          <w:rFonts w:hint="eastAsia" w:ascii="仿宋_GB2312" w:eastAsia="仿宋_GB2312"/>
          <w:sz w:val="32"/>
          <w:szCs w:val="32"/>
          <w:highlight w:val="none"/>
          <w:u w:val="none"/>
        </w:rPr>
        <w:t>4．其他参与医疗保障活动的个人。</w:t>
      </w:r>
    </w:p>
    <w:p>
      <w:pPr>
        <w:autoSpaceDE w:val="0"/>
        <w:autoSpaceDN w:val="0"/>
        <w:adjustRightInd w:val="0"/>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sz w:val="32"/>
          <w:szCs w:val="32"/>
          <w:highlight w:val="none"/>
          <w:u w:val="none"/>
        </w:rPr>
        <w:t>信用主体应当自觉遵守国家有关法律、法</w:t>
      </w:r>
      <w:r>
        <w:rPr>
          <w:rFonts w:hint="eastAsia" w:ascii="仿宋_GB2312" w:eastAsia="仿宋_GB2312"/>
          <w:kern w:val="0"/>
          <w:sz w:val="32"/>
          <w:szCs w:val="32"/>
          <w:highlight w:val="none"/>
          <w:u w:val="none"/>
        </w:rPr>
        <w:t>规、规章、规范性文件等规定和协议约定</w:t>
      </w:r>
      <w:r>
        <w:rPr>
          <w:rFonts w:hint="eastAsia" w:ascii="仿宋_GB2312" w:eastAsia="仿宋_GB2312"/>
          <w:sz w:val="32"/>
          <w:szCs w:val="32"/>
          <w:highlight w:val="none"/>
          <w:u w:val="none"/>
        </w:rPr>
        <w:t>，</w:t>
      </w:r>
      <w:r>
        <w:rPr>
          <w:rFonts w:hint="eastAsia" w:ascii="仿宋_GB2312" w:eastAsia="仿宋_GB2312"/>
          <w:kern w:val="0"/>
          <w:sz w:val="32"/>
          <w:szCs w:val="32"/>
          <w:highlight w:val="none"/>
          <w:u w:val="none"/>
        </w:rPr>
        <w:t>加强诚信自律，规范医疗保障参与行为。</w:t>
      </w:r>
    </w:p>
    <w:p>
      <w:pPr>
        <w:autoSpaceDE w:val="0"/>
        <w:autoSpaceDN w:val="0"/>
        <w:adjustRightInd w:val="0"/>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kern w:val="0"/>
          <w:sz w:val="32"/>
          <w:szCs w:val="32"/>
          <w:highlight w:val="none"/>
          <w:u w:val="none"/>
        </w:rPr>
        <w:t>信用主体应当按照本办法及有关规定，向医疗保障部门及其委托的机构提供相应的数据和资料，配合开展信用管理工作。</w:t>
      </w:r>
    </w:p>
    <w:p>
      <w:pPr>
        <w:spacing w:line="600" w:lineRule="exact"/>
        <w:ind w:firstLine="640" w:firstLineChars="200"/>
        <w:jc w:val="left"/>
        <w:textAlignment w:val="baseline"/>
        <w:outlineLvl w:val="1"/>
        <w:rPr>
          <w:rFonts w:eastAsia="黑体"/>
          <w:bCs/>
          <w:kern w:val="0"/>
          <w:sz w:val="32"/>
          <w:szCs w:val="32"/>
          <w:highlight w:val="none"/>
          <w:u w:val="none"/>
        </w:rPr>
      </w:pPr>
      <w:r>
        <w:rPr>
          <w:rFonts w:hint="eastAsia" w:eastAsia="黑体"/>
          <w:bCs/>
          <w:kern w:val="0"/>
          <w:sz w:val="32"/>
          <w:szCs w:val="32"/>
          <w:highlight w:val="none"/>
          <w:u w:val="none"/>
        </w:rPr>
        <w:t>三、</w:t>
      </w:r>
      <w:r>
        <w:rPr>
          <w:rFonts w:eastAsia="黑体"/>
          <w:bCs/>
          <w:kern w:val="0"/>
          <w:sz w:val="32"/>
          <w:szCs w:val="32"/>
          <w:highlight w:val="none"/>
          <w:u w:val="none"/>
        </w:rPr>
        <w:t>信用信息</w:t>
      </w:r>
      <w:r>
        <w:rPr>
          <w:rFonts w:hint="eastAsia" w:eastAsia="黑体"/>
          <w:bCs/>
          <w:kern w:val="0"/>
          <w:sz w:val="32"/>
          <w:szCs w:val="32"/>
          <w:highlight w:val="none"/>
          <w:u w:val="none"/>
          <w:lang w:eastAsia="zh-CN"/>
        </w:rPr>
        <w:t>采集</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一）医疗保障部门建立各类信用主体医疗保障信用档案，机构类主体信用档案以统一社会信用代码作为标识，个人类信用信息采集身份证号码作为标识。医疗保障信用档案由信用主体的基础信息、守信信息和不良信息构成。</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（二）信用主体的基础信息包括以下内容：</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机构类信用主体在有关国家机关登记或者注册事项，包括单位性质、法定名称、法定代表人和统一社会信用代码等基础信息；人员类信用主体的姓名和居民</w:t>
      </w:r>
      <w:r>
        <w:rPr>
          <w:highlight w:val="none"/>
          <w:u w:val="none"/>
        </w:rPr>
        <w:fldChar w:fldCharType="begin"/>
      </w:r>
      <w:r>
        <w:rPr>
          <w:highlight w:val="none"/>
          <w:u w:val="none"/>
        </w:rPr>
        <w:instrText xml:space="preserve">HYPERLINK "https://baike.sogou.com/lemma/ShowInnerLink.htm?lemmaId=7481905&amp;ss_c=ssc.citiao.link" \t "_blank" </w:instrText>
      </w:r>
      <w:r>
        <w:rPr>
          <w:highlight w:val="none"/>
          <w:u w:val="none"/>
        </w:rPr>
        <w:fldChar w:fldCharType="separate"/>
      </w:r>
      <w:r>
        <w:rPr>
          <w:rFonts w:hint="eastAsia" w:ascii="仿宋_GB2312" w:eastAsia="仿宋_GB2312"/>
          <w:sz w:val="32"/>
          <w:szCs w:val="32"/>
          <w:highlight w:val="none"/>
          <w:u w:val="none"/>
        </w:rPr>
        <w:t>身份证号码</w:t>
      </w:r>
      <w:r>
        <w:rPr>
          <w:highlight w:val="none"/>
          <w:u w:val="none"/>
        </w:rPr>
        <w:fldChar w:fldCharType="end"/>
      </w:r>
      <w:r>
        <w:rPr>
          <w:rFonts w:hint="eastAsia" w:ascii="仿宋_GB2312" w:eastAsia="仿宋_GB2312"/>
          <w:sz w:val="32"/>
          <w:szCs w:val="32"/>
          <w:highlight w:val="none"/>
          <w:u w:val="none"/>
        </w:rPr>
        <w:t>、出入境证件号码、执业注册等基础信息。</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 xml:space="preserve">（三）信用主体的守信信息包括以下内容： </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1．县级以上人民政府及其部门、法律法规授权具有管理公共事务职能的组织按规定程序认定的与诚信相关的表彰、奖励等信息；</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2．举报他人涉嫌欺诈骗保行为，经医疗保障部门查实的；</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3．主动守信承诺信息；</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4．法律、法规、规章等规定应当记入信用档案的其他守信信息。</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（四）信用主体的不良信息指对信用主体信用状况构成负面影响的信用信息，不良信息包括以下内容：</w:t>
      </w:r>
    </w:p>
    <w:p>
      <w:pPr>
        <w:spacing w:line="600" w:lineRule="exact"/>
        <w:ind w:firstLine="640" w:firstLineChars="200"/>
        <w:outlineLvl w:val="1"/>
        <w:rPr>
          <w:rFonts w:hint="eastAsia" w:ascii="仿宋_GB2312" w:eastAsia="仿宋_GB2312"/>
          <w:sz w:val="32"/>
          <w:szCs w:val="32"/>
          <w:highlight w:val="none"/>
          <w:u w:val="none"/>
        </w:rPr>
      </w:pPr>
      <w:r>
        <w:rPr>
          <w:rFonts w:hint="eastAsia" w:ascii="仿宋_GB2312" w:eastAsia="仿宋_GB2312"/>
          <w:sz w:val="32"/>
          <w:szCs w:val="32"/>
          <w:highlight w:val="none"/>
          <w:u w:val="none"/>
        </w:rPr>
        <w:t>1．未在法定期限内申请行政复议或起诉，或复议诉讼后维持原决定，拒不履行医疗保障行政处罚或行政决定的；</w:t>
      </w:r>
    </w:p>
    <w:p>
      <w:pPr>
        <w:spacing w:line="600" w:lineRule="exact"/>
        <w:ind w:firstLine="640" w:firstLineChars="200"/>
        <w:outlineLvl w:val="1"/>
        <w:rPr>
          <w:rFonts w:ascii="仿宋_GB2312" w:eastAsia="仿宋_GB2312"/>
          <w:b w:val="0"/>
          <w:bCs w:val="0"/>
          <w:sz w:val="32"/>
          <w:szCs w:val="32"/>
          <w:highlight w:val="none"/>
          <w:u w:val="none"/>
        </w:rPr>
      </w:pPr>
      <w:r>
        <w:rPr>
          <w:rFonts w:hint="eastAsia" w:ascii="仿宋_GB2312" w:eastAsia="仿宋_GB2312"/>
          <w:color w:val="auto"/>
          <w:sz w:val="32"/>
          <w:szCs w:val="32"/>
          <w:highlight w:val="none"/>
          <w:u w:val="none"/>
        </w:rPr>
        <w:t>2</w:t>
      </w:r>
      <w:r>
        <w:rPr>
          <w:rFonts w:hint="eastAsia" w:ascii="仿宋_GB2312" w:eastAsia="仿宋_GB2312"/>
          <w:sz w:val="32"/>
          <w:szCs w:val="32"/>
          <w:highlight w:val="none"/>
          <w:u w:val="none"/>
        </w:rPr>
        <w:t>．信用主体违反医疗保障领域有关法律、法规、规章或服务协议，受到县级以上医疗保障部门</w:t>
      </w:r>
      <w:r>
        <w:rPr>
          <w:rFonts w:hint="eastAsia" w:ascii="仿宋_GB2312" w:eastAsia="仿宋_GB2312"/>
          <w:b w:val="0"/>
          <w:bCs w:val="0"/>
          <w:sz w:val="32"/>
          <w:szCs w:val="32"/>
          <w:highlight w:val="none"/>
          <w:u w:val="none"/>
        </w:rPr>
        <w:t>处</w:t>
      </w:r>
      <w:r>
        <w:rPr>
          <w:rFonts w:hint="eastAsia" w:ascii="仿宋_GB2312" w:eastAsia="仿宋_GB2312"/>
          <w:b w:val="0"/>
          <w:bCs w:val="0"/>
          <w:sz w:val="32"/>
          <w:szCs w:val="32"/>
          <w:highlight w:val="none"/>
          <w:u w:val="none"/>
          <w:lang w:eastAsia="zh-CN"/>
        </w:rPr>
        <w:t>罚等</w:t>
      </w:r>
      <w:r>
        <w:rPr>
          <w:rFonts w:hint="eastAsia" w:ascii="仿宋_GB2312" w:eastAsia="仿宋_GB2312"/>
          <w:b w:val="0"/>
          <w:bCs w:val="0"/>
          <w:sz w:val="32"/>
          <w:szCs w:val="32"/>
          <w:highlight w:val="none"/>
          <w:u w:val="none"/>
        </w:rPr>
        <w:t>相关信息；</w:t>
      </w:r>
    </w:p>
    <w:p>
      <w:pPr>
        <w:spacing w:line="600" w:lineRule="exact"/>
        <w:ind w:firstLine="640" w:firstLineChars="200"/>
        <w:outlineLvl w:val="1"/>
        <w:rPr>
          <w:rFonts w:ascii="仿宋_GB2312" w:eastAsia="仿宋_GB2312"/>
          <w:b w:val="0"/>
          <w:bCs w:val="0"/>
          <w:sz w:val="32"/>
          <w:szCs w:val="32"/>
          <w:highlight w:val="none"/>
          <w:u w:val="none"/>
        </w:rPr>
      </w:pPr>
      <w:r>
        <w:rPr>
          <w:rFonts w:hint="eastAsia" w:ascii="仿宋_GB2312" w:eastAsia="仿宋_GB2312"/>
          <w:b w:val="0"/>
          <w:bCs w:val="0"/>
          <w:sz w:val="32"/>
          <w:szCs w:val="32"/>
          <w:highlight w:val="none"/>
          <w:u w:val="none"/>
          <w:lang w:val="en-US" w:eastAsia="zh-CN"/>
        </w:rPr>
        <w:t>3</w:t>
      </w:r>
      <w:r>
        <w:rPr>
          <w:rFonts w:hint="eastAsia" w:ascii="仿宋_GB2312" w:eastAsia="仿宋_GB2312"/>
          <w:b w:val="0"/>
          <w:bCs w:val="0"/>
          <w:sz w:val="32"/>
          <w:szCs w:val="32"/>
          <w:highlight w:val="none"/>
          <w:u w:val="none"/>
        </w:rPr>
        <w:t>．信用主体违反价格、招标和挂网规则，违背守信承诺和购销合同，在医药购销中</w:t>
      </w:r>
      <w:r>
        <w:rPr>
          <w:rFonts w:hint="eastAsia" w:ascii="仿宋_GB2312" w:eastAsia="仿宋_GB2312"/>
          <w:b w:val="0"/>
          <w:bCs w:val="0"/>
          <w:sz w:val="32"/>
          <w:szCs w:val="32"/>
          <w:highlight w:val="none"/>
          <w:u w:val="none"/>
          <w:lang w:eastAsia="zh-CN"/>
        </w:rPr>
        <w:t>存在</w:t>
      </w:r>
      <w:r>
        <w:rPr>
          <w:rFonts w:hint="eastAsia" w:ascii="仿宋_GB2312" w:eastAsia="仿宋_GB2312"/>
          <w:b w:val="0"/>
          <w:bCs w:val="0"/>
          <w:sz w:val="32"/>
          <w:szCs w:val="32"/>
          <w:highlight w:val="none"/>
          <w:u w:val="none"/>
        </w:rPr>
        <w:t>给予回扣或其他不正当利益等情形</w:t>
      </w:r>
      <w:r>
        <w:rPr>
          <w:rFonts w:hint="eastAsia" w:ascii="仿宋_GB2312" w:eastAsia="仿宋_GB2312"/>
          <w:b w:val="0"/>
          <w:bCs w:val="0"/>
          <w:sz w:val="32"/>
          <w:szCs w:val="32"/>
          <w:highlight w:val="none"/>
          <w:u w:val="none"/>
          <w:lang w:eastAsia="zh-CN"/>
        </w:rPr>
        <w:t>，</w:t>
      </w:r>
      <w:r>
        <w:rPr>
          <w:rFonts w:hint="eastAsia" w:ascii="仿宋_GB2312" w:eastAsia="仿宋_GB2312"/>
          <w:b w:val="0"/>
          <w:bCs w:val="0"/>
          <w:sz w:val="32"/>
          <w:szCs w:val="32"/>
          <w:highlight w:val="none"/>
          <w:u w:val="none"/>
        </w:rPr>
        <w:t>扰乱药品和医用耗材集中采购秩序的；</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lang w:val="en-US" w:eastAsia="zh-CN"/>
        </w:rPr>
        <w:t>4</w:t>
      </w:r>
      <w:r>
        <w:rPr>
          <w:rFonts w:hint="eastAsia" w:ascii="仿宋_GB2312" w:eastAsia="仿宋_GB2312"/>
          <w:sz w:val="32"/>
          <w:szCs w:val="32"/>
          <w:highlight w:val="none"/>
          <w:u w:val="none"/>
        </w:rPr>
        <w:t>．经有关部门认定的其他失信信息。</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（五）各类信用主体需要采集的信用信息根据省级医疗保障行政部门制定公布的医疗保障信用信息采集目录确定。</w:t>
      </w:r>
    </w:p>
    <w:p>
      <w:pPr>
        <w:spacing w:line="600" w:lineRule="exact"/>
        <w:ind w:firstLine="640" w:firstLineChars="200"/>
        <w:outlineLvl w:val="1"/>
        <w:rPr>
          <w:rFonts w:eastAsia="仿宋_GB2312"/>
          <w:sz w:val="32"/>
          <w:szCs w:val="32"/>
          <w:highlight w:val="none"/>
          <w:u w:val="none"/>
        </w:rPr>
      </w:pPr>
      <w:r>
        <w:rPr>
          <w:rFonts w:hint="eastAsia" w:ascii="仿宋_GB2312" w:eastAsia="仿宋_GB2312"/>
          <w:sz w:val="32"/>
          <w:szCs w:val="32"/>
          <w:highlight w:val="none"/>
          <w:u w:val="none"/>
        </w:rPr>
        <w:t>信用信息提供方需对所提供信息的真实性和完整性负责，并配合评价机构做好信息抽查核实工作，对校验不通过、错误、变更的信息进行核对修改，保证信息的准确性和时效</w:t>
      </w:r>
      <w:r>
        <w:rPr>
          <w:rFonts w:eastAsia="仿宋_GB2312"/>
          <w:sz w:val="32"/>
          <w:szCs w:val="32"/>
          <w:highlight w:val="none"/>
          <w:u w:val="none"/>
        </w:rPr>
        <w:t>性。</w:t>
      </w:r>
    </w:p>
    <w:p>
      <w:pPr>
        <w:spacing w:line="600" w:lineRule="exact"/>
        <w:ind w:firstLine="640" w:firstLineChars="200"/>
        <w:jc w:val="left"/>
        <w:textAlignment w:val="baseline"/>
        <w:outlineLvl w:val="1"/>
        <w:rPr>
          <w:rFonts w:eastAsia="黑体"/>
          <w:bCs/>
          <w:kern w:val="0"/>
          <w:sz w:val="32"/>
          <w:szCs w:val="32"/>
          <w:highlight w:val="none"/>
          <w:u w:val="none"/>
        </w:rPr>
      </w:pPr>
      <w:r>
        <w:rPr>
          <w:rFonts w:hint="eastAsia" w:eastAsia="黑体"/>
          <w:bCs/>
          <w:kern w:val="0"/>
          <w:sz w:val="32"/>
          <w:szCs w:val="32"/>
          <w:highlight w:val="none"/>
          <w:u w:val="none"/>
        </w:rPr>
        <w:t>四、</w:t>
      </w:r>
      <w:r>
        <w:rPr>
          <w:rFonts w:eastAsia="黑体"/>
          <w:bCs/>
          <w:kern w:val="0"/>
          <w:sz w:val="32"/>
          <w:szCs w:val="32"/>
          <w:highlight w:val="none"/>
          <w:u w:val="none"/>
        </w:rPr>
        <w:t>信用评价与</w:t>
      </w:r>
      <w:r>
        <w:rPr>
          <w:rFonts w:hint="eastAsia" w:eastAsia="黑体"/>
          <w:bCs/>
          <w:kern w:val="0"/>
          <w:sz w:val="32"/>
          <w:szCs w:val="32"/>
          <w:highlight w:val="none"/>
          <w:u w:val="none"/>
        </w:rPr>
        <w:t>发布</w:t>
      </w:r>
    </w:p>
    <w:p>
      <w:pPr>
        <w:spacing w:line="600" w:lineRule="exact"/>
        <w:ind w:firstLine="640" w:firstLineChars="200"/>
        <w:outlineLvl w:val="1"/>
        <w:rPr>
          <w:rFonts w:ascii="仿宋_GB2312" w:eastAsia="仿宋_GB2312"/>
          <w:kern w:val="0"/>
          <w:sz w:val="32"/>
          <w:szCs w:val="32"/>
          <w:highlight w:val="none"/>
          <w:u w:val="none"/>
        </w:rPr>
      </w:pPr>
      <w:r>
        <w:rPr>
          <w:rFonts w:hint="eastAsia" w:ascii="仿宋_GB2312" w:eastAsia="仿宋_GB2312"/>
          <w:sz w:val="32"/>
          <w:szCs w:val="32"/>
          <w:highlight w:val="none"/>
          <w:u w:val="none"/>
        </w:rPr>
        <w:t>（一）各类信用主体的信用评价办法及信用指标体系、信用评价方式、信用等级等内容，按省医疗保障行政部门制定的标准执行。</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信用指标分为一级指标、二级指标和三级指标。针对不同信用主体，结合其自身特点和监管实践，确定信用指标及指标权重，综合形成信用指标体系。</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相关信用主体评价指标暂按附件6至10执行。省医疗保障行政部门出台同类主体评价指标的，改按省级评价指标执行并予妥善衔接，衔接办法由市医疗保障行政部门确定。</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（二）信用评价采用“千分制”评分，实行动态考评。根据评分情况，将信用主体划分为优秀（A≥850）、良好（800≤A&lt;850）、中等（750≤A&lt;800）、较差（700≤A&lt;750）、差（A&lt;700）五个等级。</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评价机构应按照信用评价办法，通过医疗保障信用智慧监管平台对信用主体进行综合评价，自动生成信用评价结果。</w:t>
      </w:r>
    </w:p>
    <w:p>
      <w:pPr>
        <w:spacing w:line="600" w:lineRule="exact"/>
        <w:ind w:firstLine="640" w:firstLineChars="200"/>
        <w:outlineLvl w:val="1"/>
        <w:rPr>
          <w:rFonts w:ascii="仿宋_GB2312" w:eastAsia="仿宋_GB2312"/>
          <w:sz w:val="32"/>
          <w:szCs w:val="32"/>
          <w:highlight w:val="none"/>
          <w:u w:val="none"/>
        </w:rPr>
      </w:pPr>
      <w:bookmarkStart w:id="0" w:name="_Hlk50536275"/>
      <w:r>
        <w:rPr>
          <w:rFonts w:hint="eastAsia" w:ascii="仿宋_GB2312" w:eastAsia="仿宋_GB2312"/>
          <w:sz w:val="32"/>
          <w:szCs w:val="32"/>
          <w:highlight w:val="none"/>
          <w:u w:val="none"/>
        </w:rPr>
        <w:t>（三）医疗保障部门</w:t>
      </w:r>
      <w:bookmarkEnd w:id="0"/>
      <w:r>
        <w:rPr>
          <w:rFonts w:hint="eastAsia" w:ascii="仿宋_GB2312" w:eastAsia="仿宋_GB2312"/>
          <w:sz w:val="32"/>
          <w:szCs w:val="32"/>
          <w:highlight w:val="none"/>
          <w:u w:val="none"/>
        </w:rPr>
        <w:t>应当通过提供网站和手机客户端等方式为信用主体提供实时查询服务。实时信用评价有结果变动时，短信提醒该信用主体。</w:t>
      </w:r>
    </w:p>
    <w:p>
      <w:pPr>
        <w:spacing w:line="600" w:lineRule="exact"/>
        <w:ind w:firstLine="640" w:firstLineChars="200"/>
        <w:outlineLvl w:val="1"/>
        <w:rPr>
          <w:rFonts w:ascii="仿宋_GB2312" w:eastAsia="仿宋_GB2312"/>
          <w:i/>
          <w:iCs/>
          <w:sz w:val="32"/>
          <w:szCs w:val="32"/>
          <w:highlight w:val="none"/>
          <w:u w:val="none"/>
        </w:rPr>
      </w:pPr>
      <w:r>
        <w:rPr>
          <w:rFonts w:hint="eastAsia" w:ascii="仿宋_GB2312" w:eastAsia="仿宋_GB2312"/>
          <w:sz w:val="32"/>
          <w:szCs w:val="32"/>
          <w:highlight w:val="none"/>
          <w:u w:val="none"/>
        </w:rPr>
        <w:t>信用主体对实时信用评价结果有异议的，可在评价结果发布之日起，</w:t>
      </w:r>
      <w:r>
        <w:rPr>
          <w:rFonts w:hint="eastAsia" w:ascii="仿宋_GB2312" w:eastAsia="仿宋_GB2312"/>
          <w:b w:val="0"/>
          <w:bCs w:val="0"/>
          <w:color w:val="auto"/>
          <w:sz w:val="32"/>
          <w:szCs w:val="32"/>
          <w:highlight w:val="none"/>
          <w:u w:val="none"/>
          <w:lang w:val="en-US" w:eastAsia="zh-CN"/>
        </w:rPr>
        <w:t>10</w:t>
      </w:r>
      <w:r>
        <w:rPr>
          <w:rFonts w:hint="eastAsia" w:ascii="仿宋_GB2312" w:eastAsia="仿宋_GB2312"/>
          <w:sz w:val="32"/>
          <w:szCs w:val="32"/>
          <w:highlight w:val="none"/>
          <w:u w:val="none"/>
        </w:rPr>
        <w:t>个工作日内通过线上或线下途径，向医疗保障部门提出异议申诉（附件1），说明理由并提供相关证明材料。</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医疗保障部门自收到异议申诉及证明材料之日起，在</w:t>
      </w:r>
      <w:r>
        <w:rPr>
          <w:rFonts w:hint="eastAsia" w:ascii="仿宋_GB2312" w:eastAsia="仿宋_GB2312"/>
          <w:b w:val="0"/>
          <w:bCs w:val="0"/>
          <w:sz w:val="32"/>
          <w:szCs w:val="32"/>
          <w:highlight w:val="none"/>
          <w:u w:val="none"/>
          <w:lang w:val="en-US" w:eastAsia="zh-CN"/>
        </w:rPr>
        <w:t>5</w:t>
      </w:r>
      <w:r>
        <w:rPr>
          <w:rFonts w:hint="eastAsia" w:ascii="仿宋_GB2312" w:eastAsia="仿宋_GB2312"/>
          <w:sz w:val="32"/>
          <w:szCs w:val="32"/>
          <w:highlight w:val="none"/>
          <w:u w:val="none"/>
        </w:rPr>
        <w:t>个工作日内对受理的异议申诉完成复查，并反馈复核意见（附件2）。</w:t>
      </w:r>
    </w:p>
    <w:p>
      <w:pPr>
        <w:widowControl/>
        <w:spacing w:line="600" w:lineRule="exact"/>
        <w:ind w:firstLine="640" w:firstLineChars="200"/>
        <w:jc w:val="left"/>
        <w:rPr>
          <w:rFonts w:ascii="仿宋_GB2312" w:eastAsia="仿宋_GB2312"/>
          <w:sz w:val="32"/>
          <w:szCs w:val="32"/>
          <w:highlight w:val="none"/>
          <w:u w:val="none"/>
        </w:rPr>
      </w:pPr>
      <w:r>
        <w:rPr>
          <w:rFonts w:hint="eastAsia" w:ascii="仿宋_GB2312" w:eastAsia="仿宋_GB2312"/>
          <w:sz w:val="32"/>
          <w:szCs w:val="32"/>
          <w:highlight w:val="none"/>
          <w:u w:val="none"/>
        </w:rPr>
        <w:t>信用主体对医疗保障信用评价初评结果无异议或完成异议申诉处理的，评价机构应形成正式的医疗保障信用评价结果，并记入信用主体的信用档案。</w:t>
      </w:r>
    </w:p>
    <w:p>
      <w:pPr>
        <w:spacing w:line="600" w:lineRule="exact"/>
        <w:ind w:firstLine="640" w:firstLineChars="200"/>
        <w:outlineLvl w:val="1"/>
        <w:rPr>
          <w:rFonts w:hint="eastAsia" w:ascii="仿宋_GB2312" w:eastAsia="仿宋_GB2312"/>
          <w:b w:val="0"/>
          <w:bCs w:val="0"/>
          <w:sz w:val="32"/>
          <w:szCs w:val="32"/>
          <w:highlight w:val="none"/>
          <w:u w:val="none"/>
          <w:lang w:eastAsia="zh-CN"/>
        </w:rPr>
      </w:pPr>
      <w:r>
        <w:rPr>
          <w:rFonts w:hint="eastAsia" w:ascii="仿宋_GB2312" w:eastAsia="仿宋_GB2312"/>
          <w:sz w:val="32"/>
          <w:szCs w:val="32"/>
          <w:highlight w:val="none"/>
          <w:u w:val="none"/>
        </w:rPr>
        <w:t>（四）</w:t>
      </w:r>
      <w:r>
        <w:rPr>
          <w:rFonts w:hint="eastAsia" w:ascii="仿宋_GB2312" w:eastAsia="仿宋_GB2312"/>
          <w:b w:val="0"/>
          <w:bCs w:val="0"/>
          <w:sz w:val="32"/>
          <w:szCs w:val="32"/>
          <w:highlight w:val="none"/>
          <w:u w:val="none"/>
        </w:rPr>
        <w:t>机构类信用主体的医疗保障信用评价结果由</w:t>
      </w:r>
      <w:bookmarkStart w:id="1" w:name="_Hlk50535703"/>
      <w:r>
        <w:rPr>
          <w:rFonts w:hint="eastAsia" w:ascii="仿宋_GB2312" w:eastAsia="仿宋_GB2312"/>
          <w:b w:val="0"/>
          <w:bCs w:val="0"/>
          <w:sz w:val="32"/>
          <w:szCs w:val="32"/>
          <w:highlight w:val="none"/>
          <w:u w:val="none"/>
        </w:rPr>
        <w:t>市医疗保障部门</w:t>
      </w:r>
      <w:bookmarkEnd w:id="1"/>
      <w:r>
        <w:rPr>
          <w:rFonts w:hint="eastAsia" w:ascii="仿宋_GB2312" w:eastAsia="仿宋_GB2312"/>
          <w:b w:val="0"/>
          <w:bCs w:val="0"/>
          <w:sz w:val="32"/>
          <w:szCs w:val="32"/>
          <w:highlight w:val="none"/>
          <w:u w:val="none"/>
        </w:rPr>
        <w:t>统一发布</w:t>
      </w:r>
      <w:r>
        <w:rPr>
          <w:rFonts w:hint="eastAsia" w:ascii="仿宋_GB2312" w:eastAsia="仿宋_GB2312"/>
          <w:b w:val="0"/>
          <w:bCs w:val="0"/>
          <w:sz w:val="32"/>
          <w:szCs w:val="32"/>
          <w:highlight w:val="none"/>
          <w:u w:val="none"/>
          <w:lang w:eastAsia="zh-CN"/>
        </w:rPr>
        <w:t>。</w:t>
      </w:r>
    </w:p>
    <w:p>
      <w:pPr>
        <w:spacing w:line="600" w:lineRule="exact"/>
        <w:ind w:firstLine="640" w:firstLineChars="200"/>
        <w:outlineLvl w:val="1"/>
        <w:rPr>
          <w:rFonts w:eastAsia="黑体"/>
          <w:bCs/>
          <w:kern w:val="0"/>
          <w:sz w:val="32"/>
          <w:szCs w:val="32"/>
          <w:highlight w:val="none"/>
          <w:u w:val="none"/>
        </w:rPr>
      </w:pPr>
      <w:r>
        <w:rPr>
          <w:rFonts w:hint="eastAsia" w:eastAsia="黑体"/>
          <w:bCs/>
          <w:kern w:val="0"/>
          <w:sz w:val="32"/>
          <w:szCs w:val="32"/>
          <w:highlight w:val="none"/>
          <w:u w:val="none"/>
        </w:rPr>
        <w:t>五、</w:t>
      </w:r>
      <w:r>
        <w:rPr>
          <w:rFonts w:eastAsia="黑体"/>
          <w:bCs/>
          <w:kern w:val="0"/>
          <w:sz w:val="32"/>
          <w:szCs w:val="32"/>
          <w:highlight w:val="none"/>
          <w:u w:val="none"/>
        </w:rPr>
        <w:t>信用信息应用</w:t>
      </w:r>
    </w:p>
    <w:p>
      <w:pPr>
        <w:widowControl/>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kern w:val="0"/>
          <w:sz w:val="32"/>
          <w:szCs w:val="32"/>
          <w:highlight w:val="none"/>
          <w:u w:val="none"/>
        </w:rPr>
        <w:t xml:space="preserve">（一）建立以信用为基础的新型监管机制，实施分级分类监管。在“双随机、一公开”监管中引用信用评价结果，对于等级为优秀的信用主体，原则上抽查比例不高于原抽查比例的30%；对于等级为良好的信用主体，原则上抽查比例为原抽查比例的50%；对于等级为中等的信用主体，抽查比例保持不变；对于等级为较差信用主体，抽查比例为原抽查比例的120%；对于等级为差的信用主体，进行全覆盖检查。 </w:t>
      </w:r>
    </w:p>
    <w:p>
      <w:pPr>
        <w:widowControl/>
        <w:adjustRightInd w:val="0"/>
        <w:snapToGrid w:val="0"/>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kern w:val="0"/>
          <w:sz w:val="32"/>
          <w:szCs w:val="32"/>
          <w:highlight w:val="none"/>
          <w:u w:val="none"/>
        </w:rPr>
        <w:t>（二）对信用等级为优秀、良好的机构类信用主体，医疗保障部门可给予以下激励：</w:t>
      </w:r>
    </w:p>
    <w:p>
      <w:pPr>
        <w:widowControl/>
        <w:adjustRightInd w:val="0"/>
        <w:snapToGrid w:val="0"/>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kern w:val="0"/>
          <w:sz w:val="32"/>
          <w:szCs w:val="32"/>
          <w:highlight w:val="none"/>
          <w:u w:val="none"/>
        </w:rPr>
        <w:t>1．在各级医疗保障部门官方网站进行公示宣传；</w:t>
      </w:r>
    </w:p>
    <w:p>
      <w:pPr>
        <w:widowControl/>
        <w:adjustRightInd w:val="0"/>
        <w:snapToGrid w:val="0"/>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kern w:val="0"/>
          <w:sz w:val="32"/>
          <w:szCs w:val="32"/>
          <w:highlight w:val="none"/>
          <w:u w:val="none"/>
        </w:rPr>
        <w:t>2．在日常监督检查或抽查中减少检查频次；</w:t>
      </w:r>
    </w:p>
    <w:p>
      <w:pPr>
        <w:widowControl/>
        <w:adjustRightInd w:val="0"/>
        <w:snapToGrid w:val="0"/>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kern w:val="0"/>
          <w:sz w:val="32"/>
          <w:szCs w:val="32"/>
          <w:highlight w:val="none"/>
          <w:u w:val="none"/>
        </w:rPr>
        <w:t>3．适当提高医疗保障基金预拨付额度；</w:t>
      </w:r>
    </w:p>
    <w:p>
      <w:pPr>
        <w:widowControl/>
        <w:adjustRightInd w:val="0"/>
        <w:snapToGrid w:val="0"/>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kern w:val="0"/>
          <w:sz w:val="32"/>
          <w:szCs w:val="32"/>
          <w:highlight w:val="none"/>
          <w:u w:val="none"/>
        </w:rPr>
        <w:t>4．法律、法规、规章等规定的其他激励措施。</w:t>
      </w:r>
    </w:p>
    <w:p>
      <w:pPr>
        <w:widowControl/>
        <w:adjustRightInd w:val="0"/>
        <w:snapToGrid w:val="0"/>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kern w:val="0"/>
          <w:sz w:val="32"/>
          <w:szCs w:val="32"/>
          <w:highlight w:val="none"/>
          <w:u w:val="none"/>
        </w:rPr>
        <w:t>（三）对信用等级为优秀、良好的个人类信用主体，医疗保障部门可给予以下激励：</w:t>
      </w:r>
    </w:p>
    <w:p>
      <w:pPr>
        <w:widowControl/>
        <w:adjustRightInd w:val="0"/>
        <w:snapToGrid w:val="0"/>
        <w:spacing w:line="600" w:lineRule="exact"/>
        <w:ind w:firstLine="640" w:firstLineChars="200"/>
        <w:jc w:val="left"/>
        <w:rPr>
          <w:rFonts w:hint="eastAsia" w:ascii="仿宋_GB2312" w:eastAsia="仿宋_GB2312"/>
          <w:b w:val="0"/>
          <w:bCs w:val="0"/>
          <w:kern w:val="0"/>
          <w:sz w:val="32"/>
          <w:szCs w:val="32"/>
          <w:highlight w:val="none"/>
          <w:u w:val="none"/>
        </w:rPr>
      </w:pPr>
      <w:r>
        <w:rPr>
          <w:rFonts w:hint="eastAsia" w:ascii="仿宋_GB2312" w:eastAsia="仿宋_GB2312"/>
          <w:b w:val="0"/>
          <w:bCs w:val="0"/>
          <w:kern w:val="0"/>
          <w:sz w:val="32"/>
          <w:szCs w:val="32"/>
          <w:highlight w:val="none"/>
          <w:u w:val="none"/>
        </w:rPr>
        <w:t>1．在各级医疗保障部门官方网站进行公示宣传；</w:t>
      </w:r>
    </w:p>
    <w:p>
      <w:pPr>
        <w:widowControl/>
        <w:adjustRightInd w:val="0"/>
        <w:snapToGrid w:val="0"/>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kern w:val="0"/>
          <w:sz w:val="32"/>
          <w:szCs w:val="32"/>
          <w:highlight w:val="none"/>
          <w:u w:val="none"/>
          <w:lang w:val="en-US" w:eastAsia="zh-CN"/>
        </w:rPr>
        <w:t>2</w:t>
      </w:r>
      <w:r>
        <w:rPr>
          <w:rFonts w:hint="eastAsia" w:ascii="仿宋_GB2312" w:eastAsia="仿宋_GB2312"/>
          <w:kern w:val="0"/>
          <w:sz w:val="32"/>
          <w:szCs w:val="32"/>
          <w:highlight w:val="none"/>
          <w:u w:val="none"/>
        </w:rPr>
        <w:t>．提供信用就医、容缺受理服务等措施；</w:t>
      </w:r>
    </w:p>
    <w:p>
      <w:pPr>
        <w:widowControl/>
        <w:adjustRightInd w:val="0"/>
        <w:snapToGrid w:val="0"/>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kern w:val="0"/>
          <w:sz w:val="32"/>
          <w:szCs w:val="32"/>
          <w:highlight w:val="none"/>
          <w:u w:val="none"/>
          <w:lang w:val="en-US" w:eastAsia="zh-CN"/>
        </w:rPr>
        <w:t>3</w:t>
      </w:r>
      <w:r>
        <w:rPr>
          <w:rFonts w:hint="eastAsia" w:ascii="仿宋_GB2312" w:eastAsia="仿宋_GB2312"/>
          <w:kern w:val="0"/>
          <w:sz w:val="32"/>
          <w:szCs w:val="32"/>
          <w:highlight w:val="none"/>
          <w:u w:val="none"/>
        </w:rPr>
        <w:t>．法律、法规、规章等规定的其他激励措施。</w:t>
      </w:r>
    </w:p>
    <w:p>
      <w:pPr>
        <w:widowControl/>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sz w:val="32"/>
          <w:szCs w:val="32"/>
          <w:highlight w:val="none"/>
          <w:u w:val="none"/>
        </w:rPr>
        <w:t>（四）</w:t>
      </w:r>
      <w:r>
        <w:rPr>
          <w:rFonts w:hint="eastAsia" w:ascii="仿宋_GB2312" w:eastAsia="仿宋_GB2312"/>
          <w:kern w:val="0"/>
          <w:sz w:val="32"/>
          <w:szCs w:val="32"/>
          <w:highlight w:val="none"/>
          <w:u w:val="none"/>
        </w:rPr>
        <w:t>对信用等级为较差、差的机构类信用主体，医疗保障部门可给予以下惩戒：</w:t>
      </w:r>
    </w:p>
    <w:p>
      <w:pPr>
        <w:widowControl/>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color w:val="auto"/>
          <w:kern w:val="0"/>
          <w:sz w:val="32"/>
          <w:szCs w:val="32"/>
          <w:highlight w:val="none"/>
          <w:u w:val="none"/>
        </w:rPr>
        <w:t>1．</w:t>
      </w:r>
      <w:r>
        <w:rPr>
          <w:rFonts w:hint="eastAsia" w:ascii="仿宋_GB2312" w:eastAsia="仿宋_GB2312"/>
          <w:kern w:val="0"/>
          <w:sz w:val="32"/>
          <w:szCs w:val="32"/>
          <w:highlight w:val="none"/>
          <w:u w:val="none"/>
        </w:rPr>
        <w:t>列为重点监控和监督检查对象，作为日常监督检查或抽查的重点，增加检查频次；</w:t>
      </w:r>
    </w:p>
    <w:p>
      <w:pPr>
        <w:spacing w:line="600" w:lineRule="exact"/>
        <w:ind w:firstLine="640" w:firstLineChars="200"/>
        <w:rPr>
          <w:rFonts w:ascii="仿宋_GB2312" w:eastAsia="仿宋_GB2312"/>
          <w:b/>
          <w:bCs/>
          <w:i/>
          <w:iCs/>
          <w:sz w:val="28"/>
          <w:szCs w:val="32"/>
          <w:highlight w:val="none"/>
          <w:u w:val="none"/>
        </w:rPr>
      </w:pPr>
      <w:r>
        <w:rPr>
          <w:rFonts w:hint="eastAsia" w:ascii="仿宋_GB2312" w:eastAsia="仿宋_GB2312"/>
          <w:kern w:val="0"/>
          <w:sz w:val="32"/>
          <w:szCs w:val="32"/>
          <w:highlight w:val="none"/>
          <w:u w:val="none"/>
          <w:lang w:val="en-US" w:eastAsia="zh-CN"/>
        </w:rPr>
        <w:t>2</w:t>
      </w:r>
      <w:r>
        <w:rPr>
          <w:rFonts w:hint="eastAsia" w:ascii="仿宋_GB2312" w:eastAsia="仿宋_GB2312"/>
          <w:kern w:val="0"/>
          <w:sz w:val="32"/>
          <w:szCs w:val="32"/>
          <w:highlight w:val="none"/>
          <w:u w:val="none"/>
        </w:rPr>
        <w:t>．依托集中采购平台向采购方提示风险信息；</w:t>
      </w:r>
      <w:r>
        <w:rPr>
          <w:rFonts w:hint="eastAsia" w:ascii="仿宋_GB2312" w:eastAsia="仿宋_GB2312"/>
          <w:b/>
          <w:bCs/>
          <w:i/>
          <w:iCs/>
          <w:sz w:val="28"/>
          <w:szCs w:val="32"/>
          <w:highlight w:val="none"/>
          <w:u w:val="none"/>
        </w:rPr>
        <w:t xml:space="preserve"> </w:t>
      </w:r>
    </w:p>
    <w:p>
      <w:pPr>
        <w:widowControl/>
        <w:spacing w:line="600" w:lineRule="exact"/>
        <w:ind w:firstLine="640" w:firstLineChars="200"/>
        <w:jc w:val="left"/>
        <w:rPr>
          <w:rFonts w:ascii="仿宋_GB2312" w:eastAsia="仿宋_GB2312"/>
          <w:kern w:val="0"/>
          <w:sz w:val="32"/>
          <w:szCs w:val="32"/>
          <w:highlight w:val="none"/>
          <w:u w:val="none"/>
        </w:rPr>
      </w:pPr>
      <w:r>
        <w:rPr>
          <w:rFonts w:hint="eastAsia" w:ascii="仿宋_GB2312" w:hAnsi="仿宋" w:eastAsia="仿宋_GB2312" w:cs="仿宋"/>
          <w:kern w:val="0"/>
          <w:sz w:val="32"/>
          <w:szCs w:val="32"/>
          <w:highlight w:val="none"/>
          <w:u w:val="none"/>
          <w:lang w:val="en-US" w:eastAsia="zh-CN"/>
        </w:rPr>
        <w:t>3</w:t>
      </w:r>
      <w:r>
        <w:rPr>
          <w:rFonts w:hint="eastAsia" w:ascii="仿宋_GB2312" w:hAnsi="仿宋" w:eastAsia="仿宋_GB2312" w:cs="仿宋"/>
          <w:kern w:val="0"/>
          <w:sz w:val="32"/>
          <w:szCs w:val="32"/>
          <w:highlight w:val="none"/>
          <w:u w:val="none"/>
        </w:rPr>
        <w:t>．</w:t>
      </w:r>
      <w:r>
        <w:rPr>
          <w:rFonts w:hint="eastAsia" w:ascii="仿宋_GB2312" w:eastAsia="仿宋_GB2312"/>
          <w:kern w:val="0"/>
          <w:sz w:val="32"/>
          <w:szCs w:val="32"/>
          <w:highlight w:val="none"/>
          <w:u w:val="none"/>
        </w:rPr>
        <w:t>法律、法规、规章等规定的其他惩戒措施。</w:t>
      </w:r>
    </w:p>
    <w:p>
      <w:pPr>
        <w:widowControl/>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sz w:val="32"/>
          <w:szCs w:val="32"/>
          <w:highlight w:val="none"/>
          <w:u w:val="none"/>
        </w:rPr>
        <w:t>（五）</w:t>
      </w:r>
      <w:r>
        <w:rPr>
          <w:rFonts w:hint="eastAsia" w:ascii="仿宋_GB2312" w:eastAsia="仿宋_GB2312"/>
          <w:kern w:val="0"/>
          <w:sz w:val="32"/>
          <w:szCs w:val="32"/>
          <w:highlight w:val="none"/>
          <w:u w:val="none"/>
        </w:rPr>
        <w:t>对信用等级为较差、差的个人类信用主体，医疗保障部门可给予以下惩戒：</w:t>
      </w:r>
    </w:p>
    <w:p>
      <w:pPr>
        <w:widowControl/>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color w:val="auto"/>
          <w:kern w:val="0"/>
          <w:sz w:val="32"/>
          <w:szCs w:val="32"/>
          <w:highlight w:val="none"/>
          <w:u w:val="none"/>
        </w:rPr>
        <w:t>1．</w:t>
      </w:r>
      <w:r>
        <w:rPr>
          <w:rFonts w:hint="eastAsia" w:ascii="仿宋_GB2312" w:eastAsia="仿宋_GB2312"/>
          <w:kern w:val="0"/>
          <w:sz w:val="32"/>
          <w:szCs w:val="32"/>
          <w:highlight w:val="none"/>
          <w:u w:val="none"/>
        </w:rPr>
        <w:t>属于</w:t>
      </w:r>
      <w:r>
        <w:rPr>
          <w:rFonts w:hint="eastAsia" w:ascii="仿宋_GB2312" w:eastAsia="仿宋_GB2312"/>
          <w:sz w:val="32"/>
          <w:szCs w:val="32"/>
          <w:highlight w:val="none"/>
          <w:u w:val="none"/>
        </w:rPr>
        <w:t>提供医保服务的医师、护士（师）、药师等专业从业人员的，</w:t>
      </w:r>
      <w:r>
        <w:rPr>
          <w:rFonts w:hint="eastAsia" w:ascii="仿宋_GB2312" w:hAnsi="仿宋" w:eastAsia="仿宋_GB2312" w:cs="仿宋"/>
          <w:kern w:val="0"/>
          <w:sz w:val="32"/>
          <w:szCs w:val="32"/>
          <w:highlight w:val="none"/>
          <w:u w:val="none"/>
        </w:rPr>
        <w:t>列为重点监管对象，加大对其提供的涉医服务的</w:t>
      </w:r>
      <w:r>
        <w:rPr>
          <w:rFonts w:hint="eastAsia" w:ascii="仿宋_GB2312" w:hAnsi="仿宋_GB2312" w:eastAsia="仿宋_GB2312" w:cs="仿宋_GB2312"/>
          <w:sz w:val="32"/>
          <w:szCs w:val="32"/>
          <w:highlight w:val="none"/>
          <w:u w:val="none"/>
        </w:rPr>
        <w:t>日常检查频度。</w:t>
      </w:r>
    </w:p>
    <w:p>
      <w:pPr>
        <w:widowControl/>
        <w:spacing w:line="600" w:lineRule="exact"/>
        <w:ind w:firstLine="640" w:firstLineChars="200"/>
        <w:jc w:val="left"/>
        <w:rPr>
          <w:rFonts w:hint="eastAsia" w:ascii="仿宋_GB2312" w:hAnsi="仿宋_GB2312" w:eastAsia="仿宋_GB2312" w:cs="仿宋_GB2312"/>
          <w:color w:val="1F2DA8"/>
          <w:sz w:val="32"/>
          <w:szCs w:val="32"/>
          <w:highlight w:val="none"/>
          <w:u w:val="none"/>
          <w:lang w:eastAsia="zh-CN"/>
        </w:rPr>
      </w:pPr>
      <w:r>
        <w:rPr>
          <w:rFonts w:hint="eastAsia" w:ascii="仿宋_GB2312" w:eastAsia="仿宋_GB2312"/>
          <w:kern w:val="0"/>
          <w:sz w:val="32"/>
          <w:szCs w:val="32"/>
          <w:highlight w:val="none"/>
          <w:u w:val="none"/>
        </w:rPr>
        <w:t>2．</w:t>
      </w:r>
      <w:r>
        <w:rPr>
          <w:rFonts w:hint="eastAsia" w:ascii="仿宋_GB2312" w:eastAsia="仿宋_GB2312"/>
          <w:color w:val="auto"/>
          <w:kern w:val="0"/>
          <w:sz w:val="32"/>
          <w:szCs w:val="32"/>
          <w:highlight w:val="none"/>
          <w:u w:val="none"/>
        </w:rPr>
        <w:t>属于参保人员的，</w:t>
      </w:r>
      <w:r>
        <w:rPr>
          <w:rFonts w:hint="eastAsia" w:ascii="仿宋_GB2312" w:hAnsi="仿宋_GB2312" w:eastAsia="仿宋_GB2312" w:cs="仿宋_GB2312"/>
          <w:color w:val="auto"/>
          <w:sz w:val="32"/>
          <w:szCs w:val="32"/>
          <w:highlight w:val="none"/>
          <w:u w:val="none"/>
        </w:rPr>
        <w:t>不适用已实行告知承诺制、容缺受理的医保事项。其中，因</w:t>
      </w:r>
      <w:r>
        <w:rPr>
          <w:rFonts w:hint="eastAsia" w:ascii="仿宋_GB2312" w:hAnsi="仿宋" w:eastAsia="仿宋_GB2312" w:cs="仿宋"/>
          <w:color w:val="auto"/>
          <w:kern w:val="0"/>
          <w:sz w:val="32"/>
          <w:szCs w:val="32"/>
          <w:highlight w:val="none"/>
          <w:u w:val="none"/>
        </w:rPr>
        <w:t>失信行为导致医保基金违规支出的</w:t>
      </w:r>
      <w:r>
        <w:rPr>
          <w:rFonts w:hint="eastAsia" w:ascii="仿宋_GB2312" w:hAnsi="仿宋_GB2312" w:eastAsia="仿宋_GB2312" w:cs="仿宋_GB2312"/>
          <w:color w:val="auto"/>
          <w:sz w:val="32"/>
          <w:szCs w:val="32"/>
          <w:highlight w:val="none"/>
          <w:u w:val="none"/>
        </w:rPr>
        <w:t>，除按规定追回骗取的待遇外，列为医保重点监管对象实施重点监管</w:t>
      </w:r>
      <w:r>
        <w:rPr>
          <w:rFonts w:hint="eastAsia" w:ascii="仿宋_GB2312" w:hAnsi="仿宋_GB2312" w:eastAsia="仿宋_GB2312" w:cs="仿宋_GB2312"/>
          <w:color w:val="auto"/>
          <w:sz w:val="32"/>
          <w:szCs w:val="32"/>
          <w:highlight w:val="none"/>
          <w:u w:val="none"/>
          <w:lang w:eastAsia="zh-CN"/>
        </w:rPr>
        <w:t>；</w:t>
      </w:r>
    </w:p>
    <w:p>
      <w:pPr>
        <w:widowControl/>
        <w:spacing w:line="600" w:lineRule="exact"/>
        <w:ind w:firstLine="640" w:firstLineChars="200"/>
        <w:jc w:val="left"/>
        <w:rPr>
          <w:rFonts w:ascii="仿宋_GB2312" w:eastAsia="仿宋_GB2312"/>
          <w:kern w:val="0"/>
          <w:sz w:val="32"/>
          <w:szCs w:val="32"/>
          <w:highlight w:val="none"/>
          <w:u w:val="none"/>
        </w:rPr>
      </w:pPr>
      <w:r>
        <w:rPr>
          <w:rFonts w:hint="eastAsia" w:ascii="仿宋_GB2312" w:eastAsia="仿宋_GB2312"/>
          <w:color w:val="auto"/>
          <w:kern w:val="0"/>
          <w:sz w:val="32"/>
          <w:szCs w:val="32"/>
          <w:highlight w:val="none"/>
          <w:u w:val="none"/>
        </w:rPr>
        <w:t>3．</w:t>
      </w:r>
      <w:r>
        <w:rPr>
          <w:rFonts w:hint="eastAsia" w:ascii="仿宋_GB2312" w:eastAsia="仿宋_GB2312"/>
          <w:kern w:val="0"/>
          <w:sz w:val="32"/>
          <w:szCs w:val="32"/>
          <w:highlight w:val="none"/>
          <w:u w:val="none"/>
        </w:rPr>
        <w:t>法律、法规、规章等规定的其他惩戒措施。</w:t>
      </w:r>
    </w:p>
    <w:p>
      <w:pPr>
        <w:spacing w:line="600" w:lineRule="exact"/>
        <w:ind w:firstLine="640" w:firstLineChars="200"/>
        <w:outlineLvl w:val="1"/>
        <w:rPr>
          <w:rFonts w:ascii="仿宋_GB2312" w:eastAsia="仿宋_GB2312"/>
          <w:kern w:val="0"/>
          <w:sz w:val="32"/>
          <w:szCs w:val="32"/>
          <w:highlight w:val="none"/>
          <w:u w:val="none"/>
        </w:rPr>
      </w:pPr>
      <w:r>
        <w:rPr>
          <w:rFonts w:hint="eastAsia" w:ascii="仿宋_GB2312" w:eastAsia="仿宋_GB2312"/>
          <w:kern w:val="0"/>
          <w:sz w:val="32"/>
          <w:szCs w:val="32"/>
          <w:highlight w:val="none"/>
          <w:u w:val="none"/>
        </w:rPr>
        <w:t>（</w:t>
      </w:r>
      <w:r>
        <w:rPr>
          <w:rFonts w:hint="eastAsia" w:ascii="仿宋_GB2312" w:eastAsia="仿宋_GB2312"/>
          <w:kern w:val="0"/>
          <w:sz w:val="32"/>
          <w:szCs w:val="32"/>
          <w:highlight w:val="none"/>
          <w:u w:val="none"/>
          <w:lang w:eastAsia="zh-CN"/>
        </w:rPr>
        <w:t>六</w:t>
      </w:r>
      <w:r>
        <w:rPr>
          <w:rFonts w:hint="eastAsia" w:ascii="仿宋_GB2312" w:eastAsia="仿宋_GB2312"/>
          <w:kern w:val="0"/>
          <w:sz w:val="32"/>
          <w:szCs w:val="32"/>
          <w:highlight w:val="none"/>
          <w:u w:val="none"/>
        </w:rPr>
        <w:t>）信用等级保持优秀3年以上的信用主体确定为“医疗保障守信（红）名单”，推送至同级公共信用平台联合激励。</w:t>
      </w:r>
    </w:p>
    <w:p>
      <w:pPr>
        <w:spacing w:line="600" w:lineRule="exact"/>
        <w:ind w:firstLine="640" w:firstLineChars="200"/>
        <w:outlineLvl w:val="1"/>
        <w:rPr>
          <w:rFonts w:ascii="仿宋_GB2312" w:eastAsia="仿宋_GB2312"/>
          <w:sz w:val="32"/>
          <w:szCs w:val="32"/>
          <w:highlight w:val="none"/>
          <w:u w:val="none"/>
        </w:rPr>
      </w:pPr>
      <w:r>
        <w:rPr>
          <w:rFonts w:hint="eastAsia" w:ascii="仿宋_GB2312" w:eastAsia="仿宋_GB2312"/>
          <w:sz w:val="32"/>
          <w:szCs w:val="32"/>
          <w:highlight w:val="none"/>
          <w:u w:val="none"/>
        </w:rPr>
        <w:t>医疗保障部门应积极参与社会信用体系建设，加强与发展改革、大数据、卫生健康、人力资源社会保障、市场监管、税务等部门的联系，建立信用信息共建共享机制，推动医疗保障信用与其他社会信用联动管理。</w:t>
      </w:r>
    </w:p>
    <w:p>
      <w:pPr>
        <w:spacing w:line="600" w:lineRule="exact"/>
        <w:ind w:firstLine="640" w:firstLineChars="200"/>
        <w:outlineLvl w:val="1"/>
        <w:rPr>
          <w:rFonts w:eastAsia="仿宋_GB2312"/>
          <w:sz w:val="32"/>
          <w:szCs w:val="32"/>
          <w:highlight w:val="none"/>
          <w:u w:val="none"/>
        </w:rPr>
      </w:pPr>
      <w:r>
        <w:rPr>
          <w:rFonts w:hint="eastAsia" w:eastAsia="黑体"/>
          <w:bCs/>
          <w:kern w:val="0"/>
          <w:sz w:val="32"/>
          <w:szCs w:val="32"/>
          <w:highlight w:val="none"/>
          <w:u w:val="none"/>
        </w:rPr>
        <w:t>六、</w:t>
      </w:r>
      <w:r>
        <w:rPr>
          <w:rFonts w:eastAsia="黑体"/>
          <w:bCs/>
          <w:kern w:val="0"/>
          <w:sz w:val="32"/>
          <w:szCs w:val="32"/>
          <w:highlight w:val="none"/>
          <w:u w:val="none"/>
        </w:rPr>
        <w:t>信用修复</w:t>
      </w:r>
    </w:p>
    <w:p>
      <w:pPr>
        <w:spacing w:line="600" w:lineRule="exact"/>
        <w:ind w:firstLine="640" w:firstLineChars="200"/>
        <w:jc w:val="left"/>
        <w:textAlignment w:val="baseline"/>
        <w:outlineLvl w:val="1"/>
        <w:rPr>
          <w:rFonts w:ascii="仿宋_GB2312" w:eastAsia="仿宋_GB2312"/>
          <w:sz w:val="32"/>
          <w:szCs w:val="32"/>
          <w:highlight w:val="none"/>
          <w:u w:val="none"/>
        </w:rPr>
      </w:pPr>
      <w:r>
        <w:rPr>
          <w:rFonts w:hint="eastAsia" w:ascii="仿宋_GB2312" w:eastAsia="仿宋_GB2312"/>
          <w:bCs/>
          <w:kern w:val="0"/>
          <w:sz w:val="32"/>
          <w:szCs w:val="32"/>
          <w:highlight w:val="none"/>
          <w:u w:val="none"/>
        </w:rPr>
        <w:t>（一）信用修复是指在失信行为主体主动纠正失信行为，消除不良社会影响，符合规定条件，按照规定程序，依申请获准停止失信记录公示和重塑信用的行为。</w:t>
      </w:r>
    </w:p>
    <w:p>
      <w:pPr>
        <w:spacing w:line="600" w:lineRule="exact"/>
        <w:ind w:firstLine="640" w:firstLineChars="200"/>
        <w:textAlignment w:val="baseline"/>
        <w:outlineLvl w:val="1"/>
        <w:rPr>
          <w:rFonts w:ascii="仿宋_GB2312" w:eastAsia="仿宋_GB2312"/>
          <w:sz w:val="32"/>
          <w:szCs w:val="32"/>
          <w:highlight w:val="none"/>
          <w:u w:val="none"/>
        </w:rPr>
      </w:pPr>
      <w:r>
        <w:rPr>
          <w:rFonts w:hint="eastAsia" w:ascii="仿宋_GB2312" w:eastAsia="仿宋_GB2312"/>
          <w:sz w:val="32"/>
          <w:szCs w:val="32"/>
          <w:highlight w:val="none"/>
          <w:u w:val="none"/>
        </w:rPr>
        <w:t>失信的信用主体已对失信行为进行纠正，按照法律、法规、规章制度履行完毕法定责任或者约定义务，失信行为的不良影响已基本消除，可向做出失信认定的医疗保障部门提出修复申请。失信的信用主体应提供完整、真实、合法的信用修复申请材料，并承诺不再发生同类失信行为。法律、法规、规章另有规定的从其规定。</w:t>
      </w:r>
    </w:p>
    <w:p>
      <w:pPr>
        <w:spacing w:line="600" w:lineRule="exact"/>
        <w:ind w:firstLine="640" w:firstLineChars="200"/>
        <w:textAlignment w:val="baseline"/>
        <w:outlineLvl w:val="1"/>
        <w:rPr>
          <w:rFonts w:ascii="仿宋_GB2312" w:eastAsia="仿宋_GB2312"/>
          <w:sz w:val="32"/>
          <w:szCs w:val="32"/>
          <w:highlight w:val="none"/>
          <w:u w:val="none"/>
        </w:rPr>
      </w:pPr>
      <w:r>
        <w:rPr>
          <w:rFonts w:hint="eastAsia" w:ascii="仿宋_GB2312" w:eastAsia="仿宋_GB2312"/>
          <w:sz w:val="32"/>
          <w:szCs w:val="32"/>
          <w:highlight w:val="none"/>
          <w:u w:val="none"/>
        </w:rPr>
        <w:t>（二）失信的信用主体有下列情形之一的，不予以信用修复：</w:t>
      </w:r>
    </w:p>
    <w:p>
      <w:pPr>
        <w:spacing w:line="600" w:lineRule="exact"/>
        <w:ind w:firstLine="640" w:firstLineChars="200"/>
        <w:textAlignment w:val="baseline"/>
        <w:outlineLvl w:val="1"/>
        <w:rPr>
          <w:rFonts w:ascii="仿宋_GB2312" w:eastAsia="仿宋_GB2312"/>
          <w:sz w:val="32"/>
          <w:szCs w:val="32"/>
          <w:highlight w:val="none"/>
          <w:u w:val="none"/>
        </w:rPr>
      </w:pPr>
      <w:r>
        <w:rPr>
          <w:rFonts w:hint="eastAsia" w:ascii="仿宋_GB2312" w:eastAsia="仿宋_GB2312"/>
          <w:sz w:val="32"/>
          <w:szCs w:val="32"/>
          <w:highlight w:val="none"/>
          <w:u w:val="none"/>
        </w:rPr>
        <w:t>1．被认定为失信行为之日起，未满6个月的；</w:t>
      </w:r>
    </w:p>
    <w:p>
      <w:pPr>
        <w:spacing w:line="600" w:lineRule="exact"/>
        <w:ind w:firstLine="640" w:firstLineChars="200"/>
        <w:textAlignment w:val="baseline"/>
        <w:outlineLvl w:val="1"/>
        <w:rPr>
          <w:rFonts w:ascii="仿宋_GB2312" w:eastAsia="仿宋_GB2312"/>
          <w:sz w:val="32"/>
          <w:szCs w:val="32"/>
          <w:highlight w:val="none"/>
          <w:u w:val="none"/>
        </w:rPr>
      </w:pPr>
      <w:r>
        <w:rPr>
          <w:rFonts w:hint="eastAsia" w:ascii="仿宋_GB2312" w:eastAsia="仿宋_GB2312"/>
          <w:sz w:val="32"/>
          <w:szCs w:val="32"/>
          <w:highlight w:val="none"/>
          <w:u w:val="none"/>
        </w:rPr>
        <w:t xml:space="preserve">2．失信主体信用修复限期内，再发生同类失信行为的； </w:t>
      </w:r>
    </w:p>
    <w:p>
      <w:pPr>
        <w:spacing w:line="600" w:lineRule="exact"/>
        <w:ind w:firstLine="640" w:firstLineChars="200"/>
        <w:textAlignment w:val="baseline"/>
        <w:outlineLvl w:val="1"/>
        <w:rPr>
          <w:rFonts w:ascii="仿宋_GB2312" w:eastAsia="仿宋_GB2312"/>
          <w:sz w:val="32"/>
          <w:szCs w:val="32"/>
          <w:highlight w:val="none"/>
          <w:u w:val="none"/>
        </w:rPr>
      </w:pPr>
      <w:r>
        <w:rPr>
          <w:rFonts w:hint="eastAsia" w:ascii="仿宋_GB2312" w:eastAsia="仿宋_GB2312"/>
          <w:color w:val="auto"/>
          <w:sz w:val="32"/>
          <w:szCs w:val="32"/>
          <w:highlight w:val="none"/>
          <w:u w:val="none"/>
        </w:rPr>
        <w:t>3．</w:t>
      </w:r>
      <w:r>
        <w:rPr>
          <w:rFonts w:hint="eastAsia" w:ascii="仿宋_GB2312" w:eastAsia="仿宋_GB2312"/>
          <w:sz w:val="32"/>
          <w:szCs w:val="32"/>
          <w:highlight w:val="none"/>
          <w:u w:val="none"/>
        </w:rPr>
        <w:t>依法依规暂不适宜实施信用修复的其他失信行为。</w:t>
      </w:r>
    </w:p>
    <w:p>
      <w:pPr>
        <w:spacing w:line="600" w:lineRule="exact"/>
        <w:ind w:firstLine="640" w:firstLineChars="200"/>
        <w:textAlignment w:val="baseline"/>
        <w:outlineLvl w:val="1"/>
        <w:rPr>
          <w:rFonts w:ascii="仿宋_GB2312" w:eastAsia="仿宋_GB2312"/>
          <w:sz w:val="32"/>
          <w:szCs w:val="32"/>
          <w:highlight w:val="none"/>
          <w:u w:val="none"/>
        </w:rPr>
      </w:pPr>
      <w:r>
        <w:rPr>
          <w:rFonts w:hint="eastAsia" w:ascii="仿宋_GB2312" w:eastAsia="仿宋_GB2312"/>
          <w:sz w:val="32"/>
          <w:szCs w:val="32"/>
          <w:highlight w:val="none"/>
          <w:u w:val="none"/>
        </w:rPr>
        <w:t>（三）失信主体向做出信用评价的医疗保障部门提出信用修复申请并提交以下材料：</w:t>
      </w:r>
    </w:p>
    <w:p>
      <w:pPr>
        <w:spacing w:line="600" w:lineRule="exact"/>
        <w:ind w:firstLine="640" w:firstLineChars="200"/>
        <w:textAlignment w:val="baseline"/>
        <w:outlineLvl w:val="1"/>
        <w:rPr>
          <w:rFonts w:ascii="仿宋_GB2312" w:eastAsia="仿宋_GB2312"/>
          <w:sz w:val="32"/>
          <w:szCs w:val="32"/>
          <w:highlight w:val="none"/>
          <w:u w:val="none"/>
        </w:rPr>
      </w:pPr>
      <w:r>
        <w:rPr>
          <w:rFonts w:hint="eastAsia" w:ascii="仿宋_GB2312" w:eastAsia="仿宋_GB2312"/>
          <w:sz w:val="32"/>
          <w:szCs w:val="32"/>
          <w:highlight w:val="none"/>
          <w:u w:val="none"/>
        </w:rPr>
        <w:t>1．信用修复申请表（附件3）和信用修复承诺书；</w:t>
      </w:r>
    </w:p>
    <w:p>
      <w:pPr>
        <w:spacing w:line="600" w:lineRule="exact"/>
        <w:ind w:firstLine="640" w:firstLineChars="200"/>
        <w:textAlignment w:val="baseline"/>
        <w:outlineLvl w:val="1"/>
        <w:rPr>
          <w:rFonts w:ascii="仿宋_GB2312" w:eastAsia="仿宋_GB2312"/>
          <w:sz w:val="32"/>
          <w:szCs w:val="32"/>
          <w:highlight w:val="none"/>
          <w:u w:val="none"/>
        </w:rPr>
      </w:pPr>
      <w:r>
        <w:rPr>
          <w:rFonts w:hint="eastAsia" w:ascii="仿宋_GB2312" w:eastAsia="仿宋_GB2312"/>
          <w:sz w:val="32"/>
          <w:szCs w:val="32"/>
          <w:highlight w:val="none"/>
          <w:u w:val="none"/>
        </w:rPr>
        <w:t>2．违法违规行为纠正、整改情况的相关证明材料。</w:t>
      </w:r>
    </w:p>
    <w:p>
      <w:pPr>
        <w:spacing w:line="600" w:lineRule="exact"/>
        <w:ind w:firstLine="640" w:firstLineChars="200"/>
        <w:textAlignment w:val="baseline"/>
        <w:outlineLvl w:val="1"/>
        <w:rPr>
          <w:rFonts w:ascii="仿宋_GB2312" w:eastAsia="仿宋_GB2312"/>
          <w:sz w:val="32"/>
          <w:szCs w:val="32"/>
          <w:highlight w:val="none"/>
          <w:u w:val="none"/>
        </w:rPr>
      </w:pPr>
      <w:r>
        <w:rPr>
          <w:rFonts w:hint="eastAsia" w:ascii="仿宋_GB2312" w:eastAsia="仿宋_GB2312"/>
          <w:sz w:val="32"/>
          <w:szCs w:val="32"/>
          <w:highlight w:val="none"/>
          <w:u w:val="none"/>
        </w:rPr>
        <w:t>做出失信认定的医疗保障部门应当在受理信用主体信用修复申请后 10 个工作日内作出处理意见，情况复杂的可以延长最多不超过 30 个工作日。对于符合信用修复条件的予以修复，并在官方网站进行公示，公示期限为5 个工作日。不符合信用修复条件的不予修复，并书面告知（附件4）。公示期满无异议的，按程序信用修复，书面告知（附件5），并停止公示其失信记录，报送同级信用管理部门。</w:t>
      </w:r>
    </w:p>
    <w:p>
      <w:pPr>
        <w:spacing w:line="600" w:lineRule="exact"/>
        <w:ind w:firstLine="640" w:firstLineChars="200"/>
        <w:jc w:val="left"/>
        <w:textAlignment w:val="baseline"/>
        <w:outlineLvl w:val="1"/>
        <w:rPr>
          <w:rFonts w:eastAsia="黑体"/>
          <w:bCs/>
          <w:kern w:val="0"/>
          <w:sz w:val="32"/>
          <w:szCs w:val="32"/>
          <w:highlight w:val="none"/>
          <w:u w:val="none"/>
        </w:rPr>
      </w:pPr>
      <w:r>
        <w:rPr>
          <w:rFonts w:hint="eastAsia" w:eastAsia="黑体"/>
          <w:bCs/>
          <w:kern w:val="0"/>
          <w:sz w:val="32"/>
          <w:szCs w:val="32"/>
          <w:highlight w:val="none"/>
          <w:u w:val="none"/>
        </w:rPr>
        <w:t>七、</w:t>
      </w:r>
      <w:r>
        <w:rPr>
          <w:rFonts w:eastAsia="黑体"/>
          <w:bCs/>
          <w:kern w:val="0"/>
          <w:sz w:val="32"/>
          <w:szCs w:val="32"/>
          <w:highlight w:val="none"/>
          <w:u w:val="none"/>
        </w:rPr>
        <w:t>监督管理</w:t>
      </w:r>
    </w:p>
    <w:p>
      <w:pPr>
        <w:spacing w:line="600" w:lineRule="exact"/>
        <w:ind w:firstLine="640" w:firstLineChars="200"/>
        <w:jc w:val="left"/>
        <w:textAlignment w:val="baseline"/>
        <w:outlineLvl w:val="1"/>
        <w:rPr>
          <w:rFonts w:eastAsia="黑体"/>
          <w:bCs/>
          <w:kern w:val="0"/>
          <w:sz w:val="28"/>
          <w:szCs w:val="32"/>
          <w:highlight w:val="none"/>
          <w:u w:val="none"/>
        </w:rPr>
      </w:pPr>
      <w:r>
        <w:rPr>
          <w:rFonts w:hint="eastAsia" w:eastAsia="仿宋_GB2312"/>
          <w:sz w:val="32"/>
          <w:szCs w:val="32"/>
          <w:highlight w:val="none"/>
          <w:u w:val="none"/>
        </w:rPr>
        <w:t>医疗保障部门、评价机构及其工作人员</w:t>
      </w:r>
      <w:r>
        <w:rPr>
          <w:rFonts w:eastAsia="仿宋_GB2312"/>
          <w:sz w:val="32"/>
          <w:szCs w:val="32"/>
          <w:highlight w:val="none"/>
          <w:u w:val="none"/>
        </w:rPr>
        <w:t>，应当依法履职，确保信息安全</w:t>
      </w:r>
      <w:r>
        <w:rPr>
          <w:rFonts w:hint="eastAsia" w:eastAsia="仿宋_GB2312"/>
          <w:sz w:val="32"/>
          <w:szCs w:val="32"/>
          <w:highlight w:val="none"/>
          <w:u w:val="none"/>
        </w:rPr>
        <w:t>，</w:t>
      </w:r>
      <w:r>
        <w:rPr>
          <w:rFonts w:hint="eastAsia" w:eastAsia="仿宋_GB2312"/>
          <w:kern w:val="0"/>
          <w:sz w:val="32"/>
          <w:szCs w:val="32"/>
          <w:highlight w:val="none"/>
          <w:u w:val="none"/>
        </w:rPr>
        <w:t>畅通投诉举报渠道，规范受理、检查、处理、反馈等工作流程和机制。</w:t>
      </w:r>
      <w:r>
        <w:rPr>
          <w:rFonts w:eastAsia="仿宋_GB2312"/>
          <w:sz w:val="32"/>
          <w:szCs w:val="32"/>
          <w:highlight w:val="none"/>
          <w:u w:val="none"/>
        </w:rPr>
        <w:t>对徇私舞弊、玩忽职守、篡改信息</w:t>
      </w:r>
      <w:r>
        <w:rPr>
          <w:rFonts w:hint="eastAsia" w:eastAsia="仿宋_GB2312"/>
          <w:sz w:val="32"/>
          <w:szCs w:val="32"/>
          <w:highlight w:val="none"/>
          <w:u w:val="none"/>
        </w:rPr>
        <w:t>或以其他违法方式</w:t>
      </w:r>
      <w:r>
        <w:rPr>
          <w:rFonts w:eastAsia="仿宋_GB2312"/>
          <w:sz w:val="32"/>
          <w:szCs w:val="32"/>
          <w:highlight w:val="none"/>
          <w:u w:val="none"/>
        </w:rPr>
        <w:t>，</w:t>
      </w:r>
      <w:r>
        <w:rPr>
          <w:rFonts w:hint="eastAsia" w:eastAsia="仿宋_GB2312"/>
          <w:sz w:val="32"/>
          <w:szCs w:val="32"/>
          <w:highlight w:val="none"/>
          <w:u w:val="none"/>
        </w:rPr>
        <w:t>损害</w:t>
      </w:r>
      <w:r>
        <w:rPr>
          <w:rFonts w:eastAsia="仿宋_GB2312"/>
          <w:sz w:val="32"/>
          <w:szCs w:val="32"/>
          <w:highlight w:val="none"/>
          <w:u w:val="none"/>
        </w:rPr>
        <w:t>信用主体</w:t>
      </w:r>
      <w:r>
        <w:rPr>
          <w:rFonts w:hint="eastAsia" w:eastAsia="仿宋_GB2312"/>
          <w:sz w:val="32"/>
          <w:szCs w:val="32"/>
          <w:highlight w:val="none"/>
          <w:u w:val="none"/>
        </w:rPr>
        <w:t>合法权益</w:t>
      </w:r>
      <w:r>
        <w:rPr>
          <w:rFonts w:eastAsia="仿宋_GB2312"/>
          <w:sz w:val="32"/>
          <w:szCs w:val="32"/>
          <w:highlight w:val="none"/>
          <w:u w:val="none"/>
        </w:rPr>
        <w:t>的相关责任人，按照有关规定给予党纪、政纪处分；构成犯罪的，依法追究刑事责任。</w:t>
      </w:r>
    </w:p>
    <w:p>
      <w:pPr>
        <w:spacing w:line="600" w:lineRule="exact"/>
        <w:ind w:firstLine="640" w:firstLineChars="200"/>
        <w:jc w:val="left"/>
        <w:textAlignment w:val="baseline"/>
        <w:outlineLvl w:val="1"/>
        <w:rPr>
          <w:rFonts w:eastAsia="黑体"/>
          <w:bCs/>
          <w:kern w:val="0"/>
          <w:sz w:val="32"/>
          <w:szCs w:val="32"/>
          <w:highlight w:val="none"/>
          <w:u w:val="none"/>
        </w:rPr>
      </w:pPr>
      <w:r>
        <w:rPr>
          <w:rFonts w:hint="eastAsia" w:eastAsia="黑体"/>
          <w:bCs/>
          <w:kern w:val="0"/>
          <w:sz w:val="32"/>
          <w:szCs w:val="32"/>
          <w:highlight w:val="none"/>
          <w:u w:val="none"/>
        </w:rPr>
        <w:t>八、其他</w:t>
      </w:r>
    </w:p>
    <w:p>
      <w:pPr>
        <w:spacing w:line="600" w:lineRule="exact"/>
        <w:ind w:firstLine="640" w:firstLineChars="200"/>
        <w:textAlignment w:val="baseline"/>
        <w:outlineLvl w:val="1"/>
        <w:rPr>
          <w:rFonts w:ascii="仿宋_GB2312" w:hAnsi="仿宋_GB2312" w:eastAsia="仿宋_GB2312" w:cs="仿宋_GB2312"/>
          <w:sz w:val="32"/>
          <w:szCs w:val="32"/>
          <w:highlight w:val="none"/>
          <w:u w:val="none"/>
        </w:rPr>
      </w:pPr>
      <w:r>
        <w:rPr>
          <w:rFonts w:hint="eastAsia" w:ascii="仿宋_GB2312" w:eastAsia="仿宋_GB2312"/>
          <w:sz w:val="32"/>
          <w:szCs w:val="32"/>
          <w:highlight w:val="none"/>
          <w:u w:val="none"/>
        </w:rPr>
        <w:t>（一）</w:t>
      </w:r>
      <w:r>
        <w:rPr>
          <w:rFonts w:hint="eastAsia" w:ascii="仿宋_GB2312" w:hAnsi="仿宋_GB2312" w:eastAsia="仿宋_GB2312" w:cs="仿宋_GB2312"/>
          <w:sz w:val="32"/>
          <w:szCs w:val="32"/>
          <w:highlight w:val="none"/>
          <w:u w:val="none"/>
        </w:rPr>
        <w:t>涉及生育保险的相关定点医疗机构及其负责人、医师，以及生育保险参保人、待遇享受人，参照本办法执行，信用等级合并评定。</w:t>
      </w:r>
    </w:p>
    <w:p>
      <w:pPr>
        <w:spacing w:line="600" w:lineRule="exact"/>
        <w:ind w:firstLine="640" w:firstLineChars="200"/>
        <w:textAlignment w:val="baseline"/>
        <w:outlineLvl w:val="1"/>
        <w:rPr>
          <w:rFonts w:ascii="仿宋_GB2312" w:eastAsia="仿宋_GB2312"/>
          <w:sz w:val="32"/>
          <w:szCs w:val="32"/>
          <w:highlight w:val="none"/>
          <w:u w:val="none"/>
        </w:rPr>
      </w:pPr>
      <w:r>
        <w:rPr>
          <w:rFonts w:hint="eastAsia" w:ascii="仿宋_GB2312" w:eastAsia="仿宋_GB2312"/>
          <w:sz w:val="32"/>
          <w:szCs w:val="32"/>
          <w:highlight w:val="none"/>
          <w:u w:val="none"/>
        </w:rPr>
        <w:t>（二）机构类信用主体</w:t>
      </w:r>
      <w:r>
        <w:rPr>
          <w:rFonts w:hint="eastAsia" w:ascii="仿宋_GB2312" w:hAnsi="仿宋_GB2312" w:eastAsia="仿宋_GB2312" w:cs="仿宋_GB2312"/>
          <w:sz w:val="32"/>
          <w:szCs w:val="32"/>
          <w:highlight w:val="none"/>
          <w:u w:val="none"/>
        </w:rPr>
        <w:t>的负责人包括</w:t>
      </w:r>
      <w:r>
        <w:rPr>
          <w:rFonts w:hint="eastAsia" w:ascii="仿宋_GB2312" w:eastAsia="仿宋_GB2312"/>
          <w:sz w:val="32"/>
          <w:szCs w:val="32"/>
          <w:highlight w:val="none"/>
          <w:u w:val="none"/>
        </w:rPr>
        <w:t>机构主体法定代表人、主要负责人、实际控制人。</w:t>
      </w:r>
    </w:p>
    <w:p>
      <w:pPr>
        <w:spacing w:line="600" w:lineRule="exact"/>
        <w:ind w:firstLine="640" w:firstLineChars="200"/>
        <w:textAlignment w:val="baseline"/>
        <w:outlineLvl w:val="1"/>
        <w:rPr>
          <w:rFonts w:ascii="仿宋_GB2312" w:eastAsia="仿宋_GB2312"/>
          <w:kern w:val="0"/>
          <w:sz w:val="32"/>
          <w:szCs w:val="32"/>
          <w:highlight w:val="none"/>
          <w:u w:val="none"/>
        </w:rPr>
      </w:pPr>
      <w:r>
        <w:rPr>
          <w:rFonts w:hint="eastAsia" w:ascii="仿宋_GB2312" w:eastAsia="仿宋_GB2312"/>
          <w:sz w:val="32"/>
          <w:szCs w:val="32"/>
          <w:highlight w:val="none"/>
          <w:u w:val="none"/>
        </w:rPr>
        <w:t>（三）</w:t>
      </w:r>
      <w:r>
        <w:rPr>
          <w:rFonts w:hint="eastAsia" w:ascii="仿宋_GB2312" w:eastAsia="仿宋_GB2312"/>
          <w:kern w:val="0"/>
          <w:sz w:val="32"/>
          <w:szCs w:val="32"/>
          <w:highlight w:val="none"/>
          <w:u w:val="none"/>
        </w:rPr>
        <w:t>本办法由衢州市医疗保障局负责解释。</w:t>
      </w:r>
    </w:p>
    <w:p>
      <w:pPr>
        <w:spacing w:line="600" w:lineRule="exact"/>
        <w:ind w:firstLine="640" w:firstLineChars="200"/>
        <w:textAlignment w:val="baseline"/>
        <w:outlineLvl w:val="1"/>
        <w:rPr>
          <w:rFonts w:ascii="仿宋_GB2312" w:eastAsia="仿宋_GB2312"/>
          <w:kern w:val="0"/>
          <w:sz w:val="32"/>
          <w:szCs w:val="32"/>
          <w:highlight w:val="none"/>
          <w:u w:val="none"/>
        </w:rPr>
      </w:pPr>
      <w:r>
        <w:rPr>
          <w:rFonts w:hint="eastAsia" w:ascii="仿宋_GB2312" w:eastAsia="仿宋_GB2312"/>
          <w:sz w:val="32"/>
          <w:szCs w:val="32"/>
          <w:highlight w:val="none"/>
          <w:u w:val="none"/>
        </w:rPr>
        <w:t>（四）</w:t>
      </w:r>
      <w:r>
        <w:rPr>
          <w:rFonts w:hint="eastAsia" w:ascii="仿宋_GB2312" w:eastAsia="仿宋_GB2312"/>
          <w:kern w:val="0"/>
          <w:sz w:val="32"/>
          <w:szCs w:val="32"/>
          <w:highlight w:val="none"/>
          <w:u w:val="none"/>
        </w:rPr>
        <w:t>本办法自202</w:t>
      </w:r>
      <w:r>
        <w:rPr>
          <w:rFonts w:hint="eastAsia" w:ascii="仿宋_GB2312" w:eastAsia="仿宋_GB2312"/>
          <w:kern w:val="0"/>
          <w:sz w:val="32"/>
          <w:szCs w:val="32"/>
          <w:highlight w:val="none"/>
          <w:u w:val="none"/>
          <w:lang w:val="en-US" w:eastAsia="zh-CN"/>
        </w:rPr>
        <w:t>1</w:t>
      </w:r>
      <w:r>
        <w:rPr>
          <w:rFonts w:hint="eastAsia" w:ascii="仿宋_GB2312" w:eastAsia="仿宋_GB2312"/>
          <w:kern w:val="0"/>
          <w:sz w:val="32"/>
          <w:szCs w:val="32"/>
          <w:highlight w:val="none"/>
          <w:u w:val="none"/>
        </w:rPr>
        <w:t>年</w:t>
      </w:r>
      <w:r>
        <w:rPr>
          <w:rFonts w:hint="eastAsia" w:ascii="仿宋_GB2312" w:eastAsia="仿宋_GB2312"/>
          <w:kern w:val="0"/>
          <w:sz w:val="32"/>
          <w:szCs w:val="32"/>
          <w:highlight w:val="none"/>
          <w:u w:val="none"/>
          <w:lang w:val="en-US" w:eastAsia="zh-CN"/>
        </w:rPr>
        <w:t>6</w:t>
      </w:r>
      <w:r>
        <w:rPr>
          <w:rFonts w:hint="eastAsia" w:ascii="仿宋_GB2312" w:eastAsia="仿宋_GB2312"/>
          <w:kern w:val="0"/>
          <w:sz w:val="32"/>
          <w:szCs w:val="32"/>
          <w:highlight w:val="none"/>
          <w:u w:val="none"/>
        </w:rPr>
        <w:t>月</w:t>
      </w:r>
      <w:r>
        <w:rPr>
          <w:rFonts w:hint="eastAsia" w:ascii="仿宋_GB2312" w:eastAsia="仿宋_GB2312"/>
          <w:kern w:val="0"/>
          <w:sz w:val="32"/>
          <w:szCs w:val="32"/>
          <w:highlight w:val="none"/>
          <w:u w:val="none"/>
          <w:lang w:val="en-US" w:eastAsia="zh-CN"/>
        </w:rPr>
        <w:t>20</w:t>
      </w:r>
      <w:r>
        <w:rPr>
          <w:rFonts w:hint="eastAsia" w:ascii="仿宋_GB2312" w:eastAsia="仿宋_GB2312"/>
          <w:kern w:val="0"/>
          <w:sz w:val="32"/>
          <w:szCs w:val="32"/>
          <w:highlight w:val="none"/>
          <w:u w:val="none"/>
        </w:rPr>
        <w:t>日起施行。</w:t>
      </w:r>
    </w:p>
    <w:p>
      <w:pPr>
        <w:spacing w:line="600" w:lineRule="exact"/>
        <w:ind w:firstLine="560" w:firstLineChars="200"/>
        <w:rPr>
          <w:rFonts w:ascii="仿宋_GB2312" w:eastAsia="仿宋_GB2312"/>
          <w:sz w:val="28"/>
          <w:szCs w:val="20"/>
          <w:highlight w:val="none"/>
          <w:u w:val="none"/>
        </w:rPr>
      </w:pPr>
    </w:p>
    <w:p>
      <w:pPr>
        <w:spacing w:line="600" w:lineRule="exact"/>
        <w:ind w:firstLine="640" w:firstLineChars="200"/>
        <w:textAlignment w:val="baseline"/>
        <w:outlineLvl w:val="1"/>
        <w:rPr>
          <w:rFonts w:hint="eastAsia" w:eastAsia="仿宋_GB2312"/>
          <w:kern w:val="0"/>
          <w:sz w:val="32"/>
          <w:szCs w:val="32"/>
          <w:highlight w:val="none"/>
          <w:u w:val="none"/>
        </w:rPr>
      </w:pPr>
      <w:r>
        <w:rPr>
          <w:rFonts w:hint="eastAsia" w:ascii="仿宋_GB2312" w:eastAsia="仿宋_GB2312"/>
          <w:kern w:val="0"/>
          <w:sz w:val="32"/>
          <w:szCs w:val="32"/>
          <w:highlight w:val="none"/>
          <w:u w:val="none"/>
        </w:rPr>
        <w:t>附件：</w:t>
      </w:r>
      <w:r>
        <w:rPr>
          <w:rFonts w:hint="eastAsia" w:eastAsia="仿宋_GB2312"/>
          <w:kern w:val="0"/>
          <w:sz w:val="32"/>
          <w:szCs w:val="32"/>
          <w:highlight w:val="none"/>
          <w:u w:val="none"/>
        </w:rPr>
        <w:t>1. 异议信息处理申请表</w:t>
      </w:r>
    </w:p>
    <w:p>
      <w:pPr>
        <w:spacing w:line="600" w:lineRule="exact"/>
        <w:ind w:firstLine="640" w:firstLineChars="200"/>
        <w:textAlignment w:val="baseline"/>
        <w:outlineLvl w:val="1"/>
        <w:rPr>
          <w:rFonts w:hint="eastAsia" w:ascii="仿宋_GB2312" w:eastAsia="仿宋_GB2312"/>
          <w:kern w:val="0"/>
          <w:sz w:val="32"/>
          <w:szCs w:val="32"/>
          <w:highlight w:val="none"/>
          <w:u w:val="none"/>
        </w:rPr>
      </w:pPr>
      <w:r>
        <w:rPr>
          <w:rFonts w:hint="eastAsia" w:eastAsia="仿宋_GB2312"/>
          <w:kern w:val="0"/>
          <w:sz w:val="32"/>
          <w:szCs w:val="32"/>
          <w:highlight w:val="none"/>
          <w:u w:val="none"/>
        </w:rPr>
        <w:t xml:space="preserve">      2. </w:t>
      </w:r>
      <w:r>
        <w:rPr>
          <w:rFonts w:hint="eastAsia" w:ascii="仿宋_GB2312" w:eastAsia="仿宋_GB2312"/>
          <w:kern w:val="0"/>
          <w:sz w:val="32"/>
          <w:szCs w:val="32"/>
          <w:highlight w:val="none"/>
          <w:u w:val="none"/>
        </w:rPr>
        <w:t>异议信息处理结果反馈单</w:t>
      </w:r>
    </w:p>
    <w:p>
      <w:pPr>
        <w:spacing w:line="600" w:lineRule="exact"/>
        <w:ind w:firstLine="1600" w:firstLineChars="500"/>
        <w:jc w:val="left"/>
        <w:textAlignment w:val="baseline"/>
        <w:outlineLvl w:val="1"/>
        <w:rPr>
          <w:rFonts w:ascii="仿宋_GB2312" w:eastAsia="仿宋_GB2312"/>
          <w:kern w:val="0"/>
          <w:sz w:val="32"/>
          <w:szCs w:val="32"/>
          <w:highlight w:val="none"/>
          <w:u w:val="none"/>
        </w:rPr>
      </w:pPr>
      <w:r>
        <w:rPr>
          <w:rFonts w:hint="eastAsia" w:eastAsia="仿宋_GB2312"/>
          <w:kern w:val="0"/>
          <w:sz w:val="32"/>
          <w:szCs w:val="32"/>
          <w:highlight w:val="none"/>
          <w:u w:val="none"/>
          <w:lang w:val="en-US" w:eastAsia="zh-CN"/>
        </w:rPr>
        <w:t>3</w:t>
      </w:r>
      <w:r>
        <w:rPr>
          <w:rFonts w:hint="eastAsia" w:eastAsia="仿宋_GB2312"/>
          <w:kern w:val="0"/>
          <w:sz w:val="32"/>
          <w:szCs w:val="32"/>
          <w:highlight w:val="none"/>
          <w:u w:val="none"/>
        </w:rPr>
        <w:t>.</w:t>
      </w:r>
      <w:r>
        <w:rPr>
          <w:rFonts w:hint="eastAsia" w:ascii="仿宋_GB2312" w:eastAsia="仿宋_GB2312"/>
          <w:kern w:val="0"/>
          <w:sz w:val="32"/>
          <w:szCs w:val="32"/>
          <w:highlight w:val="none"/>
          <w:u w:val="none"/>
        </w:rPr>
        <w:t xml:space="preserve"> 信用修复申请表</w:t>
      </w:r>
    </w:p>
    <w:p>
      <w:pPr>
        <w:spacing w:line="600" w:lineRule="exact"/>
        <w:ind w:firstLine="640" w:firstLineChars="200"/>
        <w:jc w:val="left"/>
        <w:textAlignment w:val="baseline"/>
        <w:outlineLvl w:val="1"/>
        <w:rPr>
          <w:rFonts w:ascii="仿宋_GB2312" w:eastAsia="仿宋_GB2312"/>
          <w:kern w:val="0"/>
          <w:sz w:val="32"/>
          <w:szCs w:val="32"/>
          <w:highlight w:val="none"/>
          <w:u w:val="none"/>
        </w:rPr>
      </w:pPr>
      <w:r>
        <w:rPr>
          <w:rFonts w:hint="eastAsia" w:ascii="仿宋_GB2312" w:eastAsia="仿宋_GB2312"/>
          <w:kern w:val="0"/>
          <w:sz w:val="32"/>
          <w:szCs w:val="32"/>
          <w:highlight w:val="none"/>
          <w:u w:val="none"/>
        </w:rPr>
        <w:t xml:space="preserve">     </w:t>
      </w:r>
      <w:r>
        <w:rPr>
          <w:rFonts w:hint="eastAsia" w:ascii="仿宋_GB2312" w:eastAsia="仿宋_GB2312"/>
          <w:kern w:val="0"/>
          <w:sz w:val="32"/>
          <w:szCs w:val="32"/>
          <w:highlight w:val="none"/>
          <w:u w:val="none"/>
          <w:lang w:val="en-US" w:eastAsia="zh-CN"/>
        </w:rPr>
        <w:t xml:space="preserve"> </w:t>
      </w:r>
      <w:r>
        <w:rPr>
          <w:rFonts w:hint="eastAsia" w:eastAsia="仿宋_GB2312"/>
          <w:kern w:val="0"/>
          <w:sz w:val="32"/>
          <w:szCs w:val="32"/>
          <w:highlight w:val="none"/>
          <w:u w:val="none"/>
          <w:lang w:val="en-US" w:eastAsia="zh-CN"/>
        </w:rPr>
        <w:t xml:space="preserve">4. </w:t>
      </w:r>
      <w:r>
        <w:rPr>
          <w:rFonts w:hint="eastAsia" w:ascii="仿宋_GB2312" w:eastAsia="仿宋_GB2312"/>
          <w:kern w:val="0"/>
          <w:sz w:val="32"/>
          <w:szCs w:val="32"/>
          <w:highlight w:val="none"/>
          <w:u w:val="none"/>
        </w:rPr>
        <w:t>不予信用修复告知书</w:t>
      </w:r>
    </w:p>
    <w:p>
      <w:pPr>
        <w:spacing w:line="600" w:lineRule="exact"/>
        <w:ind w:firstLine="640" w:firstLineChars="200"/>
        <w:textAlignment w:val="baseline"/>
        <w:outlineLvl w:val="1"/>
        <w:rPr>
          <w:rFonts w:eastAsia="仿宋_GB2312"/>
          <w:kern w:val="0"/>
          <w:sz w:val="32"/>
          <w:szCs w:val="32"/>
          <w:highlight w:val="none"/>
          <w:u w:val="none"/>
        </w:rPr>
      </w:pPr>
      <w:r>
        <w:rPr>
          <w:rFonts w:hint="eastAsia" w:eastAsia="仿宋_GB2312"/>
          <w:kern w:val="0"/>
          <w:sz w:val="32"/>
          <w:szCs w:val="32"/>
          <w:highlight w:val="none"/>
          <w:u w:val="none"/>
        </w:rPr>
        <w:t xml:space="preserve">      </w:t>
      </w:r>
      <w:r>
        <w:rPr>
          <w:rFonts w:hint="eastAsia" w:eastAsia="仿宋_GB2312"/>
          <w:kern w:val="0"/>
          <w:sz w:val="32"/>
          <w:szCs w:val="32"/>
          <w:highlight w:val="none"/>
          <w:u w:val="none"/>
          <w:lang w:val="en-US" w:eastAsia="zh-CN"/>
        </w:rPr>
        <w:t>5</w:t>
      </w:r>
      <w:r>
        <w:rPr>
          <w:rFonts w:hint="eastAsia" w:eastAsia="仿宋_GB2312"/>
          <w:kern w:val="0"/>
          <w:sz w:val="32"/>
          <w:szCs w:val="32"/>
          <w:highlight w:val="none"/>
          <w:u w:val="none"/>
        </w:rPr>
        <w:t>. 信用修复确认通知书</w:t>
      </w:r>
    </w:p>
    <w:p>
      <w:pPr>
        <w:spacing w:line="600" w:lineRule="exact"/>
        <w:ind w:firstLine="640" w:firstLineChars="200"/>
        <w:textAlignment w:val="baseline"/>
        <w:outlineLvl w:val="1"/>
        <w:rPr>
          <w:rFonts w:eastAsia="仿宋_GB2312"/>
          <w:kern w:val="0"/>
          <w:sz w:val="32"/>
          <w:szCs w:val="32"/>
          <w:highlight w:val="none"/>
          <w:u w:val="none"/>
        </w:rPr>
      </w:pPr>
      <w:r>
        <w:rPr>
          <w:rFonts w:hint="eastAsia" w:eastAsia="仿宋_GB2312"/>
          <w:kern w:val="0"/>
          <w:sz w:val="32"/>
          <w:szCs w:val="32"/>
          <w:highlight w:val="none"/>
          <w:u w:val="none"/>
        </w:rPr>
        <w:t xml:space="preserve">      </w:t>
      </w:r>
      <w:r>
        <w:rPr>
          <w:rFonts w:hint="eastAsia" w:eastAsia="仿宋_GB2312"/>
          <w:kern w:val="0"/>
          <w:sz w:val="32"/>
          <w:szCs w:val="32"/>
          <w:highlight w:val="none"/>
          <w:u w:val="none"/>
          <w:lang w:val="en-US" w:eastAsia="zh-CN"/>
        </w:rPr>
        <w:t>6</w:t>
      </w:r>
      <w:r>
        <w:rPr>
          <w:rFonts w:hint="eastAsia" w:eastAsia="仿宋_GB2312"/>
          <w:kern w:val="0"/>
          <w:sz w:val="32"/>
          <w:szCs w:val="32"/>
          <w:highlight w:val="none"/>
          <w:u w:val="none"/>
        </w:rPr>
        <w:t>、定点零售药店信用指标评分标准</w:t>
      </w:r>
    </w:p>
    <w:p>
      <w:pPr>
        <w:spacing w:line="600" w:lineRule="exact"/>
        <w:ind w:firstLine="640" w:firstLineChars="200"/>
        <w:textAlignment w:val="baseline"/>
        <w:outlineLvl w:val="1"/>
        <w:rPr>
          <w:rFonts w:eastAsia="仿宋_GB2312"/>
          <w:kern w:val="0"/>
          <w:sz w:val="32"/>
          <w:szCs w:val="32"/>
          <w:highlight w:val="none"/>
          <w:u w:val="none"/>
        </w:rPr>
      </w:pPr>
      <w:r>
        <w:rPr>
          <w:rFonts w:hint="eastAsia" w:eastAsia="仿宋_GB2312"/>
          <w:kern w:val="0"/>
          <w:sz w:val="32"/>
          <w:szCs w:val="32"/>
          <w:highlight w:val="none"/>
          <w:u w:val="none"/>
        </w:rPr>
        <w:t xml:space="preserve">      </w:t>
      </w:r>
      <w:r>
        <w:rPr>
          <w:rFonts w:hint="eastAsia" w:eastAsia="仿宋_GB2312"/>
          <w:kern w:val="0"/>
          <w:sz w:val="32"/>
          <w:szCs w:val="32"/>
          <w:highlight w:val="none"/>
          <w:u w:val="none"/>
          <w:lang w:val="en-US" w:eastAsia="zh-CN"/>
        </w:rPr>
        <w:t>7</w:t>
      </w:r>
      <w:r>
        <w:rPr>
          <w:rFonts w:hint="eastAsia" w:eastAsia="仿宋_GB2312"/>
          <w:kern w:val="0"/>
          <w:sz w:val="32"/>
          <w:szCs w:val="32"/>
          <w:highlight w:val="none"/>
          <w:u w:val="none"/>
        </w:rPr>
        <w:t>、医保医师信用指标评分标准</w:t>
      </w:r>
    </w:p>
    <w:p>
      <w:pPr>
        <w:spacing w:line="600" w:lineRule="exact"/>
        <w:ind w:firstLine="640" w:firstLineChars="200"/>
        <w:textAlignment w:val="baseline"/>
        <w:outlineLvl w:val="1"/>
        <w:rPr>
          <w:rFonts w:eastAsia="仿宋_GB2312"/>
          <w:kern w:val="0"/>
          <w:sz w:val="32"/>
          <w:szCs w:val="32"/>
          <w:highlight w:val="none"/>
          <w:u w:val="none"/>
        </w:rPr>
      </w:pPr>
      <w:r>
        <w:rPr>
          <w:rFonts w:hint="eastAsia" w:eastAsia="仿宋_GB2312"/>
          <w:kern w:val="0"/>
          <w:sz w:val="32"/>
          <w:szCs w:val="32"/>
          <w:highlight w:val="none"/>
          <w:u w:val="none"/>
        </w:rPr>
        <w:t xml:space="preserve">      </w:t>
      </w:r>
      <w:r>
        <w:rPr>
          <w:rFonts w:hint="eastAsia" w:eastAsia="仿宋_GB2312"/>
          <w:kern w:val="0"/>
          <w:sz w:val="32"/>
          <w:szCs w:val="32"/>
          <w:highlight w:val="none"/>
          <w:u w:val="none"/>
          <w:lang w:val="en-US" w:eastAsia="zh-CN"/>
        </w:rPr>
        <w:t>8</w:t>
      </w:r>
      <w:r>
        <w:rPr>
          <w:rFonts w:hint="eastAsia" w:eastAsia="仿宋_GB2312"/>
          <w:kern w:val="0"/>
          <w:sz w:val="32"/>
          <w:szCs w:val="32"/>
          <w:highlight w:val="none"/>
          <w:u w:val="none"/>
        </w:rPr>
        <w:t>、医疗机构信用指标评分标准</w:t>
      </w:r>
    </w:p>
    <w:p>
      <w:pPr>
        <w:spacing w:line="600" w:lineRule="exact"/>
        <w:ind w:firstLine="640" w:firstLineChars="200"/>
        <w:textAlignment w:val="baseline"/>
        <w:outlineLvl w:val="1"/>
        <w:rPr>
          <w:rFonts w:eastAsia="仿宋_GB2312"/>
          <w:kern w:val="0"/>
          <w:sz w:val="32"/>
          <w:szCs w:val="32"/>
          <w:highlight w:val="none"/>
          <w:u w:val="none"/>
        </w:rPr>
      </w:pPr>
      <w:r>
        <w:rPr>
          <w:rFonts w:hint="eastAsia" w:eastAsia="仿宋_GB2312"/>
          <w:kern w:val="0"/>
          <w:sz w:val="32"/>
          <w:szCs w:val="32"/>
          <w:highlight w:val="none"/>
          <w:u w:val="none"/>
        </w:rPr>
        <w:t xml:space="preserve">      </w:t>
      </w:r>
      <w:r>
        <w:rPr>
          <w:rFonts w:hint="eastAsia" w:eastAsia="仿宋_GB2312"/>
          <w:kern w:val="0"/>
          <w:sz w:val="32"/>
          <w:szCs w:val="32"/>
          <w:highlight w:val="none"/>
          <w:u w:val="none"/>
          <w:lang w:val="en-US" w:eastAsia="zh-CN"/>
        </w:rPr>
        <w:t>9</w:t>
      </w:r>
      <w:r>
        <w:rPr>
          <w:rFonts w:hint="eastAsia" w:eastAsia="仿宋_GB2312"/>
          <w:kern w:val="0"/>
          <w:sz w:val="32"/>
          <w:szCs w:val="32"/>
          <w:highlight w:val="none"/>
          <w:u w:val="none"/>
        </w:rPr>
        <w:t>、定点医药机构负责人信用指标评分标准</w:t>
      </w:r>
    </w:p>
    <w:p>
      <w:pPr>
        <w:spacing w:line="600" w:lineRule="exact"/>
        <w:ind w:firstLine="640" w:firstLineChars="200"/>
        <w:textAlignment w:val="baseline"/>
        <w:outlineLvl w:val="1"/>
        <w:rPr>
          <w:rFonts w:eastAsia="仿宋_GB2312"/>
          <w:kern w:val="0"/>
          <w:sz w:val="32"/>
          <w:szCs w:val="32"/>
          <w:highlight w:val="none"/>
          <w:u w:val="none"/>
        </w:rPr>
      </w:pPr>
      <w:r>
        <w:rPr>
          <w:rFonts w:hint="eastAsia" w:eastAsia="仿宋_GB2312"/>
          <w:kern w:val="0"/>
          <w:sz w:val="32"/>
          <w:szCs w:val="32"/>
          <w:highlight w:val="none"/>
          <w:u w:val="none"/>
        </w:rPr>
        <w:t xml:space="preserve">      1</w:t>
      </w:r>
      <w:r>
        <w:rPr>
          <w:rFonts w:hint="eastAsia" w:eastAsia="仿宋_GB2312"/>
          <w:kern w:val="0"/>
          <w:sz w:val="32"/>
          <w:szCs w:val="32"/>
          <w:highlight w:val="none"/>
          <w:u w:val="none"/>
          <w:lang w:val="en-US" w:eastAsia="zh-CN"/>
        </w:rPr>
        <w:t>0</w:t>
      </w:r>
      <w:r>
        <w:rPr>
          <w:rFonts w:hint="eastAsia" w:eastAsia="仿宋_GB2312"/>
          <w:kern w:val="0"/>
          <w:sz w:val="32"/>
          <w:szCs w:val="32"/>
          <w:highlight w:val="none"/>
          <w:u w:val="none"/>
        </w:rPr>
        <w:t>、医保参保人信用指标评分标准</w:t>
      </w:r>
    </w:p>
    <w:p>
      <w:pPr>
        <w:spacing w:line="660" w:lineRule="exact"/>
        <w:ind w:firstLine="560" w:firstLineChars="200"/>
        <w:rPr>
          <w:rFonts w:eastAsia="仿宋_GB2312"/>
          <w:sz w:val="28"/>
          <w:szCs w:val="20"/>
          <w:highlight w:val="none"/>
          <w:u w:val="none"/>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spacing w:line="560" w:lineRule="exact"/>
        <w:rPr>
          <w:rFonts w:ascii="宋体" w:hAnsi="宋体"/>
          <w:sz w:val="32"/>
          <w:szCs w:val="21"/>
          <w:highlight w:val="none"/>
          <w:u w:val="none"/>
        </w:rPr>
      </w:pPr>
      <w:r>
        <w:rPr>
          <w:rFonts w:hint="eastAsia" w:ascii="宋体" w:hAnsi="宋体"/>
          <w:sz w:val="32"/>
          <w:szCs w:val="21"/>
          <w:highlight w:val="none"/>
          <w:u w:val="none"/>
        </w:rPr>
        <w:t>附件1</w:t>
      </w:r>
    </w:p>
    <w:p>
      <w:pPr>
        <w:spacing w:line="560" w:lineRule="exact"/>
        <w:ind w:firstLine="880" w:firstLineChars="200"/>
        <w:jc w:val="center"/>
        <w:rPr>
          <w:rFonts w:ascii="方正小标宋简体" w:hAnsi="方正小标宋简体" w:eastAsia="方正小标宋简体"/>
          <w:sz w:val="44"/>
          <w:szCs w:val="44"/>
          <w:highlight w:val="none"/>
          <w:u w:val="none"/>
        </w:rPr>
      </w:pPr>
      <w:r>
        <w:rPr>
          <w:rFonts w:hint="eastAsia" w:ascii="方正小标宋简体" w:hAnsi="方正小标宋简体" w:eastAsia="方正小标宋简体"/>
          <w:sz w:val="44"/>
          <w:szCs w:val="44"/>
          <w:highlight w:val="none"/>
          <w:u w:val="none"/>
        </w:rPr>
        <w:t>异议信息处理申请表</w:t>
      </w:r>
    </w:p>
    <w:p>
      <w:pPr>
        <w:spacing w:line="500" w:lineRule="exact"/>
        <w:ind w:firstLine="640" w:firstLineChars="200"/>
        <w:jc w:val="center"/>
        <w:rPr>
          <w:rFonts w:ascii="黑体" w:hAnsi="黑体" w:eastAsia="黑体"/>
          <w:sz w:val="32"/>
          <w:szCs w:val="32"/>
          <w:highlight w:val="none"/>
          <w:u w:val="none"/>
        </w:rPr>
      </w:pPr>
      <w:r>
        <w:rPr>
          <w:rFonts w:hint="eastAsia" w:ascii="黑体" w:hAnsi="黑体" w:eastAsia="黑体"/>
          <w:sz w:val="32"/>
          <w:szCs w:val="32"/>
          <w:highlight w:val="none"/>
          <w:u w:val="none"/>
        </w:rPr>
        <w:t xml:space="preserve"> </w:t>
      </w:r>
      <w:r>
        <w:rPr>
          <w:rFonts w:ascii="黑体" w:hAnsi="黑体" w:eastAsia="黑体"/>
          <w:sz w:val="32"/>
          <w:szCs w:val="32"/>
          <w:highlight w:val="none"/>
          <w:u w:val="none"/>
        </w:rPr>
        <w:t xml:space="preserve">                     </w:t>
      </w:r>
    </w:p>
    <w:tbl>
      <w:tblPr>
        <w:tblStyle w:val="6"/>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2208"/>
        <w:gridCol w:w="1684"/>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177" w:type="dxa"/>
            <w:vAlign w:val="center"/>
          </w:tcPr>
          <w:p>
            <w:pPr>
              <w:spacing w:line="500" w:lineRule="exact"/>
              <w:rPr>
                <w:rFonts w:ascii="黑体" w:hAnsi="黑体" w:eastAsia="黑体"/>
                <w:sz w:val="32"/>
                <w:szCs w:val="32"/>
                <w:highlight w:val="none"/>
                <w:u w:val="none"/>
              </w:rPr>
            </w:pPr>
            <w:r>
              <w:rPr>
                <w:rFonts w:hint="eastAsia" w:ascii="黑体" w:hAnsi="黑体" w:eastAsia="黑体"/>
                <w:sz w:val="32"/>
                <w:szCs w:val="32"/>
                <w:highlight w:val="none"/>
                <w:u w:val="none"/>
              </w:rPr>
              <w:t>申请单位（人）</w:t>
            </w:r>
          </w:p>
        </w:tc>
        <w:tc>
          <w:tcPr>
            <w:tcW w:w="6598" w:type="dxa"/>
            <w:gridSpan w:val="3"/>
            <w:vAlign w:val="top"/>
          </w:tcPr>
          <w:p>
            <w:pPr>
              <w:spacing w:line="500" w:lineRule="exact"/>
              <w:ind w:firstLine="640" w:firstLineChars="200"/>
              <w:jc w:val="left"/>
              <w:rPr>
                <w:rFonts w:ascii="黑体" w:hAnsi="黑体" w:eastAsia="黑体"/>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177" w:type="dxa"/>
            <w:vAlign w:val="center"/>
          </w:tcPr>
          <w:p>
            <w:pPr>
              <w:spacing w:line="500" w:lineRule="exact"/>
              <w:rPr>
                <w:rFonts w:ascii="黑体" w:hAnsi="黑体" w:eastAsia="黑体"/>
                <w:sz w:val="32"/>
                <w:szCs w:val="32"/>
                <w:highlight w:val="none"/>
                <w:u w:val="none"/>
              </w:rPr>
            </w:pPr>
            <w:r>
              <w:rPr>
                <w:rFonts w:hint="eastAsia" w:ascii="黑体" w:hAnsi="黑体" w:eastAsia="黑体"/>
                <w:sz w:val="32"/>
                <w:szCs w:val="32"/>
                <w:highlight w:val="none"/>
                <w:u w:val="none"/>
              </w:rPr>
              <w:t>联系人</w:t>
            </w:r>
          </w:p>
        </w:tc>
        <w:tc>
          <w:tcPr>
            <w:tcW w:w="2208" w:type="dxa"/>
            <w:vAlign w:val="top"/>
          </w:tcPr>
          <w:p>
            <w:pPr>
              <w:spacing w:line="500" w:lineRule="exact"/>
              <w:ind w:firstLine="640" w:firstLineChars="200"/>
              <w:jc w:val="left"/>
              <w:rPr>
                <w:rFonts w:ascii="黑体" w:hAnsi="黑体" w:eastAsia="黑体"/>
                <w:sz w:val="32"/>
                <w:szCs w:val="32"/>
                <w:highlight w:val="none"/>
                <w:u w:val="none"/>
              </w:rPr>
            </w:pPr>
          </w:p>
        </w:tc>
        <w:tc>
          <w:tcPr>
            <w:tcW w:w="1684" w:type="dxa"/>
            <w:vAlign w:val="center"/>
          </w:tcPr>
          <w:p>
            <w:pPr>
              <w:spacing w:line="500" w:lineRule="exact"/>
              <w:rPr>
                <w:rFonts w:ascii="黑体" w:hAnsi="黑体" w:eastAsia="黑体"/>
                <w:sz w:val="32"/>
                <w:szCs w:val="32"/>
                <w:highlight w:val="none"/>
                <w:u w:val="none"/>
              </w:rPr>
            </w:pPr>
            <w:r>
              <w:rPr>
                <w:rFonts w:hint="eastAsia" w:ascii="黑体" w:hAnsi="黑体" w:eastAsia="黑体"/>
                <w:sz w:val="32"/>
                <w:szCs w:val="32"/>
                <w:highlight w:val="none"/>
                <w:u w:val="none"/>
              </w:rPr>
              <w:t>联系方式</w:t>
            </w:r>
          </w:p>
        </w:tc>
        <w:tc>
          <w:tcPr>
            <w:tcW w:w="2706" w:type="dxa"/>
            <w:vAlign w:val="top"/>
          </w:tcPr>
          <w:p>
            <w:pPr>
              <w:spacing w:line="500" w:lineRule="exact"/>
              <w:ind w:firstLine="640" w:firstLineChars="200"/>
              <w:jc w:val="left"/>
              <w:rPr>
                <w:rFonts w:ascii="黑体" w:hAnsi="黑体" w:eastAsia="黑体"/>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2177" w:type="dxa"/>
            <w:vAlign w:val="center"/>
          </w:tcPr>
          <w:p>
            <w:pPr>
              <w:spacing w:line="500" w:lineRule="exact"/>
              <w:ind w:firstLine="160" w:firstLineChars="50"/>
              <w:rPr>
                <w:rFonts w:ascii="黑体" w:hAnsi="黑体" w:eastAsia="黑体"/>
                <w:sz w:val="32"/>
                <w:szCs w:val="32"/>
                <w:highlight w:val="none"/>
                <w:u w:val="none"/>
              </w:rPr>
            </w:pPr>
            <w:r>
              <w:rPr>
                <w:rFonts w:hint="eastAsia" w:ascii="黑体" w:hAnsi="黑体" w:eastAsia="黑体"/>
                <w:sz w:val="32"/>
                <w:szCs w:val="32"/>
                <w:highlight w:val="none"/>
                <w:u w:val="none"/>
              </w:rPr>
              <w:t>异议信息</w:t>
            </w:r>
          </w:p>
          <w:p>
            <w:pPr>
              <w:spacing w:line="500" w:lineRule="exact"/>
              <w:ind w:firstLine="480" w:firstLineChars="150"/>
              <w:rPr>
                <w:rFonts w:ascii="黑体" w:hAnsi="黑体" w:eastAsia="黑体"/>
                <w:sz w:val="32"/>
                <w:szCs w:val="32"/>
                <w:highlight w:val="none"/>
                <w:u w:val="none"/>
              </w:rPr>
            </w:pPr>
            <w:r>
              <w:rPr>
                <w:rFonts w:hint="eastAsia" w:ascii="黑体" w:hAnsi="黑体" w:eastAsia="黑体"/>
                <w:sz w:val="32"/>
                <w:szCs w:val="32"/>
                <w:highlight w:val="none"/>
                <w:u w:val="none"/>
              </w:rPr>
              <w:t>描述</w:t>
            </w:r>
          </w:p>
        </w:tc>
        <w:tc>
          <w:tcPr>
            <w:tcW w:w="6598" w:type="dxa"/>
            <w:gridSpan w:val="3"/>
            <w:vAlign w:val="top"/>
          </w:tcPr>
          <w:p>
            <w:pPr>
              <w:spacing w:line="500" w:lineRule="exact"/>
              <w:ind w:firstLine="640" w:firstLineChars="200"/>
              <w:jc w:val="left"/>
              <w:rPr>
                <w:rFonts w:ascii="黑体" w:hAnsi="黑体" w:eastAsia="黑体"/>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177" w:type="dxa"/>
            <w:vAlign w:val="center"/>
          </w:tcPr>
          <w:p>
            <w:pPr>
              <w:spacing w:line="500" w:lineRule="exact"/>
              <w:ind w:firstLine="320" w:firstLineChars="100"/>
              <w:rPr>
                <w:rFonts w:ascii="黑体" w:hAnsi="黑体" w:eastAsia="黑体"/>
                <w:sz w:val="32"/>
                <w:szCs w:val="32"/>
                <w:highlight w:val="none"/>
                <w:u w:val="none"/>
              </w:rPr>
            </w:pPr>
            <w:r>
              <w:rPr>
                <w:rFonts w:hint="eastAsia" w:ascii="黑体" w:hAnsi="黑体" w:eastAsia="黑体"/>
                <w:sz w:val="32"/>
                <w:szCs w:val="32"/>
                <w:highlight w:val="none"/>
                <w:u w:val="none"/>
              </w:rPr>
              <w:t>申请理由</w:t>
            </w:r>
          </w:p>
          <w:p>
            <w:pPr>
              <w:spacing w:line="500" w:lineRule="exact"/>
              <w:ind w:firstLine="160" w:firstLineChars="50"/>
              <w:rPr>
                <w:rFonts w:ascii="黑体" w:hAnsi="黑体" w:eastAsia="黑体"/>
                <w:sz w:val="32"/>
                <w:szCs w:val="32"/>
                <w:highlight w:val="none"/>
                <w:u w:val="none"/>
              </w:rPr>
            </w:pPr>
            <w:r>
              <w:rPr>
                <w:rFonts w:hint="eastAsia" w:ascii="黑体" w:hAnsi="黑体" w:eastAsia="黑体"/>
                <w:sz w:val="32"/>
                <w:szCs w:val="32"/>
                <w:highlight w:val="none"/>
                <w:u w:val="none"/>
              </w:rPr>
              <w:t>（可附页）</w:t>
            </w:r>
          </w:p>
        </w:tc>
        <w:tc>
          <w:tcPr>
            <w:tcW w:w="6598" w:type="dxa"/>
            <w:gridSpan w:val="3"/>
            <w:vAlign w:val="top"/>
          </w:tcPr>
          <w:p>
            <w:pPr>
              <w:spacing w:line="500" w:lineRule="exact"/>
              <w:ind w:firstLine="640" w:firstLineChars="200"/>
              <w:jc w:val="right"/>
              <w:rPr>
                <w:rFonts w:ascii="仿宋_GB2312" w:hAnsi="黑体" w:eastAsia="仿宋_GB2312"/>
                <w:sz w:val="32"/>
                <w:szCs w:val="32"/>
                <w:highlight w:val="none"/>
                <w:u w:val="none"/>
              </w:rPr>
            </w:pPr>
          </w:p>
          <w:p>
            <w:pPr>
              <w:spacing w:line="500" w:lineRule="exact"/>
              <w:ind w:right="640" w:firstLine="640" w:firstLineChars="200"/>
              <w:jc w:val="right"/>
              <w:rPr>
                <w:rFonts w:ascii="仿宋_GB2312" w:hAnsi="黑体" w:eastAsia="仿宋_GB2312"/>
                <w:sz w:val="32"/>
                <w:szCs w:val="32"/>
                <w:highlight w:val="none"/>
                <w:u w:val="none"/>
              </w:rPr>
            </w:pPr>
          </w:p>
          <w:p>
            <w:pPr>
              <w:spacing w:line="500" w:lineRule="exact"/>
              <w:ind w:firstLine="640" w:firstLineChars="200"/>
              <w:jc w:val="right"/>
              <w:rPr>
                <w:rFonts w:ascii="仿宋_GB2312" w:hAnsi="黑体" w:eastAsia="仿宋_GB2312"/>
                <w:sz w:val="32"/>
                <w:szCs w:val="32"/>
                <w:highlight w:val="none"/>
                <w:u w:val="none"/>
              </w:rPr>
            </w:pPr>
          </w:p>
          <w:p>
            <w:pPr>
              <w:spacing w:line="500" w:lineRule="exact"/>
              <w:ind w:right="280" w:firstLine="560" w:firstLineChars="200"/>
              <w:jc w:val="right"/>
              <w:rPr>
                <w:rFonts w:ascii="仿宋_GB2312" w:hAnsi="黑体" w:eastAsia="仿宋_GB2312"/>
                <w:sz w:val="28"/>
                <w:szCs w:val="28"/>
                <w:highlight w:val="none"/>
                <w:u w:val="none"/>
              </w:rPr>
            </w:pPr>
            <w:r>
              <w:rPr>
                <w:rFonts w:hint="eastAsia" w:ascii="仿宋_GB2312" w:hAnsi="黑体" w:eastAsia="仿宋_GB2312"/>
                <w:sz w:val="28"/>
                <w:szCs w:val="28"/>
                <w:highlight w:val="none"/>
                <w:u w:val="none"/>
              </w:rPr>
              <w:t xml:space="preserve">年   月   日 </w:t>
            </w:r>
          </w:p>
          <w:p>
            <w:pPr>
              <w:spacing w:line="500" w:lineRule="exact"/>
              <w:ind w:right="560" w:firstLine="560" w:firstLineChars="200"/>
              <w:jc w:val="right"/>
              <w:rPr>
                <w:rFonts w:ascii="黑体" w:hAnsi="黑体" w:eastAsia="黑体"/>
                <w:sz w:val="32"/>
                <w:szCs w:val="32"/>
                <w:highlight w:val="none"/>
                <w:u w:val="none"/>
              </w:rPr>
            </w:pPr>
            <w:r>
              <w:rPr>
                <w:rFonts w:hint="eastAsia" w:ascii="仿宋_GB2312" w:hAnsi="黑体" w:eastAsia="仿宋_GB2312"/>
                <w:sz w:val="28"/>
                <w:szCs w:val="28"/>
                <w:highlight w:val="none"/>
                <w:u w:val="none"/>
              </w:rPr>
              <w:t>（盖章）</w:t>
            </w:r>
            <w:r>
              <w:rPr>
                <w:rFonts w:hint="eastAsia" w:ascii="仿宋_GB2312" w:hAnsi="黑体" w:eastAsia="仿宋_GB2312"/>
                <w:sz w:val="32"/>
                <w:szCs w:val="32"/>
                <w:highlight w:val="none"/>
                <w:u w:val="none"/>
              </w:rPr>
              <w:t xml:space="preserve"> </w:t>
            </w:r>
            <w:r>
              <w:rPr>
                <w:rFonts w:ascii="仿宋_GB2312" w:hAnsi="黑体" w:eastAsia="仿宋_GB2312"/>
                <w:sz w:val="32"/>
                <w:szCs w:val="32"/>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2177" w:type="dxa"/>
            <w:vAlign w:val="center"/>
          </w:tcPr>
          <w:p>
            <w:pPr>
              <w:spacing w:line="500" w:lineRule="exact"/>
              <w:ind w:firstLine="320" w:firstLineChars="100"/>
              <w:rPr>
                <w:rFonts w:ascii="黑体" w:hAnsi="黑体" w:eastAsia="黑体"/>
                <w:sz w:val="32"/>
                <w:szCs w:val="32"/>
                <w:highlight w:val="none"/>
                <w:u w:val="none"/>
              </w:rPr>
            </w:pPr>
            <w:r>
              <w:rPr>
                <w:rFonts w:hint="eastAsia" w:ascii="黑体" w:hAnsi="黑体" w:eastAsia="黑体"/>
                <w:sz w:val="32"/>
                <w:szCs w:val="32"/>
                <w:highlight w:val="none"/>
                <w:u w:val="none"/>
              </w:rPr>
              <w:t>信用承诺</w:t>
            </w:r>
          </w:p>
        </w:tc>
        <w:tc>
          <w:tcPr>
            <w:tcW w:w="6598" w:type="dxa"/>
            <w:gridSpan w:val="3"/>
            <w:vAlign w:val="top"/>
          </w:tcPr>
          <w:p>
            <w:pPr>
              <w:spacing w:line="500" w:lineRule="exact"/>
              <w:ind w:firstLine="640" w:firstLineChars="200"/>
              <w:jc w:val="left"/>
              <w:rPr>
                <w:rFonts w:ascii="仿宋_GB2312" w:hAnsi="黑体" w:eastAsia="仿宋_GB2312"/>
                <w:sz w:val="32"/>
                <w:szCs w:val="32"/>
                <w:highlight w:val="none"/>
                <w:u w:val="none"/>
              </w:rPr>
            </w:pPr>
          </w:p>
          <w:p>
            <w:pPr>
              <w:spacing w:line="500" w:lineRule="exact"/>
              <w:ind w:firstLine="560" w:firstLineChars="200"/>
              <w:jc w:val="left"/>
              <w:rPr>
                <w:rFonts w:ascii="仿宋_GB2312" w:hAnsi="黑体" w:eastAsia="仿宋_GB2312"/>
                <w:sz w:val="28"/>
                <w:szCs w:val="28"/>
                <w:highlight w:val="none"/>
                <w:u w:val="none"/>
              </w:rPr>
            </w:pPr>
            <w:r>
              <w:rPr>
                <w:rFonts w:hint="eastAsia" w:ascii="仿宋_GB2312" w:hAnsi="黑体" w:eastAsia="仿宋_GB2312"/>
                <w:sz w:val="28"/>
                <w:szCs w:val="28"/>
                <w:highlight w:val="none"/>
                <w:u w:val="none"/>
              </w:rPr>
              <w:t>本人承诺所填写内容和提交的相关材料真实准确，否则由此产生的相应后果自负。</w:t>
            </w:r>
          </w:p>
          <w:p>
            <w:pPr>
              <w:spacing w:line="500" w:lineRule="exact"/>
              <w:ind w:firstLine="560" w:firstLineChars="200"/>
              <w:jc w:val="left"/>
              <w:rPr>
                <w:rFonts w:ascii="黑体" w:hAnsi="黑体" w:eastAsia="黑体"/>
                <w:sz w:val="32"/>
                <w:szCs w:val="32"/>
                <w:highlight w:val="none"/>
                <w:u w:val="none"/>
              </w:rPr>
            </w:pPr>
            <w:r>
              <w:rPr>
                <w:rFonts w:hint="eastAsia" w:ascii="仿宋_GB2312" w:hAnsi="黑体" w:eastAsia="仿宋_GB2312"/>
                <w:sz w:val="28"/>
                <w:szCs w:val="28"/>
                <w:highlight w:val="none"/>
                <w:u w:val="none"/>
              </w:rPr>
              <w:t>签字：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177" w:type="dxa"/>
            <w:vAlign w:val="center"/>
          </w:tcPr>
          <w:p>
            <w:pPr>
              <w:spacing w:line="500" w:lineRule="exact"/>
              <w:ind w:firstLine="640" w:firstLineChars="200"/>
              <w:rPr>
                <w:rFonts w:ascii="黑体" w:hAnsi="黑体" w:eastAsia="黑体"/>
                <w:sz w:val="32"/>
                <w:szCs w:val="32"/>
                <w:highlight w:val="none"/>
                <w:u w:val="none"/>
              </w:rPr>
            </w:pPr>
            <w:r>
              <w:rPr>
                <w:rFonts w:hint="eastAsia" w:ascii="黑体" w:hAnsi="黑体" w:eastAsia="黑体"/>
                <w:sz w:val="32"/>
                <w:szCs w:val="32"/>
                <w:highlight w:val="none"/>
                <w:u w:val="none"/>
              </w:rPr>
              <w:t>备注</w:t>
            </w:r>
          </w:p>
        </w:tc>
        <w:tc>
          <w:tcPr>
            <w:tcW w:w="6598" w:type="dxa"/>
            <w:gridSpan w:val="3"/>
            <w:vAlign w:val="top"/>
          </w:tcPr>
          <w:p>
            <w:pPr>
              <w:spacing w:line="500" w:lineRule="exact"/>
              <w:ind w:firstLine="640" w:firstLineChars="200"/>
              <w:jc w:val="left"/>
              <w:rPr>
                <w:rFonts w:ascii="黑体" w:hAnsi="黑体" w:eastAsia="黑体"/>
                <w:sz w:val="32"/>
                <w:szCs w:val="32"/>
                <w:highlight w:val="none"/>
                <w:u w:val="none"/>
              </w:rPr>
            </w:pPr>
          </w:p>
        </w:tc>
      </w:tr>
    </w:tbl>
    <w:p>
      <w:pPr>
        <w:tabs>
          <w:tab w:val="left" w:pos="7839"/>
        </w:tabs>
        <w:spacing w:line="500" w:lineRule="exact"/>
        <w:ind w:firstLine="640" w:firstLineChars="200"/>
        <w:rPr>
          <w:rFonts w:ascii="黑体" w:hAnsi="黑体" w:eastAsia="黑体"/>
          <w:sz w:val="32"/>
          <w:szCs w:val="32"/>
          <w:highlight w:val="none"/>
          <w:u w:val="none"/>
        </w:rPr>
      </w:pPr>
      <w:r>
        <w:rPr>
          <w:rFonts w:ascii="黑体" w:hAnsi="黑体" w:eastAsia="黑体"/>
          <w:sz w:val="32"/>
          <w:szCs w:val="32"/>
          <w:highlight w:val="none"/>
          <w:u w:val="none"/>
        </w:rPr>
        <w:tab/>
      </w:r>
    </w:p>
    <w:p>
      <w:pPr>
        <w:spacing w:line="500" w:lineRule="exact"/>
        <w:jc w:val="left"/>
        <w:rPr>
          <w:rFonts w:ascii="宋体" w:hAnsi="宋体"/>
          <w:sz w:val="32"/>
          <w:szCs w:val="32"/>
          <w:highlight w:val="none"/>
          <w:u w:val="none"/>
        </w:rPr>
      </w:pPr>
      <w:r>
        <w:rPr>
          <w:rFonts w:hint="eastAsia" w:ascii="黑体" w:hAnsi="黑体" w:eastAsia="黑体"/>
          <w:sz w:val="32"/>
          <w:szCs w:val="32"/>
          <w:highlight w:val="none"/>
          <w:u w:val="none"/>
        </w:rPr>
        <w:br w:type="page"/>
      </w:r>
      <w:r>
        <w:rPr>
          <w:rFonts w:hint="eastAsia" w:ascii="宋体" w:hAnsi="宋体"/>
          <w:sz w:val="32"/>
          <w:szCs w:val="32"/>
          <w:highlight w:val="none"/>
          <w:u w:val="none"/>
        </w:rPr>
        <w:t>附件2</w:t>
      </w:r>
    </w:p>
    <w:p>
      <w:pPr>
        <w:spacing w:line="500" w:lineRule="exact"/>
        <w:ind w:firstLine="880" w:firstLineChars="200"/>
        <w:jc w:val="center"/>
        <w:rPr>
          <w:rFonts w:ascii="方正小标宋简体" w:hAnsi="方正小标宋简体" w:eastAsia="方正小标宋简体"/>
          <w:sz w:val="44"/>
          <w:szCs w:val="44"/>
          <w:highlight w:val="none"/>
          <w:u w:val="none"/>
        </w:rPr>
      </w:pPr>
      <w:r>
        <w:rPr>
          <w:rFonts w:hint="eastAsia" w:ascii="方正小标宋简体" w:hAnsi="方正小标宋简体" w:eastAsia="方正小标宋简体"/>
          <w:sz w:val="44"/>
          <w:szCs w:val="44"/>
          <w:highlight w:val="none"/>
          <w:u w:val="none"/>
        </w:rPr>
        <w:t>异议信息处理结果反馈单</w:t>
      </w:r>
    </w:p>
    <w:p>
      <w:pPr>
        <w:spacing w:line="500" w:lineRule="exact"/>
        <w:ind w:firstLine="640" w:firstLineChars="200"/>
        <w:jc w:val="center"/>
        <w:rPr>
          <w:rFonts w:ascii="黑体" w:hAnsi="黑体" w:eastAsia="黑体"/>
          <w:sz w:val="32"/>
          <w:szCs w:val="32"/>
          <w:highlight w:val="none"/>
          <w:u w:val="none"/>
        </w:rPr>
      </w:pPr>
      <w:r>
        <w:rPr>
          <w:rFonts w:hint="eastAsia" w:ascii="黑体" w:hAnsi="黑体" w:eastAsia="黑体"/>
          <w:sz w:val="32"/>
          <w:szCs w:val="32"/>
          <w:highlight w:val="none"/>
          <w:u w:val="none"/>
        </w:rPr>
        <w:t xml:space="preserve"> </w:t>
      </w:r>
      <w:r>
        <w:rPr>
          <w:rFonts w:ascii="黑体" w:hAnsi="黑体" w:eastAsia="黑体"/>
          <w:sz w:val="32"/>
          <w:szCs w:val="32"/>
          <w:highlight w:val="none"/>
          <w:u w:val="none"/>
        </w:rPr>
        <w:t xml:space="preserve">                        </w:t>
      </w:r>
    </w:p>
    <w:tbl>
      <w:tblPr>
        <w:tblStyle w:val="6"/>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596" w:type="dxa"/>
            <w:vAlign w:val="center"/>
          </w:tcPr>
          <w:p>
            <w:pPr>
              <w:spacing w:line="500" w:lineRule="exact"/>
              <w:jc w:val="both"/>
              <w:rPr>
                <w:rFonts w:ascii="黑体" w:hAnsi="黑体" w:eastAsia="黑体"/>
                <w:sz w:val="32"/>
                <w:szCs w:val="32"/>
                <w:highlight w:val="none"/>
                <w:u w:val="none"/>
              </w:rPr>
            </w:pPr>
            <w:r>
              <w:rPr>
                <w:rFonts w:hint="eastAsia" w:ascii="黑体" w:hAnsi="黑体" w:eastAsia="黑体"/>
                <w:sz w:val="32"/>
                <w:szCs w:val="32"/>
                <w:highlight w:val="none"/>
                <w:u w:val="none"/>
              </w:rPr>
              <w:t>申请单位（人）</w:t>
            </w:r>
          </w:p>
        </w:tc>
        <w:tc>
          <w:tcPr>
            <w:tcW w:w="6310" w:type="dxa"/>
            <w:vAlign w:val="top"/>
          </w:tcPr>
          <w:p>
            <w:pPr>
              <w:spacing w:line="500" w:lineRule="exact"/>
              <w:ind w:firstLine="640" w:firstLineChars="200"/>
              <w:jc w:val="left"/>
              <w:rPr>
                <w:rFonts w:ascii="黑体" w:hAnsi="黑体" w:eastAsia="黑体"/>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2596" w:type="dxa"/>
            <w:vAlign w:val="center"/>
          </w:tcPr>
          <w:p>
            <w:pPr>
              <w:spacing w:line="500" w:lineRule="exact"/>
              <w:jc w:val="center"/>
              <w:rPr>
                <w:rFonts w:ascii="黑体" w:hAnsi="黑体" w:eastAsia="黑体"/>
                <w:sz w:val="32"/>
                <w:szCs w:val="32"/>
                <w:highlight w:val="none"/>
                <w:u w:val="none"/>
              </w:rPr>
            </w:pPr>
            <w:r>
              <w:rPr>
                <w:rFonts w:hint="eastAsia" w:ascii="黑体" w:hAnsi="黑体" w:eastAsia="黑体"/>
                <w:sz w:val="32"/>
                <w:szCs w:val="32"/>
                <w:highlight w:val="none"/>
                <w:u w:val="none"/>
              </w:rPr>
              <w:t>异议信息</w:t>
            </w:r>
          </w:p>
          <w:p>
            <w:pPr>
              <w:spacing w:line="500" w:lineRule="exact"/>
              <w:jc w:val="center"/>
              <w:rPr>
                <w:rFonts w:ascii="黑体" w:hAnsi="黑体" w:eastAsia="黑体"/>
                <w:sz w:val="32"/>
                <w:szCs w:val="32"/>
                <w:highlight w:val="none"/>
                <w:u w:val="none"/>
              </w:rPr>
            </w:pPr>
            <w:r>
              <w:rPr>
                <w:rFonts w:hint="eastAsia" w:ascii="黑体" w:hAnsi="黑体" w:eastAsia="黑体"/>
                <w:sz w:val="32"/>
                <w:szCs w:val="32"/>
                <w:highlight w:val="none"/>
                <w:u w:val="none"/>
              </w:rPr>
              <w:t>申请内容</w:t>
            </w:r>
          </w:p>
        </w:tc>
        <w:tc>
          <w:tcPr>
            <w:tcW w:w="6310" w:type="dxa"/>
            <w:vAlign w:val="top"/>
          </w:tcPr>
          <w:p>
            <w:pPr>
              <w:spacing w:line="500" w:lineRule="exact"/>
              <w:ind w:firstLine="640" w:firstLineChars="200"/>
              <w:jc w:val="left"/>
              <w:rPr>
                <w:rFonts w:ascii="黑体" w:hAnsi="黑体" w:eastAsia="黑体"/>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2596" w:type="dxa"/>
            <w:vAlign w:val="center"/>
          </w:tcPr>
          <w:p>
            <w:pPr>
              <w:spacing w:line="500" w:lineRule="exact"/>
              <w:ind w:firstLine="640" w:firstLineChars="200"/>
              <w:jc w:val="both"/>
              <w:rPr>
                <w:rFonts w:ascii="黑体" w:hAnsi="黑体" w:eastAsia="黑体"/>
                <w:sz w:val="32"/>
                <w:szCs w:val="32"/>
                <w:highlight w:val="none"/>
                <w:u w:val="none"/>
              </w:rPr>
            </w:pPr>
            <w:r>
              <w:rPr>
                <w:rFonts w:hint="eastAsia" w:ascii="黑体" w:hAnsi="黑体" w:eastAsia="黑体"/>
                <w:sz w:val="32"/>
                <w:szCs w:val="32"/>
                <w:highlight w:val="none"/>
                <w:u w:val="none"/>
              </w:rPr>
              <w:t>异议信息</w:t>
            </w:r>
          </w:p>
          <w:p>
            <w:pPr>
              <w:spacing w:line="500" w:lineRule="exact"/>
              <w:ind w:firstLine="640" w:firstLineChars="200"/>
              <w:jc w:val="both"/>
              <w:rPr>
                <w:rFonts w:ascii="黑体" w:hAnsi="黑体" w:eastAsia="黑体"/>
                <w:sz w:val="32"/>
                <w:szCs w:val="32"/>
                <w:highlight w:val="none"/>
                <w:u w:val="none"/>
              </w:rPr>
            </w:pPr>
            <w:r>
              <w:rPr>
                <w:rFonts w:hint="eastAsia" w:ascii="黑体" w:hAnsi="黑体" w:eastAsia="黑体"/>
                <w:sz w:val="32"/>
                <w:szCs w:val="32"/>
                <w:highlight w:val="none"/>
                <w:u w:val="none"/>
              </w:rPr>
              <w:t>处理结果</w:t>
            </w:r>
          </w:p>
        </w:tc>
        <w:tc>
          <w:tcPr>
            <w:tcW w:w="6310" w:type="dxa"/>
            <w:vAlign w:val="bottom"/>
          </w:tcPr>
          <w:p>
            <w:pPr>
              <w:spacing w:line="500" w:lineRule="exact"/>
              <w:ind w:right="560" w:firstLine="560" w:firstLineChars="200"/>
              <w:jc w:val="right"/>
              <w:rPr>
                <w:rFonts w:ascii="仿宋_GB2312" w:hAnsi="黑体" w:eastAsia="仿宋_GB2312"/>
                <w:sz w:val="28"/>
                <w:szCs w:val="28"/>
                <w:highlight w:val="none"/>
                <w:u w:val="none"/>
              </w:rPr>
            </w:pPr>
            <w:r>
              <w:rPr>
                <w:rFonts w:hint="eastAsia" w:ascii="仿宋_GB2312" w:hAnsi="黑体" w:eastAsia="仿宋_GB2312"/>
                <w:sz w:val="28"/>
                <w:szCs w:val="28"/>
                <w:highlight w:val="none"/>
                <w:u w:val="none"/>
              </w:rPr>
              <w:t xml:space="preserve">XX医疗保障局    </w:t>
            </w:r>
          </w:p>
          <w:p>
            <w:pPr>
              <w:spacing w:line="500" w:lineRule="exact"/>
              <w:ind w:firstLine="560" w:firstLineChars="200"/>
              <w:jc w:val="right"/>
              <w:rPr>
                <w:rFonts w:ascii="黑体" w:hAnsi="黑体" w:eastAsia="黑体"/>
                <w:sz w:val="32"/>
                <w:szCs w:val="32"/>
                <w:highlight w:val="none"/>
                <w:u w:val="none"/>
              </w:rPr>
            </w:pPr>
            <w:r>
              <w:rPr>
                <w:rFonts w:hint="eastAsia" w:ascii="仿宋_GB2312" w:hAnsi="黑体" w:eastAsia="仿宋_GB2312"/>
                <w:sz w:val="28"/>
                <w:szCs w:val="28"/>
                <w:highlight w:val="none"/>
                <w:u w:val="none"/>
              </w:rPr>
              <w:t>年  月  日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596" w:type="dxa"/>
            <w:vAlign w:val="center"/>
          </w:tcPr>
          <w:p>
            <w:pPr>
              <w:spacing w:line="500" w:lineRule="exact"/>
              <w:ind w:firstLine="640" w:firstLineChars="200"/>
              <w:jc w:val="both"/>
              <w:rPr>
                <w:rFonts w:ascii="黑体" w:hAnsi="黑体" w:eastAsia="黑体"/>
                <w:sz w:val="32"/>
                <w:szCs w:val="32"/>
                <w:highlight w:val="none"/>
                <w:u w:val="none"/>
              </w:rPr>
            </w:pPr>
            <w:r>
              <w:rPr>
                <w:rFonts w:hint="eastAsia" w:ascii="黑体" w:hAnsi="黑体" w:eastAsia="黑体"/>
                <w:sz w:val="32"/>
                <w:szCs w:val="32"/>
                <w:highlight w:val="none"/>
                <w:u w:val="none"/>
              </w:rPr>
              <w:t>备注</w:t>
            </w:r>
          </w:p>
        </w:tc>
        <w:tc>
          <w:tcPr>
            <w:tcW w:w="6310" w:type="dxa"/>
            <w:vAlign w:val="top"/>
          </w:tcPr>
          <w:p>
            <w:pPr>
              <w:spacing w:line="500" w:lineRule="exact"/>
              <w:ind w:firstLine="640" w:firstLineChars="200"/>
              <w:jc w:val="left"/>
              <w:rPr>
                <w:rFonts w:ascii="黑体" w:hAnsi="黑体" w:eastAsia="黑体"/>
                <w:sz w:val="32"/>
                <w:szCs w:val="32"/>
                <w:highlight w:val="none"/>
                <w:u w:val="none"/>
              </w:rPr>
            </w:pPr>
          </w:p>
        </w:tc>
      </w:tr>
    </w:tbl>
    <w:p>
      <w:pPr>
        <w:spacing w:line="500" w:lineRule="exact"/>
        <w:ind w:firstLine="640" w:firstLineChars="200"/>
        <w:jc w:val="left"/>
        <w:rPr>
          <w:rFonts w:ascii="黑体" w:hAnsi="黑体" w:eastAsia="黑体"/>
          <w:sz w:val="32"/>
          <w:szCs w:val="32"/>
          <w:highlight w:val="none"/>
          <w:u w:val="none"/>
        </w:rPr>
      </w:pPr>
    </w:p>
    <w:p>
      <w:pPr>
        <w:spacing w:line="500" w:lineRule="exact"/>
        <w:ind w:firstLine="640" w:firstLineChars="200"/>
        <w:jc w:val="left"/>
        <w:rPr>
          <w:rFonts w:ascii="黑体" w:hAnsi="黑体" w:eastAsia="黑体"/>
          <w:sz w:val="32"/>
          <w:szCs w:val="32"/>
          <w:highlight w:val="none"/>
          <w:u w:val="none"/>
        </w:rPr>
      </w:pPr>
    </w:p>
    <w:p>
      <w:pPr>
        <w:spacing w:line="500" w:lineRule="exact"/>
        <w:ind w:firstLine="640" w:firstLineChars="200"/>
        <w:jc w:val="left"/>
        <w:rPr>
          <w:rFonts w:ascii="黑体" w:hAnsi="黑体" w:eastAsia="黑体"/>
          <w:sz w:val="32"/>
          <w:szCs w:val="32"/>
          <w:highlight w:val="none"/>
          <w:u w:val="none"/>
        </w:rPr>
      </w:pPr>
    </w:p>
    <w:p>
      <w:pPr>
        <w:spacing w:line="500" w:lineRule="exact"/>
        <w:jc w:val="left"/>
        <w:rPr>
          <w:rFonts w:ascii="宋体" w:hAnsi="宋体"/>
          <w:sz w:val="32"/>
          <w:szCs w:val="32"/>
          <w:highlight w:val="none"/>
          <w:u w:val="none"/>
        </w:rPr>
      </w:pPr>
      <w:r>
        <w:rPr>
          <w:rFonts w:hint="eastAsia" w:ascii="黑体" w:hAnsi="黑体" w:eastAsia="黑体"/>
          <w:sz w:val="32"/>
          <w:szCs w:val="32"/>
          <w:highlight w:val="none"/>
          <w:u w:val="none"/>
        </w:rPr>
        <w:br w:type="page"/>
      </w:r>
      <w:r>
        <w:rPr>
          <w:rFonts w:hint="eastAsia" w:ascii="宋体" w:hAnsi="宋体"/>
          <w:sz w:val="32"/>
          <w:szCs w:val="32"/>
          <w:highlight w:val="none"/>
          <w:u w:val="none"/>
        </w:rPr>
        <w:t>附件</w:t>
      </w:r>
      <w:r>
        <w:rPr>
          <w:rFonts w:hint="eastAsia" w:ascii="宋体" w:hAnsi="宋体"/>
          <w:sz w:val="32"/>
          <w:szCs w:val="32"/>
          <w:highlight w:val="none"/>
          <w:u w:val="none"/>
          <w:lang w:val="en-US" w:eastAsia="zh-CN"/>
        </w:rPr>
        <w:t>3</w:t>
      </w:r>
    </w:p>
    <w:p>
      <w:pPr>
        <w:spacing w:line="500" w:lineRule="exact"/>
        <w:ind w:firstLine="640" w:firstLineChars="200"/>
        <w:jc w:val="left"/>
        <w:rPr>
          <w:rFonts w:ascii="黑体" w:hAnsi="黑体" w:eastAsia="黑体"/>
          <w:sz w:val="32"/>
          <w:szCs w:val="32"/>
          <w:highlight w:val="none"/>
          <w:u w:val="none"/>
        </w:rPr>
      </w:pPr>
    </w:p>
    <w:p>
      <w:pPr>
        <w:spacing w:line="500" w:lineRule="exact"/>
        <w:ind w:firstLine="880" w:firstLineChars="200"/>
        <w:jc w:val="center"/>
        <w:rPr>
          <w:rFonts w:ascii="方正小标宋简体" w:hAnsi="方正小标宋简体" w:eastAsia="方正小标宋简体"/>
          <w:sz w:val="44"/>
          <w:szCs w:val="44"/>
          <w:highlight w:val="none"/>
          <w:u w:val="none"/>
        </w:rPr>
      </w:pPr>
      <w:r>
        <w:rPr>
          <w:rFonts w:hint="eastAsia" w:ascii="方正小标宋简体" w:hAnsi="方正小标宋简体" w:eastAsia="方正小标宋简体"/>
          <w:sz w:val="44"/>
          <w:szCs w:val="44"/>
          <w:highlight w:val="none"/>
          <w:u w:val="none"/>
        </w:rPr>
        <w:t>信用修复申请表</w:t>
      </w:r>
    </w:p>
    <w:p>
      <w:pPr>
        <w:spacing w:line="500" w:lineRule="exact"/>
        <w:ind w:firstLine="880" w:firstLineChars="200"/>
        <w:jc w:val="center"/>
        <w:rPr>
          <w:rFonts w:ascii="方正小标宋简体" w:hAnsi="方正小标宋简体" w:eastAsia="方正小标宋简体"/>
          <w:sz w:val="44"/>
          <w:szCs w:val="44"/>
          <w:highlight w:val="none"/>
          <w:u w:val="none"/>
        </w:rPr>
      </w:pPr>
    </w:p>
    <w:tbl>
      <w:tblPr>
        <w:tblStyle w:val="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067"/>
        <w:gridCol w:w="5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60" w:type="dxa"/>
            <w:vMerge w:val="restart"/>
            <w:vAlign w:val="center"/>
          </w:tcPr>
          <w:p>
            <w:pPr>
              <w:spacing w:line="500" w:lineRule="exact"/>
              <w:jc w:val="left"/>
              <w:rPr>
                <w:rFonts w:ascii="方正小标宋简体" w:hAnsi="方正小标宋简体" w:eastAsia="方正小标宋简体"/>
                <w:sz w:val="30"/>
                <w:szCs w:val="30"/>
                <w:highlight w:val="none"/>
                <w:u w:val="none"/>
              </w:rPr>
            </w:pPr>
            <w:r>
              <w:rPr>
                <w:rFonts w:hint="eastAsia" w:ascii="黑体" w:hAnsi="黑体" w:eastAsia="黑体"/>
                <w:sz w:val="30"/>
                <w:szCs w:val="30"/>
                <w:highlight w:val="none"/>
                <w:u w:val="none"/>
              </w:rPr>
              <w:t>失信主体基本情况</w:t>
            </w:r>
          </w:p>
        </w:tc>
        <w:tc>
          <w:tcPr>
            <w:tcW w:w="2067" w:type="dxa"/>
            <w:vAlign w:val="center"/>
          </w:tcPr>
          <w:p>
            <w:pPr>
              <w:spacing w:line="500" w:lineRule="exact"/>
              <w:ind w:firstLine="600" w:firstLineChars="200"/>
              <w:rPr>
                <w:rFonts w:ascii="方正小标宋简体" w:hAnsi="方正小标宋简体" w:eastAsia="方正小标宋简体"/>
                <w:sz w:val="30"/>
                <w:szCs w:val="30"/>
                <w:highlight w:val="none"/>
                <w:u w:val="none"/>
              </w:rPr>
            </w:pPr>
            <w:r>
              <w:rPr>
                <w:rFonts w:hint="eastAsia" w:ascii="黑体" w:hAnsi="黑体" w:eastAsia="黑体"/>
                <w:sz w:val="30"/>
                <w:szCs w:val="30"/>
                <w:highlight w:val="none"/>
                <w:u w:val="none"/>
              </w:rPr>
              <w:t>名称</w:t>
            </w:r>
          </w:p>
        </w:tc>
        <w:tc>
          <w:tcPr>
            <w:tcW w:w="5586" w:type="dxa"/>
            <w:vAlign w:val="center"/>
          </w:tcPr>
          <w:p>
            <w:pPr>
              <w:spacing w:line="500" w:lineRule="exact"/>
              <w:ind w:firstLine="560" w:firstLineChars="200"/>
              <w:jc w:val="center"/>
              <w:rPr>
                <w:rFonts w:ascii="仿宋_GB2312" w:hAnsi="方正小标宋简体" w:eastAsia="仿宋_GB2312"/>
                <w:sz w:val="28"/>
                <w:szCs w:val="28"/>
                <w:highlight w:val="none"/>
                <w:u w:val="none"/>
              </w:rPr>
            </w:pPr>
            <w:r>
              <w:rPr>
                <w:rFonts w:hint="eastAsia" w:ascii="仿宋_GB2312" w:hAnsi="方正小标宋简体" w:eastAsia="仿宋_GB2312"/>
                <w:sz w:val="28"/>
                <w:szCs w:val="28"/>
                <w:highlight w:val="none"/>
                <w:u w:val="none"/>
              </w:rPr>
              <w:t>（填写法人单位名称或自然人名称）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60" w:type="dxa"/>
            <w:vMerge w:val="continue"/>
            <w:vAlign w:val="center"/>
          </w:tcPr>
          <w:p>
            <w:pPr>
              <w:spacing w:line="500" w:lineRule="exact"/>
              <w:ind w:firstLine="600" w:firstLineChars="200"/>
              <w:jc w:val="left"/>
              <w:rPr>
                <w:rFonts w:ascii="方正小标宋简体" w:hAnsi="方正小标宋简体" w:eastAsia="方正小标宋简体"/>
                <w:sz w:val="30"/>
                <w:szCs w:val="30"/>
                <w:highlight w:val="none"/>
                <w:u w:val="none"/>
              </w:rPr>
            </w:pPr>
          </w:p>
        </w:tc>
        <w:tc>
          <w:tcPr>
            <w:tcW w:w="2067" w:type="dxa"/>
            <w:vAlign w:val="top"/>
          </w:tcPr>
          <w:p>
            <w:pPr>
              <w:spacing w:line="500" w:lineRule="exact"/>
              <w:jc w:val="center"/>
              <w:rPr>
                <w:rFonts w:ascii="黑体" w:hAnsi="黑体" w:eastAsia="黑体"/>
                <w:sz w:val="30"/>
                <w:szCs w:val="30"/>
                <w:highlight w:val="none"/>
                <w:u w:val="none"/>
              </w:rPr>
            </w:pPr>
            <w:r>
              <w:rPr>
                <w:rFonts w:hint="eastAsia" w:ascii="黑体" w:hAnsi="黑体" w:eastAsia="黑体"/>
                <w:sz w:val="30"/>
                <w:szCs w:val="30"/>
                <w:highlight w:val="none"/>
                <w:u w:val="none"/>
              </w:rPr>
              <w:t>统一社会信用代码</w:t>
            </w:r>
          </w:p>
        </w:tc>
        <w:tc>
          <w:tcPr>
            <w:tcW w:w="5586" w:type="dxa"/>
            <w:vAlign w:val="center"/>
          </w:tcPr>
          <w:p>
            <w:pPr>
              <w:spacing w:line="500" w:lineRule="exact"/>
              <w:ind w:firstLine="560" w:firstLineChars="200"/>
              <w:jc w:val="center"/>
              <w:rPr>
                <w:rFonts w:ascii="方正小标宋简体" w:hAnsi="方正小标宋简体" w:eastAsia="方正小标宋简体"/>
                <w:sz w:val="28"/>
                <w:szCs w:val="28"/>
                <w:highlight w:val="none"/>
                <w:u w:val="none"/>
              </w:rPr>
            </w:pPr>
            <w:r>
              <w:rPr>
                <w:rFonts w:hint="eastAsia" w:ascii="仿宋_GB2312" w:hAnsi="方正小标宋简体" w:eastAsia="仿宋_GB2312"/>
                <w:sz w:val="28"/>
                <w:szCs w:val="28"/>
                <w:highlight w:val="none"/>
                <w:u w:val="none"/>
              </w:rPr>
              <w:t>（自然人填写身份证号）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60" w:type="dxa"/>
            <w:vMerge w:val="continue"/>
            <w:vAlign w:val="center"/>
          </w:tcPr>
          <w:p>
            <w:pPr>
              <w:spacing w:line="500" w:lineRule="exact"/>
              <w:ind w:firstLine="600" w:firstLineChars="200"/>
              <w:jc w:val="left"/>
              <w:rPr>
                <w:rFonts w:ascii="方正小标宋简体" w:hAnsi="方正小标宋简体" w:eastAsia="方正小标宋简体"/>
                <w:sz w:val="30"/>
                <w:szCs w:val="30"/>
                <w:highlight w:val="none"/>
                <w:u w:val="none"/>
              </w:rPr>
            </w:pPr>
          </w:p>
        </w:tc>
        <w:tc>
          <w:tcPr>
            <w:tcW w:w="2067" w:type="dxa"/>
            <w:vAlign w:val="center"/>
          </w:tcPr>
          <w:p>
            <w:pPr>
              <w:spacing w:line="500" w:lineRule="exact"/>
              <w:jc w:val="center"/>
              <w:rPr>
                <w:rFonts w:ascii="黑体" w:hAnsi="黑体" w:eastAsia="黑体"/>
                <w:sz w:val="30"/>
                <w:szCs w:val="30"/>
                <w:highlight w:val="none"/>
                <w:u w:val="none"/>
              </w:rPr>
            </w:pPr>
            <w:r>
              <w:rPr>
                <w:rFonts w:hint="eastAsia" w:ascii="黑体" w:hAnsi="黑体" w:eastAsia="黑体"/>
                <w:sz w:val="30"/>
                <w:szCs w:val="30"/>
                <w:highlight w:val="none"/>
                <w:u w:val="none"/>
              </w:rPr>
              <w:t>联系方式</w:t>
            </w:r>
          </w:p>
        </w:tc>
        <w:tc>
          <w:tcPr>
            <w:tcW w:w="5586" w:type="dxa"/>
            <w:vAlign w:val="center"/>
          </w:tcPr>
          <w:p>
            <w:pPr>
              <w:spacing w:line="500" w:lineRule="exact"/>
              <w:ind w:firstLine="880" w:firstLineChars="200"/>
              <w:jc w:val="center"/>
              <w:rPr>
                <w:rFonts w:ascii="方正小标宋简体" w:hAnsi="方正小标宋简体" w:eastAsia="方正小标宋简体"/>
                <w:sz w:val="44"/>
                <w:szCs w:val="4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1160" w:type="dxa"/>
            <w:vAlign w:val="center"/>
          </w:tcPr>
          <w:p>
            <w:pPr>
              <w:spacing w:line="500" w:lineRule="exact"/>
              <w:rPr>
                <w:rFonts w:ascii="黑体" w:hAnsi="黑体" w:eastAsia="黑体"/>
                <w:sz w:val="30"/>
                <w:szCs w:val="30"/>
                <w:highlight w:val="none"/>
                <w:u w:val="none"/>
              </w:rPr>
            </w:pPr>
            <w:r>
              <w:rPr>
                <w:rFonts w:hint="eastAsia" w:ascii="黑体" w:hAnsi="黑体" w:eastAsia="黑体"/>
                <w:sz w:val="30"/>
                <w:szCs w:val="30"/>
                <w:highlight w:val="none"/>
                <w:u w:val="none"/>
              </w:rPr>
              <w:t>申请修复的失信信息内容</w:t>
            </w:r>
          </w:p>
        </w:tc>
        <w:tc>
          <w:tcPr>
            <w:tcW w:w="2067" w:type="dxa"/>
            <w:vAlign w:val="center"/>
          </w:tcPr>
          <w:p>
            <w:pPr>
              <w:spacing w:line="500" w:lineRule="exact"/>
              <w:jc w:val="center"/>
              <w:rPr>
                <w:rFonts w:ascii="黑体" w:hAnsi="黑体" w:eastAsia="黑体"/>
                <w:sz w:val="30"/>
                <w:szCs w:val="30"/>
                <w:highlight w:val="none"/>
                <w:u w:val="none"/>
              </w:rPr>
            </w:pPr>
            <w:r>
              <w:rPr>
                <w:rFonts w:hint="eastAsia" w:ascii="黑体" w:hAnsi="黑体" w:eastAsia="黑体"/>
                <w:sz w:val="30"/>
                <w:szCs w:val="30"/>
                <w:highlight w:val="none"/>
                <w:u w:val="none"/>
              </w:rPr>
              <w:t>失信信息</w:t>
            </w:r>
          </w:p>
          <w:p>
            <w:pPr>
              <w:spacing w:line="500" w:lineRule="exact"/>
              <w:jc w:val="center"/>
              <w:rPr>
                <w:rFonts w:ascii="黑体" w:hAnsi="黑体" w:eastAsia="黑体"/>
                <w:sz w:val="30"/>
                <w:szCs w:val="30"/>
                <w:highlight w:val="none"/>
                <w:u w:val="none"/>
              </w:rPr>
            </w:pPr>
            <w:r>
              <w:rPr>
                <w:rFonts w:hint="eastAsia" w:ascii="黑体" w:hAnsi="黑体" w:eastAsia="黑体"/>
                <w:sz w:val="30"/>
                <w:szCs w:val="30"/>
                <w:highlight w:val="none"/>
                <w:u w:val="none"/>
              </w:rPr>
              <w:t>内容描述</w:t>
            </w:r>
          </w:p>
        </w:tc>
        <w:tc>
          <w:tcPr>
            <w:tcW w:w="5586" w:type="dxa"/>
            <w:vAlign w:val="center"/>
          </w:tcPr>
          <w:p>
            <w:pPr>
              <w:spacing w:line="500" w:lineRule="exact"/>
              <w:ind w:firstLine="560" w:firstLineChars="200"/>
              <w:jc w:val="left"/>
              <w:rPr>
                <w:rFonts w:ascii="方正小标宋简体" w:hAnsi="方正小标宋简体" w:eastAsia="方正小标宋简体"/>
                <w:sz w:val="44"/>
                <w:szCs w:val="44"/>
                <w:highlight w:val="none"/>
                <w:u w:val="none"/>
              </w:rPr>
            </w:pPr>
            <w:r>
              <w:rPr>
                <w:rFonts w:hint="eastAsia" w:ascii="仿宋_GB2312" w:hAnsi="方正小标宋简体" w:eastAsia="仿宋_GB2312"/>
                <w:sz w:val="28"/>
                <w:szCs w:val="28"/>
                <w:highlight w:val="none"/>
                <w:u w:val="none"/>
              </w:rPr>
              <w:t>xxxx 年 xx 月 xx 日，因****行为被处以***罚款或者解除协议等（可提供页面打印件或复印件）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160" w:type="dxa"/>
            <w:vAlign w:val="center"/>
          </w:tcPr>
          <w:p>
            <w:pPr>
              <w:spacing w:line="500" w:lineRule="exact"/>
              <w:rPr>
                <w:rFonts w:ascii="黑体" w:hAnsi="黑体" w:eastAsia="黑体"/>
                <w:sz w:val="30"/>
                <w:szCs w:val="30"/>
                <w:highlight w:val="none"/>
                <w:u w:val="none"/>
              </w:rPr>
            </w:pPr>
            <w:r>
              <w:rPr>
                <w:rFonts w:hint="eastAsia" w:ascii="黑体" w:hAnsi="黑体" w:eastAsia="黑体"/>
                <w:sz w:val="30"/>
                <w:szCs w:val="30"/>
                <w:highlight w:val="none"/>
                <w:u w:val="none"/>
              </w:rPr>
              <w:t>申请信用修复的理由</w:t>
            </w:r>
          </w:p>
        </w:tc>
        <w:tc>
          <w:tcPr>
            <w:tcW w:w="2067" w:type="dxa"/>
            <w:vAlign w:val="center"/>
          </w:tcPr>
          <w:p>
            <w:pPr>
              <w:spacing w:line="500" w:lineRule="exact"/>
              <w:jc w:val="left"/>
              <w:rPr>
                <w:rFonts w:ascii="黑体" w:hAnsi="黑体" w:eastAsia="黑体"/>
                <w:sz w:val="30"/>
                <w:szCs w:val="30"/>
                <w:highlight w:val="none"/>
                <w:u w:val="none"/>
              </w:rPr>
            </w:pPr>
            <w:r>
              <w:rPr>
                <w:rFonts w:hint="eastAsia" w:ascii="黑体" w:hAnsi="黑体" w:eastAsia="黑体"/>
                <w:sz w:val="30"/>
                <w:szCs w:val="30"/>
                <w:highlight w:val="none"/>
                <w:u w:val="none"/>
              </w:rPr>
              <w:t>符合《衢州市医疗保障信用管理办法》规定</w:t>
            </w:r>
          </w:p>
        </w:tc>
        <w:tc>
          <w:tcPr>
            <w:tcW w:w="5586" w:type="dxa"/>
            <w:vAlign w:val="center"/>
          </w:tcPr>
          <w:p>
            <w:pPr>
              <w:spacing w:line="500" w:lineRule="exact"/>
              <w:ind w:firstLine="560" w:firstLineChars="200"/>
              <w:jc w:val="left"/>
              <w:rPr>
                <w:rFonts w:ascii="方正小标宋简体" w:hAnsi="方正小标宋简体" w:eastAsia="方正小标宋简体"/>
                <w:sz w:val="44"/>
                <w:szCs w:val="44"/>
                <w:highlight w:val="none"/>
                <w:u w:val="none"/>
              </w:rPr>
            </w:pPr>
            <w:r>
              <w:rPr>
                <w:rFonts w:hint="eastAsia" w:ascii="仿宋_GB2312" w:hAnsi="黑体" w:eastAsia="仿宋_GB2312"/>
                <w:sz w:val="28"/>
                <w:szCs w:val="28"/>
                <w:highlight w:val="none"/>
                <w:u w:val="none"/>
              </w:rPr>
              <w:t xml:space="preserve">按第六部分规定：符合□ </w:t>
            </w:r>
            <w:r>
              <w:rPr>
                <w:rFonts w:ascii="仿宋_GB2312" w:hAnsi="黑体" w:eastAsia="仿宋_GB2312"/>
                <w:sz w:val="28"/>
                <w:szCs w:val="28"/>
                <w:highlight w:val="none"/>
                <w:u w:val="none"/>
              </w:rPr>
              <w:t xml:space="preserve"> </w:t>
            </w:r>
            <w:r>
              <w:rPr>
                <w:rFonts w:hint="eastAsia" w:ascii="仿宋_GB2312" w:hAnsi="黑体" w:eastAsia="仿宋_GB2312"/>
                <w:sz w:val="28"/>
                <w:szCs w:val="28"/>
                <w:highlight w:val="none"/>
                <w:u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8813" w:type="dxa"/>
            <w:gridSpan w:val="3"/>
            <w:vAlign w:val="top"/>
          </w:tcPr>
          <w:p>
            <w:pPr>
              <w:spacing w:line="500" w:lineRule="exact"/>
              <w:ind w:firstLine="560" w:firstLineChars="200"/>
              <w:jc w:val="left"/>
              <w:rPr>
                <w:rFonts w:ascii="仿宋_GB2312" w:hAnsi="黑体" w:eastAsia="仿宋_GB2312"/>
                <w:sz w:val="28"/>
                <w:szCs w:val="28"/>
                <w:highlight w:val="none"/>
                <w:u w:val="none"/>
              </w:rPr>
            </w:pPr>
            <w:r>
              <w:rPr>
                <w:rFonts w:hint="eastAsia" w:ascii="仿宋_GB2312" w:hAnsi="黑体" w:eastAsia="仿宋_GB2312"/>
                <w:sz w:val="28"/>
                <w:szCs w:val="28"/>
                <w:highlight w:val="none"/>
                <w:u w:val="none"/>
              </w:rPr>
              <w:t>本单位（本人）声明，提交的材料真实有效。</w:t>
            </w:r>
          </w:p>
          <w:p>
            <w:pPr>
              <w:spacing w:line="500" w:lineRule="exact"/>
              <w:ind w:firstLine="560" w:firstLineChars="200"/>
              <w:jc w:val="left"/>
              <w:rPr>
                <w:rFonts w:ascii="仿宋_GB2312" w:hAnsi="黑体" w:eastAsia="仿宋_GB2312"/>
                <w:sz w:val="28"/>
                <w:szCs w:val="28"/>
                <w:highlight w:val="none"/>
                <w:u w:val="none"/>
              </w:rPr>
            </w:pPr>
          </w:p>
          <w:p>
            <w:pPr>
              <w:spacing w:line="500" w:lineRule="exact"/>
              <w:ind w:firstLine="560" w:firstLineChars="200"/>
              <w:jc w:val="left"/>
              <w:rPr>
                <w:rFonts w:ascii="仿宋_GB2312" w:hAnsi="黑体" w:eastAsia="仿宋_GB2312"/>
                <w:sz w:val="28"/>
                <w:szCs w:val="28"/>
                <w:highlight w:val="none"/>
                <w:u w:val="none"/>
              </w:rPr>
            </w:pPr>
            <w:r>
              <w:rPr>
                <w:rFonts w:hint="eastAsia" w:ascii="仿宋_GB2312" w:hAnsi="黑体" w:eastAsia="仿宋_GB2312"/>
                <w:sz w:val="28"/>
                <w:szCs w:val="28"/>
                <w:highlight w:val="none"/>
                <w:u w:val="none"/>
              </w:rPr>
              <w:t>法定代表人（自然人）签字：（盖章）</w:t>
            </w:r>
          </w:p>
          <w:p>
            <w:pPr>
              <w:spacing w:line="500" w:lineRule="exact"/>
              <w:ind w:firstLine="560" w:firstLineChars="200"/>
              <w:jc w:val="left"/>
              <w:rPr>
                <w:rFonts w:hint="eastAsia" w:ascii="仿宋_GB2312" w:hAnsi="黑体" w:eastAsia="仿宋_GB2312"/>
                <w:sz w:val="32"/>
                <w:szCs w:val="32"/>
                <w:highlight w:val="none"/>
                <w:u w:val="none"/>
                <w:lang w:eastAsia="zh-CN"/>
              </w:rPr>
            </w:pPr>
            <w:r>
              <w:rPr>
                <w:rFonts w:hint="eastAsia" w:ascii="仿宋_GB2312" w:hAnsi="黑体" w:eastAsia="仿宋_GB2312"/>
                <w:sz w:val="28"/>
                <w:szCs w:val="28"/>
                <w:highlight w:val="none"/>
                <w:u w:val="none"/>
              </w:rPr>
              <w:t>申请日期：</w:t>
            </w:r>
            <w:r>
              <w:rPr>
                <w:rFonts w:hint="eastAsia" w:ascii="仿宋_GB2312" w:hAnsi="黑体" w:eastAsia="仿宋_GB2312"/>
                <w:sz w:val="28"/>
                <w:szCs w:val="28"/>
                <w:highlight w:val="none"/>
                <w:u w:val="none"/>
                <w:lang w:val="en-US" w:eastAsia="zh-CN"/>
              </w:rPr>
              <w:t xml:space="preserve">        </w:t>
            </w:r>
            <w:r>
              <w:rPr>
                <w:rFonts w:hint="eastAsia" w:ascii="仿宋_GB2312" w:hAnsi="黑体" w:eastAsia="仿宋_GB2312"/>
                <w:sz w:val="28"/>
                <w:szCs w:val="28"/>
                <w:highlight w:val="none"/>
                <w:u w:val="none"/>
                <w:lang w:eastAsia="zh-CN"/>
              </w:rPr>
              <w:t>年</w:t>
            </w:r>
            <w:r>
              <w:rPr>
                <w:rFonts w:hint="eastAsia" w:ascii="仿宋_GB2312" w:hAnsi="黑体" w:eastAsia="仿宋_GB2312"/>
                <w:sz w:val="28"/>
                <w:szCs w:val="28"/>
                <w:highlight w:val="none"/>
                <w:u w:val="none"/>
                <w:lang w:val="en-US" w:eastAsia="zh-CN"/>
              </w:rPr>
              <w:t xml:space="preserve">   </w:t>
            </w:r>
            <w:r>
              <w:rPr>
                <w:rFonts w:hint="eastAsia" w:ascii="仿宋_GB2312" w:hAnsi="黑体" w:eastAsia="仿宋_GB2312"/>
                <w:sz w:val="28"/>
                <w:szCs w:val="28"/>
                <w:highlight w:val="none"/>
                <w:u w:val="none"/>
                <w:lang w:eastAsia="zh-CN"/>
              </w:rPr>
              <w:t>月</w:t>
            </w:r>
            <w:r>
              <w:rPr>
                <w:rFonts w:hint="eastAsia" w:ascii="仿宋_GB2312" w:hAnsi="黑体" w:eastAsia="仿宋_GB2312"/>
                <w:sz w:val="28"/>
                <w:szCs w:val="28"/>
                <w:highlight w:val="none"/>
                <w:u w:val="none"/>
                <w:lang w:val="en-US" w:eastAsia="zh-CN"/>
              </w:rPr>
              <w:t xml:space="preserve">   </w:t>
            </w:r>
            <w:r>
              <w:rPr>
                <w:rFonts w:hint="eastAsia" w:ascii="仿宋_GB2312" w:hAnsi="黑体" w:eastAsia="仿宋_GB2312"/>
                <w:sz w:val="28"/>
                <w:szCs w:val="28"/>
                <w:highlight w:val="none"/>
                <w:u w:val="none"/>
                <w:lang w:eastAsia="zh-CN"/>
              </w:rPr>
              <w:t>日</w:t>
            </w:r>
          </w:p>
        </w:tc>
      </w:tr>
    </w:tbl>
    <w:p>
      <w:pPr>
        <w:spacing w:line="500" w:lineRule="exact"/>
        <w:ind w:firstLine="640" w:firstLineChars="200"/>
        <w:jc w:val="left"/>
        <w:rPr>
          <w:rFonts w:ascii="黑体" w:hAnsi="黑体" w:eastAsia="黑体"/>
          <w:sz w:val="32"/>
          <w:szCs w:val="32"/>
          <w:highlight w:val="none"/>
          <w:u w:val="none"/>
        </w:rPr>
      </w:pPr>
    </w:p>
    <w:p>
      <w:pPr>
        <w:spacing w:line="500" w:lineRule="exact"/>
        <w:jc w:val="left"/>
        <w:rPr>
          <w:rFonts w:ascii="宋体" w:hAnsi="宋体"/>
          <w:sz w:val="32"/>
          <w:szCs w:val="32"/>
          <w:highlight w:val="none"/>
          <w:u w:val="none"/>
        </w:rPr>
      </w:pPr>
      <w:r>
        <w:rPr>
          <w:rFonts w:hint="eastAsia" w:ascii="黑体" w:hAnsi="黑体" w:eastAsia="黑体"/>
          <w:sz w:val="32"/>
          <w:szCs w:val="32"/>
          <w:highlight w:val="none"/>
          <w:u w:val="none"/>
        </w:rPr>
        <w:br w:type="page"/>
      </w:r>
      <w:r>
        <w:rPr>
          <w:rFonts w:hint="eastAsia" w:ascii="宋体" w:hAnsi="宋体"/>
          <w:sz w:val="32"/>
          <w:szCs w:val="32"/>
          <w:highlight w:val="none"/>
          <w:u w:val="none"/>
        </w:rPr>
        <w:t>附件</w:t>
      </w:r>
      <w:r>
        <w:rPr>
          <w:rFonts w:hint="eastAsia" w:ascii="宋体" w:hAnsi="宋体"/>
          <w:sz w:val="32"/>
          <w:szCs w:val="32"/>
          <w:highlight w:val="none"/>
          <w:u w:val="none"/>
          <w:lang w:val="en-US" w:eastAsia="zh-CN"/>
        </w:rPr>
        <w:t>4</w:t>
      </w:r>
    </w:p>
    <w:p>
      <w:pPr>
        <w:spacing w:line="500" w:lineRule="exact"/>
        <w:ind w:firstLine="640" w:firstLineChars="200"/>
        <w:jc w:val="left"/>
        <w:rPr>
          <w:rFonts w:ascii="黑体" w:hAnsi="黑体" w:eastAsia="黑体"/>
          <w:sz w:val="32"/>
          <w:szCs w:val="32"/>
          <w:highlight w:val="none"/>
          <w:u w:val="none"/>
        </w:rPr>
      </w:pPr>
    </w:p>
    <w:p>
      <w:pPr>
        <w:spacing w:line="500" w:lineRule="exact"/>
        <w:ind w:firstLine="880" w:firstLineChars="200"/>
        <w:jc w:val="center"/>
        <w:rPr>
          <w:rFonts w:ascii="方正小标宋简体" w:hAnsi="方正小标宋简体" w:eastAsia="方正小标宋简体"/>
          <w:sz w:val="44"/>
          <w:szCs w:val="44"/>
          <w:highlight w:val="none"/>
          <w:u w:val="none"/>
        </w:rPr>
      </w:pPr>
    </w:p>
    <w:p>
      <w:pPr>
        <w:spacing w:line="500" w:lineRule="exact"/>
        <w:ind w:firstLine="880" w:firstLineChars="200"/>
        <w:jc w:val="center"/>
        <w:rPr>
          <w:rFonts w:ascii="方正小标宋简体" w:hAnsi="方正小标宋简体" w:eastAsia="方正小标宋简体"/>
          <w:sz w:val="44"/>
          <w:szCs w:val="44"/>
          <w:highlight w:val="none"/>
          <w:u w:val="none"/>
        </w:rPr>
      </w:pPr>
      <w:r>
        <w:rPr>
          <w:rFonts w:hint="eastAsia" w:ascii="方正小标宋简体" w:hAnsi="方正小标宋简体" w:eastAsia="方正小标宋简体"/>
          <w:sz w:val="44"/>
          <w:szCs w:val="44"/>
          <w:highlight w:val="none"/>
          <w:u w:val="none"/>
        </w:rPr>
        <w:t>不予信用修复告知书</w:t>
      </w:r>
    </w:p>
    <w:p>
      <w:pPr>
        <w:spacing w:line="500" w:lineRule="exact"/>
        <w:ind w:firstLine="880" w:firstLineChars="200"/>
        <w:jc w:val="center"/>
        <w:rPr>
          <w:rFonts w:ascii="方正小标宋简体" w:hAnsi="方正小标宋简体" w:eastAsia="方正小标宋简体"/>
          <w:sz w:val="44"/>
          <w:szCs w:val="44"/>
          <w:highlight w:val="none"/>
          <w:u w:val="none"/>
        </w:rPr>
      </w:pPr>
    </w:p>
    <w:p>
      <w:pPr>
        <w:spacing w:line="500" w:lineRule="exact"/>
        <w:ind w:firstLine="640" w:firstLineChars="200"/>
        <w:jc w:val="left"/>
        <w:rPr>
          <w:rFonts w:ascii="黑体" w:hAnsi="黑体" w:eastAsia="黑体"/>
          <w:sz w:val="32"/>
          <w:szCs w:val="32"/>
          <w:highlight w:val="none"/>
          <w:u w:val="none"/>
        </w:rPr>
      </w:pPr>
      <w:r>
        <w:rPr>
          <w:rFonts w:hint="eastAsia" w:ascii="黑体" w:hAnsi="黑体" w:eastAsia="黑体"/>
          <w:sz w:val="32"/>
          <w:szCs w:val="32"/>
          <w:highlight w:val="none"/>
          <w:u w:val="none"/>
        </w:rPr>
        <w:t xml:space="preserve">                              编号：</w:t>
      </w:r>
    </w:p>
    <w:p>
      <w:pPr>
        <w:spacing w:line="660" w:lineRule="exact"/>
        <w:jc w:val="left"/>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 xml:space="preserve"> </w:t>
      </w:r>
      <w:r>
        <w:rPr>
          <w:rFonts w:ascii="仿宋_GB2312" w:hAnsi="黑体" w:eastAsia="仿宋_GB2312"/>
          <w:sz w:val="32"/>
          <w:szCs w:val="32"/>
          <w:highlight w:val="none"/>
          <w:u w:val="none"/>
        </w:rPr>
        <w:t xml:space="preserve">               </w:t>
      </w:r>
      <w:r>
        <w:rPr>
          <w:rFonts w:hint="eastAsia" w:ascii="仿宋_GB2312" w:hAnsi="黑体" w:eastAsia="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 xml:space="preserve">我局于   </w:t>
      </w:r>
      <w:r>
        <w:rPr>
          <w:rFonts w:ascii="仿宋_GB2312" w:hAnsi="黑体" w:eastAsia="仿宋_GB2312"/>
          <w:sz w:val="32"/>
          <w:szCs w:val="32"/>
          <w:highlight w:val="none"/>
          <w:u w:val="none"/>
        </w:rPr>
        <w:t xml:space="preserve">  </w:t>
      </w:r>
      <w:r>
        <w:rPr>
          <w:rFonts w:hint="eastAsia" w:ascii="仿宋_GB2312" w:hAnsi="黑体" w:eastAsia="仿宋_GB2312"/>
          <w:sz w:val="32"/>
          <w:szCs w:val="32"/>
          <w:highlight w:val="none"/>
          <w:u w:val="none"/>
        </w:rPr>
        <w:t>年</w:t>
      </w:r>
      <w:r>
        <w:rPr>
          <w:rFonts w:ascii="仿宋_GB2312" w:hAnsi="黑体" w:eastAsia="仿宋_GB2312"/>
          <w:sz w:val="32"/>
          <w:szCs w:val="32"/>
          <w:highlight w:val="none"/>
          <w:u w:val="none"/>
        </w:rPr>
        <w:t xml:space="preserve">  </w:t>
      </w:r>
      <w:r>
        <w:rPr>
          <w:rFonts w:hint="eastAsia" w:ascii="仿宋_GB2312" w:hAnsi="黑体" w:eastAsia="仿宋_GB2312"/>
          <w:sz w:val="32"/>
          <w:szCs w:val="32"/>
          <w:highlight w:val="none"/>
          <w:u w:val="none"/>
        </w:rPr>
        <w:t xml:space="preserve"> 月 </w:t>
      </w:r>
      <w:r>
        <w:rPr>
          <w:rFonts w:ascii="仿宋_GB2312" w:hAnsi="黑体" w:eastAsia="仿宋_GB2312"/>
          <w:sz w:val="32"/>
          <w:szCs w:val="32"/>
          <w:highlight w:val="none"/>
          <w:u w:val="none"/>
        </w:rPr>
        <w:t xml:space="preserve"> </w:t>
      </w:r>
      <w:r>
        <w:rPr>
          <w:rFonts w:hint="eastAsia" w:ascii="仿宋_GB2312" w:hAnsi="黑体" w:eastAsia="仿宋_GB2312"/>
          <w:sz w:val="32"/>
          <w:szCs w:val="32"/>
          <w:highlight w:val="none"/>
          <w:u w:val="none"/>
        </w:rPr>
        <w:t xml:space="preserve"> 日收到你（单位）提出的</w:t>
      </w:r>
      <w:r>
        <w:rPr>
          <w:rFonts w:ascii="仿宋_GB2312" w:hAnsi="黑体" w:eastAsia="仿宋_GB2312"/>
          <w:sz w:val="32"/>
          <w:szCs w:val="32"/>
          <w:highlight w:val="none"/>
          <w:u w:val="none"/>
        </w:rPr>
        <w:t xml:space="preserve"> </w:t>
      </w:r>
      <w:r>
        <w:rPr>
          <w:rFonts w:hint="eastAsia" w:ascii="仿宋_GB2312" w:hAnsi="黑体" w:eastAsia="仿宋_GB2312"/>
          <w:sz w:val="32"/>
          <w:szCs w:val="32"/>
          <w:highlight w:val="none"/>
          <w:u w:val="none"/>
          <w:lang w:val="en-US" w:eastAsia="zh-CN"/>
        </w:rPr>
        <w:t xml:space="preserve">   </w:t>
      </w:r>
      <w:r>
        <w:rPr>
          <w:rFonts w:hint="eastAsia" w:ascii="仿宋_GB2312" w:hAnsi="黑体" w:eastAsia="仿宋_GB2312"/>
          <w:sz w:val="32"/>
          <w:szCs w:val="32"/>
          <w:highlight w:val="none"/>
          <w:u w:val="none"/>
        </w:rPr>
        <w:t>申请，经审查，不符合《衢州市医疗保障信用管理办法》</w:t>
      </w:r>
      <w:r>
        <w:rPr>
          <w:rFonts w:ascii="仿宋_GB2312" w:hAnsi="黑体" w:eastAsia="仿宋_GB2312"/>
          <w:sz w:val="32"/>
          <w:szCs w:val="32"/>
          <w:highlight w:val="none"/>
          <w:u w:val="none"/>
        </w:rPr>
        <w:t xml:space="preserve">          </w:t>
      </w:r>
      <w:r>
        <w:rPr>
          <w:rFonts w:hint="eastAsia" w:ascii="仿宋_GB2312" w:hAnsi="黑体" w:eastAsia="仿宋_GB2312"/>
          <w:sz w:val="32"/>
          <w:szCs w:val="32"/>
          <w:highlight w:val="none"/>
          <w:u w:val="none"/>
        </w:rPr>
        <w:t>规定，决定不予信用修复。</w:t>
      </w:r>
    </w:p>
    <w:p>
      <w:pPr>
        <w:spacing w:line="660" w:lineRule="exact"/>
        <w:ind w:firstLine="640" w:firstLineChars="200"/>
        <w:jc w:val="left"/>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 xml:space="preserve">如不服本决定，可以自收到本告知书之日起 5 个工作日内，向      </w:t>
      </w:r>
      <w:r>
        <w:rPr>
          <w:rFonts w:ascii="仿宋_GB2312" w:hAnsi="黑体" w:eastAsia="仿宋_GB2312"/>
          <w:sz w:val="32"/>
          <w:szCs w:val="32"/>
          <w:highlight w:val="none"/>
          <w:u w:val="none"/>
        </w:rPr>
        <w:t xml:space="preserve">    </w:t>
      </w:r>
      <w:r>
        <w:rPr>
          <w:rFonts w:hint="eastAsia" w:ascii="仿宋_GB2312" w:hAnsi="黑体" w:eastAsia="仿宋_GB2312"/>
          <w:sz w:val="32"/>
          <w:szCs w:val="32"/>
          <w:highlight w:val="none"/>
          <w:u w:val="none"/>
        </w:rPr>
        <w:t xml:space="preserve">   提出异议申请。</w:t>
      </w:r>
    </w:p>
    <w:p>
      <w:pPr>
        <w:spacing w:line="660" w:lineRule="exact"/>
        <w:ind w:firstLine="640" w:firstLineChars="200"/>
        <w:jc w:val="left"/>
        <w:rPr>
          <w:rFonts w:ascii="仿宋_GB2312" w:hAnsi="黑体" w:eastAsia="仿宋_GB2312"/>
          <w:sz w:val="32"/>
          <w:szCs w:val="32"/>
          <w:highlight w:val="none"/>
          <w:u w:val="none"/>
        </w:rPr>
      </w:pPr>
    </w:p>
    <w:p>
      <w:pPr>
        <w:spacing w:line="660" w:lineRule="exact"/>
        <w:ind w:firstLine="640" w:firstLineChars="200"/>
        <w:jc w:val="left"/>
        <w:rPr>
          <w:rFonts w:ascii="仿宋_GB2312" w:hAnsi="黑体" w:eastAsia="仿宋_GB2312"/>
          <w:sz w:val="32"/>
          <w:szCs w:val="32"/>
          <w:highlight w:val="none"/>
          <w:u w:val="none"/>
        </w:rPr>
      </w:pPr>
    </w:p>
    <w:p>
      <w:pPr>
        <w:spacing w:line="660" w:lineRule="exact"/>
        <w:ind w:right="640" w:firstLine="640" w:firstLineChars="200"/>
        <w:jc w:val="right"/>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单位名称（公章）</w:t>
      </w:r>
    </w:p>
    <w:p>
      <w:pPr>
        <w:spacing w:line="660" w:lineRule="exact"/>
        <w:ind w:right="1280" w:firstLine="640" w:firstLineChars="200"/>
        <w:jc w:val="right"/>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 xml:space="preserve"> 年  月  日    </w:t>
      </w:r>
    </w:p>
    <w:p>
      <w:pPr>
        <w:spacing w:line="660" w:lineRule="exact"/>
        <w:ind w:firstLine="640" w:firstLineChars="200"/>
        <w:jc w:val="left"/>
        <w:rPr>
          <w:rFonts w:ascii="仿宋_GB2312" w:hAnsi="黑体" w:eastAsia="仿宋_GB2312"/>
          <w:sz w:val="32"/>
          <w:szCs w:val="32"/>
          <w:highlight w:val="none"/>
          <w:u w:val="none"/>
        </w:rPr>
      </w:pPr>
    </w:p>
    <w:p>
      <w:pPr>
        <w:spacing w:line="660" w:lineRule="exact"/>
        <w:ind w:firstLine="640" w:firstLineChars="200"/>
        <w:jc w:val="left"/>
        <w:rPr>
          <w:rFonts w:ascii="仿宋_GB2312" w:hAnsi="黑体" w:eastAsia="仿宋_GB2312"/>
          <w:sz w:val="32"/>
          <w:szCs w:val="32"/>
          <w:highlight w:val="none"/>
          <w:u w:val="none"/>
        </w:rPr>
      </w:pPr>
    </w:p>
    <w:p>
      <w:pPr>
        <w:spacing w:line="660" w:lineRule="exact"/>
        <w:ind w:firstLine="640" w:firstLineChars="200"/>
        <w:jc w:val="left"/>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经办人：         经办人电话：</w:t>
      </w:r>
    </w:p>
    <w:p>
      <w:pPr>
        <w:spacing w:line="660" w:lineRule="exact"/>
        <w:ind w:firstLine="640" w:firstLineChars="200"/>
        <w:jc w:val="left"/>
        <w:rPr>
          <w:rFonts w:ascii="仿宋_GB2312" w:hAnsi="黑体" w:eastAsia="仿宋_GB2312"/>
          <w:sz w:val="32"/>
          <w:szCs w:val="32"/>
          <w:highlight w:val="none"/>
          <w:u w:val="none"/>
        </w:rPr>
      </w:pPr>
    </w:p>
    <w:p>
      <w:pPr>
        <w:widowControl/>
        <w:spacing w:line="660" w:lineRule="exact"/>
        <w:ind w:firstLine="640" w:firstLineChars="200"/>
        <w:jc w:val="left"/>
        <w:rPr>
          <w:rFonts w:ascii="黑体" w:hAnsi="黑体" w:eastAsia="黑体" w:cs="黑体"/>
          <w:kern w:val="0"/>
          <w:sz w:val="32"/>
          <w:szCs w:val="32"/>
          <w:highlight w:val="none"/>
          <w:u w:val="none"/>
        </w:rPr>
      </w:pPr>
    </w:p>
    <w:p>
      <w:pPr>
        <w:widowControl/>
        <w:spacing w:line="660" w:lineRule="exact"/>
        <w:jc w:val="left"/>
        <w:rPr>
          <w:rFonts w:ascii="宋体" w:hAnsi="宋体" w:cs="黑体"/>
          <w:kern w:val="0"/>
          <w:sz w:val="32"/>
          <w:szCs w:val="32"/>
          <w:highlight w:val="none"/>
          <w:u w:val="none"/>
        </w:rPr>
      </w:pPr>
      <w:r>
        <w:rPr>
          <w:rFonts w:hint="eastAsia" w:ascii="黑体" w:hAnsi="黑体" w:eastAsia="黑体" w:cs="黑体"/>
          <w:kern w:val="0"/>
          <w:sz w:val="32"/>
          <w:szCs w:val="32"/>
          <w:highlight w:val="none"/>
          <w:u w:val="none"/>
        </w:rPr>
        <w:br w:type="page"/>
      </w:r>
      <w:r>
        <w:rPr>
          <w:rFonts w:hint="eastAsia" w:ascii="宋体" w:hAnsi="宋体" w:cs="黑体"/>
          <w:kern w:val="0"/>
          <w:sz w:val="32"/>
          <w:szCs w:val="32"/>
          <w:highlight w:val="none"/>
          <w:u w:val="none"/>
        </w:rPr>
        <w:t>附件</w:t>
      </w:r>
      <w:r>
        <w:rPr>
          <w:rFonts w:hint="eastAsia" w:ascii="宋体" w:hAnsi="宋体" w:cs="黑体"/>
          <w:kern w:val="0"/>
          <w:sz w:val="32"/>
          <w:szCs w:val="32"/>
          <w:highlight w:val="none"/>
          <w:u w:val="none"/>
          <w:lang w:val="en-US" w:eastAsia="zh-CN"/>
        </w:rPr>
        <w:t>5</w:t>
      </w:r>
    </w:p>
    <w:p>
      <w:pPr>
        <w:spacing w:line="500" w:lineRule="exact"/>
        <w:ind w:firstLine="880" w:firstLineChars="200"/>
        <w:jc w:val="center"/>
        <w:rPr>
          <w:rFonts w:ascii="方正小标宋简体" w:hAnsi="方正小标宋简体" w:eastAsia="方正小标宋简体"/>
          <w:sz w:val="44"/>
          <w:szCs w:val="44"/>
          <w:highlight w:val="none"/>
          <w:u w:val="none"/>
        </w:rPr>
      </w:pPr>
      <w:r>
        <w:rPr>
          <w:rFonts w:hint="eastAsia" w:ascii="方正小标宋简体" w:hAnsi="方正小标宋简体" w:eastAsia="方正小标宋简体"/>
          <w:sz w:val="44"/>
          <w:szCs w:val="44"/>
          <w:highlight w:val="none"/>
          <w:u w:val="none"/>
        </w:rPr>
        <w:t>信用修复确认通知书</w:t>
      </w:r>
    </w:p>
    <w:p>
      <w:pPr>
        <w:spacing w:line="500" w:lineRule="exact"/>
        <w:ind w:firstLine="880" w:firstLineChars="200"/>
        <w:jc w:val="center"/>
        <w:rPr>
          <w:rFonts w:ascii="黑体" w:hAnsi="黑体" w:eastAsia="黑体"/>
          <w:sz w:val="32"/>
          <w:szCs w:val="32"/>
          <w:highlight w:val="none"/>
          <w:u w:val="none"/>
        </w:rPr>
      </w:pPr>
      <w:r>
        <w:rPr>
          <w:rFonts w:hint="eastAsia" w:ascii="方正小标宋简体" w:hAnsi="方正小标宋简体" w:eastAsia="方正小标宋简体"/>
          <w:sz w:val="44"/>
          <w:szCs w:val="44"/>
          <w:highlight w:val="none"/>
          <w:u w:val="none"/>
        </w:rPr>
        <w:t xml:space="preserve">   </w:t>
      </w:r>
      <w:r>
        <w:rPr>
          <w:rFonts w:ascii="黑体" w:hAnsi="黑体" w:eastAsia="黑体"/>
          <w:sz w:val="32"/>
          <w:szCs w:val="32"/>
          <w:highlight w:val="none"/>
          <w:u w:val="none"/>
        </w:rPr>
        <w:t xml:space="preserve"> </w:t>
      </w:r>
      <w:r>
        <w:rPr>
          <w:rFonts w:hint="eastAsia" w:ascii="黑体" w:hAnsi="黑体" w:eastAsia="黑体"/>
          <w:sz w:val="32"/>
          <w:szCs w:val="32"/>
          <w:highlight w:val="none"/>
          <w:u w:val="none"/>
        </w:rPr>
        <w:t xml:space="preserve">               </w:t>
      </w:r>
      <w:r>
        <w:rPr>
          <w:rFonts w:ascii="黑体" w:hAnsi="黑体" w:eastAsia="黑体"/>
          <w:sz w:val="32"/>
          <w:szCs w:val="32"/>
          <w:highlight w:val="none"/>
          <w:u w:val="none"/>
        </w:rPr>
        <w:t>编号：</w:t>
      </w:r>
    </w:p>
    <w:tbl>
      <w:tblPr>
        <w:tblStyle w:val="6"/>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2037"/>
        <w:gridCol w:w="2529"/>
        <w:gridCol w:w="182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332" w:type="dxa"/>
            <w:vMerge w:val="restart"/>
            <w:vAlign w:val="center"/>
          </w:tcPr>
          <w:p>
            <w:pPr>
              <w:spacing w:line="500" w:lineRule="exact"/>
              <w:jc w:val="left"/>
              <w:rPr>
                <w:rFonts w:ascii="黑体" w:hAnsi="黑体" w:eastAsia="黑体"/>
                <w:sz w:val="32"/>
                <w:szCs w:val="32"/>
                <w:highlight w:val="none"/>
                <w:u w:val="none"/>
              </w:rPr>
            </w:pPr>
            <w:r>
              <w:rPr>
                <w:rFonts w:hint="eastAsia" w:ascii="黑体" w:hAnsi="黑体" w:eastAsia="黑体"/>
                <w:sz w:val="32"/>
                <w:szCs w:val="32"/>
                <w:highlight w:val="none"/>
                <w:u w:val="none"/>
              </w:rPr>
              <w:t>申请修复的失信主体</w:t>
            </w:r>
          </w:p>
        </w:tc>
        <w:tc>
          <w:tcPr>
            <w:tcW w:w="2037" w:type="dxa"/>
            <w:vAlign w:val="center"/>
          </w:tcPr>
          <w:p>
            <w:pPr>
              <w:spacing w:line="500" w:lineRule="exact"/>
              <w:ind w:firstLine="320" w:firstLineChars="100"/>
              <w:rPr>
                <w:rFonts w:ascii="黑体" w:hAnsi="黑体" w:eastAsia="黑体"/>
                <w:sz w:val="32"/>
                <w:szCs w:val="32"/>
                <w:highlight w:val="none"/>
                <w:u w:val="none"/>
              </w:rPr>
            </w:pPr>
            <w:r>
              <w:rPr>
                <w:rFonts w:hint="eastAsia" w:ascii="黑体" w:hAnsi="黑体" w:eastAsia="黑体"/>
                <w:sz w:val="32"/>
                <w:szCs w:val="32"/>
                <w:highlight w:val="none"/>
                <w:u w:val="none"/>
              </w:rPr>
              <w:t>名称</w:t>
            </w:r>
          </w:p>
        </w:tc>
        <w:tc>
          <w:tcPr>
            <w:tcW w:w="5653" w:type="dxa"/>
            <w:gridSpan w:val="3"/>
            <w:vAlign w:val="center"/>
          </w:tcPr>
          <w:p>
            <w:pPr>
              <w:spacing w:line="500" w:lineRule="exact"/>
              <w:ind w:firstLine="560" w:firstLineChars="200"/>
              <w:jc w:val="center"/>
              <w:rPr>
                <w:rFonts w:ascii="黑体" w:hAnsi="黑体" w:eastAsia="黑体"/>
                <w:sz w:val="32"/>
                <w:szCs w:val="32"/>
                <w:highlight w:val="none"/>
                <w:u w:val="none"/>
              </w:rPr>
            </w:pPr>
            <w:r>
              <w:rPr>
                <w:rFonts w:hint="eastAsia" w:ascii="仿宋_GB2312" w:hAnsi="方正小标宋简体" w:eastAsia="仿宋_GB2312"/>
                <w:sz w:val="28"/>
                <w:szCs w:val="28"/>
                <w:highlight w:val="none"/>
                <w:u w:val="none"/>
              </w:rPr>
              <w:t>（填写法人单位名称或自然人名称）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332" w:type="dxa"/>
            <w:vMerge w:val="continue"/>
            <w:vAlign w:val="center"/>
          </w:tcPr>
          <w:p>
            <w:pPr>
              <w:spacing w:line="500" w:lineRule="exact"/>
              <w:ind w:firstLine="640" w:firstLineChars="200"/>
              <w:jc w:val="left"/>
              <w:rPr>
                <w:rFonts w:ascii="黑体" w:hAnsi="黑体" w:eastAsia="黑体"/>
                <w:sz w:val="32"/>
                <w:szCs w:val="32"/>
                <w:highlight w:val="none"/>
                <w:u w:val="none"/>
              </w:rPr>
            </w:pPr>
          </w:p>
        </w:tc>
        <w:tc>
          <w:tcPr>
            <w:tcW w:w="2037" w:type="dxa"/>
            <w:vAlign w:val="center"/>
          </w:tcPr>
          <w:p>
            <w:pPr>
              <w:spacing w:line="500" w:lineRule="exact"/>
              <w:rPr>
                <w:rFonts w:ascii="黑体" w:hAnsi="黑体" w:eastAsia="黑体"/>
                <w:sz w:val="32"/>
                <w:szCs w:val="32"/>
                <w:highlight w:val="none"/>
                <w:u w:val="none"/>
              </w:rPr>
            </w:pPr>
            <w:r>
              <w:rPr>
                <w:rFonts w:hint="eastAsia" w:ascii="黑体" w:hAnsi="黑体" w:eastAsia="黑体"/>
                <w:sz w:val="32"/>
                <w:szCs w:val="32"/>
                <w:highlight w:val="none"/>
                <w:u w:val="none"/>
              </w:rPr>
              <w:t>统一社会信用代码</w:t>
            </w:r>
          </w:p>
        </w:tc>
        <w:tc>
          <w:tcPr>
            <w:tcW w:w="5653" w:type="dxa"/>
            <w:gridSpan w:val="3"/>
            <w:vAlign w:val="center"/>
          </w:tcPr>
          <w:p>
            <w:pPr>
              <w:spacing w:line="500" w:lineRule="exact"/>
              <w:ind w:firstLine="560" w:firstLineChars="200"/>
              <w:jc w:val="center"/>
              <w:rPr>
                <w:rFonts w:ascii="仿宋_GB2312" w:hAnsi="黑体" w:eastAsia="仿宋_GB2312"/>
                <w:sz w:val="32"/>
                <w:szCs w:val="32"/>
                <w:highlight w:val="none"/>
                <w:u w:val="none"/>
              </w:rPr>
            </w:pPr>
            <w:r>
              <w:rPr>
                <w:rFonts w:hint="eastAsia" w:ascii="仿宋_GB2312" w:hAnsi="黑体" w:eastAsia="仿宋_GB2312"/>
                <w:sz w:val="28"/>
                <w:szCs w:val="28"/>
                <w:highlight w:val="none"/>
                <w:u w:val="none"/>
              </w:rPr>
              <w:t>（自然人填写身份证号）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332" w:type="dxa"/>
            <w:vMerge w:val="continue"/>
            <w:vAlign w:val="center"/>
          </w:tcPr>
          <w:p>
            <w:pPr>
              <w:spacing w:line="500" w:lineRule="exact"/>
              <w:ind w:firstLine="640" w:firstLineChars="200"/>
              <w:jc w:val="left"/>
              <w:rPr>
                <w:rFonts w:ascii="黑体" w:hAnsi="黑体" w:eastAsia="黑体"/>
                <w:sz w:val="32"/>
                <w:szCs w:val="32"/>
                <w:highlight w:val="none"/>
                <w:u w:val="none"/>
              </w:rPr>
            </w:pPr>
          </w:p>
        </w:tc>
        <w:tc>
          <w:tcPr>
            <w:tcW w:w="2037" w:type="dxa"/>
            <w:vAlign w:val="center"/>
          </w:tcPr>
          <w:p>
            <w:pPr>
              <w:spacing w:line="500" w:lineRule="exact"/>
              <w:rPr>
                <w:rFonts w:ascii="黑体" w:hAnsi="黑体" w:eastAsia="黑体"/>
                <w:sz w:val="32"/>
                <w:szCs w:val="32"/>
                <w:highlight w:val="none"/>
                <w:u w:val="none"/>
              </w:rPr>
            </w:pPr>
            <w:r>
              <w:rPr>
                <w:rFonts w:hint="eastAsia" w:ascii="黑体" w:hAnsi="黑体" w:eastAsia="黑体"/>
                <w:sz w:val="32"/>
                <w:szCs w:val="32"/>
                <w:highlight w:val="none"/>
                <w:u w:val="none"/>
              </w:rPr>
              <w:t>法定代表人</w:t>
            </w:r>
          </w:p>
        </w:tc>
        <w:tc>
          <w:tcPr>
            <w:tcW w:w="2529" w:type="dxa"/>
            <w:vAlign w:val="center"/>
          </w:tcPr>
          <w:p>
            <w:pPr>
              <w:spacing w:line="500" w:lineRule="exact"/>
              <w:ind w:firstLine="640" w:firstLineChars="200"/>
              <w:jc w:val="center"/>
              <w:rPr>
                <w:rFonts w:ascii="黑体" w:hAnsi="黑体" w:eastAsia="黑体"/>
                <w:sz w:val="32"/>
                <w:szCs w:val="32"/>
                <w:highlight w:val="none"/>
                <w:u w:val="none"/>
              </w:rPr>
            </w:pPr>
          </w:p>
        </w:tc>
        <w:tc>
          <w:tcPr>
            <w:tcW w:w="1826" w:type="dxa"/>
            <w:vAlign w:val="center"/>
          </w:tcPr>
          <w:p>
            <w:pPr>
              <w:spacing w:line="500" w:lineRule="exact"/>
              <w:rPr>
                <w:rFonts w:ascii="黑体" w:hAnsi="黑体" w:eastAsia="黑体"/>
                <w:sz w:val="32"/>
                <w:szCs w:val="32"/>
                <w:highlight w:val="none"/>
                <w:u w:val="none"/>
              </w:rPr>
            </w:pPr>
            <w:r>
              <w:rPr>
                <w:rFonts w:hint="eastAsia" w:ascii="黑体" w:hAnsi="黑体" w:eastAsia="黑体"/>
                <w:sz w:val="32"/>
                <w:szCs w:val="32"/>
                <w:highlight w:val="none"/>
                <w:u w:val="none"/>
              </w:rPr>
              <w:t>联系方式</w:t>
            </w:r>
          </w:p>
        </w:tc>
        <w:tc>
          <w:tcPr>
            <w:tcW w:w="1298" w:type="dxa"/>
            <w:vAlign w:val="center"/>
          </w:tcPr>
          <w:p>
            <w:pPr>
              <w:spacing w:line="500" w:lineRule="exact"/>
              <w:ind w:firstLine="640" w:firstLineChars="200"/>
              <w:jc w:val="left"/>
              <w:rPr>
                <w:rFonts w:ascii="黑体" w:hAnsi="黑体" w:eastAsia="黑体"/>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332" w:type="dxa"/>
            <w:vMerge w:val="continue"/>
            <w:vAlign w:val="center"/>
          </w:tcPr>
          <w:p>
            <w:pPr>
              <w:spacing w:line="500" w:lineRule="exact"/>
              <w:ind w:firstLine="640" w:firstLineChars="200"/>
              <w:jc w:val="left"/>
              <w:rPr>
                <w:rFonts w:ascii="黑体" w:hAnsi="黑体" w:eastAsia="黑体"/>
                <w:sz w:val="32"/>
                <w:szCs w:val="32"/>
                <w:highlight w:val="none"/>
                <w:u w:val="none"/>
              </w:rPr>
            </w:pPr>
          </w:p>
        </w:tc>
        <w:tc>
          <w:tcPr>
            <w:tcW w:w="2037" w:type="dxa"/>
            <w:vAlign w:val="center"/>
          </w:tcPr>
          <w:p>
            <w:pPr>
              <w:spacing w:line="500" w:lineRule="exact"/>
              <w:rPr>
                <w:rFonts w:ascii="黑体" w:hAnsi="黑体" w:eastAsia="黑体"/>
                <w:sz w:val="32"/>
                <w:szCs w:val="32"/>
                <w:highlight w:val="none"/>
                <w:u w:val="none"/>
              </w:rPr>
            </w:pPr>
            <w:r>
              <w:rPr>
                <w:rFonts w:hint="eastAsia" w:ascii="黑体" w:hAnsi="黑体" w:eastAsia="黑体"/>
                <w:sz w:val="32"/>
                <w:szCs w:val="32"/>
                <w:highlight w:val="none"/>
                <w:u w:val="none"/>
              </w:rPr>
              <w:t>失信信息</w:t>
            </w:r>
          </w:p>
          <w:p>
            <w:pPr>
              <w:spacing w:line="500" w:lineRule="exact"/>
              <w:rPr>
                <w:rFonts w:ascii="黑体" w:hAnsi="黑体" w:eastAsia="黑体"/>
                <w:sz w:val="32"/>
                <w:szCs w:val="32"/>
                <w:highlight w:val="none"/>
                <w:u w:val="none"/>
              </w:rPr>
            </w:pPr>
            <w:r>
              <w:rPr>
                <w:rFonts w:hint="eastAsia" w:ascii="黑体" w:hAnsi="黑体" w:eastAsia="黑体"/>
                <w:sz w:val="32"/>
                <w:szCs w:val="32"/>
                <w:highlight w:val="none"/>
                <w:u w:val="none"/>
              </w:rPr>
              <w:t>内容</w:t>
            </w:r>
          </w:p>
        </w:tc>
        <w:tc>
          <w:tcPr>
            <w:tcW w:w="5653" w:type="dxa"/>
            <w:gridSpan w:val="3"/>
            <w:vAlign w:val="center"/>
          </w:tcPr>
          <w:p>
            <w:pPr>
              <w:spacing w:line="500" w:lineRule="exact"/>
              <w:ind w:firstLine="640" w:firstLineChars="200"/>
              <w:jc w:val="left"/>
              <w:rPr>
                <w:rFonts w:ascii="黑体" w:hAnsi="黑体" w:eastAsia="黑体"/>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trPr>
        <w:tc>
          <w:tcPr>
            <w:tcW w:w="1332" w:type="dxa"/>
            <w:vAlign w:val="center"/>
          </w:tcPr>
          <w:p>
            <w:pPr>
              <w:spacing w:line="500" w:lineRule="exact"/>
              <w:jc w:val="left"/>
              <w:rPr>
                <w:rFonts w:ascii="黑体" w:hAnsi="黑体" w:eastAsia="黑体"/>
                <w:sz w:val="32"/>
                <w:szCs w:val="32"/>
                <w:highlight w:val="none"/>
                <w:u w:val="none"/>
              </w:rPr>
            </w:pPr>
            <w:r>
              <w:rPr>
                <w:rFonts w:hint="eastAsia" w:ascii="黑体" w:hAnsi="黑体" w:eastAsia="黑体"/>
                <w:sz w:val="32"/>
                <w:szCs w:val="32"/>
                <w:highlight w:val="none"/>
                <w:u w:val="none"/>
              </w:rPr>
              <w:t>医疗保障部门意见</w:t>
            </w:r>
          </w:p>
        </w:tc>
        <w:tc>
          <w:tcPr>
            <w:tcW w:w="2037" w:type="dxa"/>
            <w:vAlign w:val="center"/>
          </w:tcPr>
          <w:p>
            <w:pPr>
              <w:spacing w:line="500" w:lineRule="exact"/>
              <w:rPr>
                <w:rFonts w:ascii="黑体" w:hAnsi="黑体" w:eastAsia="黑体"/>
                <w:sz w:val="32"/>
                <w:szCs w:val="32"/>
                <w:highlight w:val="none"/>
                <w:u w:val="none"/>
              </w:rPr>
            </w:pPr>
            <w:r>
              <w:rPr>
                <w:rFonts w:hint="eastAsia" w:ascii="黑体" w:hAnsi="黑体" w:eastAsia="黑体"/>
                <w:sz w:val="32"/>
                <w:szCs w:val="32"/>
                <w:highlight w:val="none"/>
                <w:u w:val="none"/>
              </w:rPr>
              <w:t>修复条件</w:t>
            </w:r>
          </w:p>
          <w:p>
            <w:pPr>
              <w:spacing w:line="500" w:lineRule="exact"/>
              <w:rPr>
                <w:rFonts w:ascii="黑体" w:hAnsi="黑体" w:eastAsia="黑体"/>
                <w:sz w:val="32"/>
                <w:szCs w:val="32"/>
                <w:highlight w:val="none"/>
                <w:u w:val="none"/>
              </w:rPr>
            </w:pPr>
            <w:r>
              <w:rPr>
                <w:rFonts w:hint="eastAsia" w:ascii="黑体" w:hAnsi="黑体" w:eastAsia="黑体"/>
                <w:sz w:val="32"/>
                <w:szCs w:val="32"/>
                <w:highlight w:val="none"/>
                <w:u w:val="none"/>
              </w:rPr>
              <w:t>认定情况</w:t>
            </w:r>
          </w:p>
        </w:tc>
        <w:tc>
          <w:tcPr>
            <w:tcW w:w="5653" w:type="dxa"/>
            <w:gridSpan w:val="3"/>
            <w:vAlign w:val="center"/>
          </w:tcPr>
          <w:p>
            <w:pPr>
              <w:spacing w:line="500" w:lineRule="exact"/>
              <w:ind w:firstLine="560" w:firstLineChars="200"/>
              <w:jc w:val="left"/>
              <w:rPr>
                <w:rFonts w:ascii="仿宋_GB2312" w:hAnsi="黑体" w:eastAsia="仿宋_GB2312"/>
                <w:sz w:val="28"/>
                <w:szCs w:val="28"/>
                <w:highlight w:val="none"/>
                <w:u w:val="none"/>
              </w:rPr>
            </w:pPr>
            <w:r>
              <w:rPr>
                <w:rFonts w:hint="eastAsia" w:ascii="仿宋_GB2312" w:hAnsi="黑体" w:eastAsia="仿宋_GB2312"/>
                <w:sz w:val="28"/>
                <w:szCs w:val="28"/>
                <w:highlight w:val="none"/>
                <w:u w:val="none"/>
              </w:rPr>
              <w:t xml:space="preserve">经核实，不良信息主体已履行法定责任和义务，社会不良影响基本消除。 </w:t>
            </w:r>
          </w:p>
          <w:p>
            <w:pPr>
              <w:spacing w:line="500" w:lineRule="exact"/>
              <w:ind w:firstLine="560" w:firstLineChars="200"/>
              <w:jc w:val="left"/>
              <w:rPr>
                <w:rFonts w:ascii="黑体" w:hAnsi="黑体" w:eastAsia="黑体"/>
                <w:sz w:val="32"/>
                <w:szCs w:val="32"/>
                <w:highlight w:val="none"/>
                <w:u w:val="none"/>
              </w:rPr>
            </w:pPr>
            <w:r>
              <w:rPr>
                <w:rFonts w:hint="eastAsia" w:ascii="仿宋_GB2312" w:hAnsi="黑体" w:eastAsia="仿宋_GB2312"/>
                <w:sz w:val="28"/>
                <w:szCs w:val="28"/>
                <w:highlight w:val="none"/>
                <w:u w:val="none"/>
              </w:rPr>
              <w:t>至申请日，不良信息已披露 年 个月， 期间未产生新的记入信用档案的同类不良信息。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1332" w:type="dxa"/>
            <w:vAlign w:val="center"/>
          </w:tcPr>
          <w:p>
            <w:pPr>
              <w:spacing w:line="500" w:lineRule="exact"/>
              <w:jc w:val="left"/>
              <w:rPr>
                <w:rFonts w:ascii="黑体" w:hAnsi="黑体" w:eastAsia="黑体"/>
                <w:sz w:val="32"/>
                <w:szCs w:val="32"/>
                <w:highlight w:val="none"/>
                <w:u w:val="none"/>
              </w:rPr>
            </w:pPr>
            <w:r>
              <w:rPr>
                <w:rFonts w:hint="eastAsia" w:ascii="黑体" w:hAnsi="黑体" w:eastAsia="黑体"/>
                <w:sz w:val="32"/>
                <w:szCs w:val="32"/>
                <w:highlight w:val="none"/>
                <w:u w:val="none"/>
              </w:rPr>
              <w:t>修复处理意见</w:t>
            </w:r>
          </w:p>
        </w:tc>
        <w:tc>
          <w:tcPr>
            <w:tcW w:w="7690" w:type="dxa"/>
            <w:gridSpan w:val="4"/>
            <w:vAlign w:val="center"/>
          </w:tcPr>
          <w:p>
            <w:pPr>
              <w:spacing w:line="500" w:lineRule="exact"/>
              <w:ind w:firstLine="560" w:firstLineChars="200"/>
              <w:jc w:val="right"/>
              <w:rPr>
                <w:rFonts w:ascii="仿宋_GB2312" w:hAnsi="黑体" w:eastAsia="仿宋_GB2312"/>
                <w:sz w:val="28"/>
                <w:szCs w:val="28"/>
                <w:highlight w:val="none"/>
                <w:u w:val="none"/>
              </w:rPr>
            </w:pPr>
            <w:r>
              <w:rPr>
                <w:rFonts w:hint="eastAsia" w:ascii="仿宋_GB2312" w:hAnsi="黑体" w:eastAsia="仿宋_GB2312"/>
                <w:sz w:val="28"/>
                <w:szCs w:val="28"/>
                <w:highlight w:val="none"/>
                <w:u w:val="none"/>
              </w:rPr>
              <w:t xml:space="preserve"> </w:t>
            </w:r>
          </w:p>
          <w:p>
            <w:pPr>
              <w:spacing w:line="500" w:lineRule="exact"/>
              <w:ind w:firstLine="560" w:firstLineChars="200"/>
              <w:jc w:val="right"/>
              <w:rPr>
                <w:rFonts w:ascii="仿宋_GB2312" w:hAnsi="黑体" w:eastAsia="仿宋_GB2312"/>
                <w:sz w:val="28"/>
                <w:szCs w:val="28"/>
                <w:highlight w:val="none"/>
                <w:u w:val="none"/>
              </w:rPr>
            </w:pPr>
          </w:p>
          <w:p>
            <w:pPr>
              <w:spacing w:line="500" w:lineRule="exact"/>
              <w:ind w:firstLine="560" w:firstLineChars="200"/>
              <w:jc w:val="center"/>
              <w:rPr>
                <w:rFonts w:ascii="仿宋_GB2312" w:hAnsi="黑体" w:eastAsia="仿宋_GB2312"/>
                <w:sz w:val="28"/>
                <w:szCs w:val="28"/>
                <w:highlight w:val="none"/>
                <w:u w:val="none"/>
              </w:rPr>
            </w:pPr>
            <w:r>
              <w:rPr>
                <w:rFonts w:hint="eastAsia" w:ascii="仿宋_GB2312" w:hAnsi="黑体" w:eastAsia="仿宋_GB2312"/>
                <w:sz w:val="28"/>
                <w:szCs w:val="28"/>
                <w:highlight w:val="none"/>
                <w:u w:val="none"/>
              </w:rPr>
              <w:t xml:space="preserve">      </w:t>
            </w:r>
            <w:r>
              <w:rPr>
                <w:rFonts w:ascii="仿宋_GB2312" w:hAnsi="黑体" w:eastAsia="仿宋_GB2312"/>
                <w:sz w:val="28"/>
                <w:szCs w:val="28"/>
                <w:highlight w:val="none"/>
                <w:u w:val="none"/>
              </w:rPr>
              <w:t xml:space="preserve">   </w:t>
            </w:r>
            <w:r>
              <w:rPr>
                <w:rFonts w:hint="eastAsia" w:ascii="仿宋_GB2312" w:hAnsi="黑体" w:eastAsia="仿宋_GB2312"/>
                <w:sz w:val="28"/>
                <w:szCs w:val="28"/>
                <w:highlight w:val="none"/>
                <w:u w:val="none"/>
              </w:rPr>
              <w:t xml:space="preserve">  经办人：    </w:t>
            </w:r>
            <w:r>
              <w:rPr>
                <w:rFonts w:ascii="仿宋_GB2312" w:hAnsi="黑体" w:eastAsia="仿宋_GB2312"/>
                <w:sz w:val="28"/>
                <w:szCs w:val="28"/>
                <w:highlight w:val="none"/>
                <w:u w:val="none"/>
              </w:rPr>
              <w:t xml:space="preserve">    </w:t>
            </w:r>
            <w:r>
              <w:rPr>
                <w:rFonts w:hint="eastAsia" w:ascii="仿宋_GB2312" w:hAnsi="黑体" w:eastAsia="仿宋_GB2312"/>
                <w:sz w:val="28"/>
                <w:szCs w:val="28"/>
                <w:highlight w:val="none"/>
                <w:u w:val="none"/>
              </w:rPr>
              <w:t xml:space="preserve">    单位（盖章） </w:t>
            </w:r>
            <w:r>
              <w:rPr>
                <w:rFonts w:ascii="仿宋_GB2312" w:hAnsi="黑体" w:eastAsia="仿宋_GB2312"/>
                <w:sz w:val="28"/>
                <w:szCs w:val="28"/>
                <w:highlight w:val="none"/>
                <w:u w:val="none"/>
              </w:rPr>
              <w:t xml:space="preserve">   </w:t>
            </w:r>
            <w:r>
              <w:rPr>
                <w:rFonts w:hint="eastAsia" w:ascii="仿宋_GB2312" w:hAnsi="黑体" w:eastAsia="仿宋_GB2312"/>
                <w:sz w:val="28"/>
                <w:szCs w:val="28"/>
                <w:highlight w:val="none"/>
                <w:u w:val="none"/>
              </w:rPr>
              <w:t xml:space="preserve"> </w:t>
            </w:r>
            <w:r>
              <w:rPr>
                <w:rFonts w:ascii="仿宋_GB2312" w:hAnsi="黑体" w:eastAsia="仿宋_GB2312"/>
                <w:sz w:val="28"/>
                <w:szCs w:val="28"/>
                <w:highlight w:val="none"/>
                <w:u w:val="none"/>
              </w:rPr>
              <w:t xml:space="preserve">  </w:t>
            </w:r>
          </w:p>
          <w:p>
            <w:pPr>
              <w:spacing w:line="500" w:lineRule="exact"/>
              <w:ind w:firstLine="560" w:firstLineChars="200"/>
              <w:jc w:val="right"/>
              <w:rPr>
                <w:rFonts w:ascii="黑体" w:hAnsi="黑体" w:eastAsia="黑体"/>
                <w:sz w:val="32"/>
                <w:szCs w:val="32"/>
                <w:highlight w:val="none"/>
                <w:u w:val="none"/>
              </w:rPr>
            </w:pPr>
            <w:r>
              <w:rPr>
                <w:rFonts w:hint="eastAsia" w:ascii="仿宋_GB2312" w:hAnsi="黑体" w:eastAsia="仿宋_GB2312"/>
                <w:sz w:val="28"/>
                <w:szCs w:val="28"/>
                <w:highlight w:val="none"/>
                <w:u w:val="none"/>
              </w:rPr>
              <w:t xml:space="preserve">年 </w:t>
            </w:r>
            <w:r>
              <w:rPr>
                <w:rFonts w:ascii="仿宋_GB2312" w:hAnsi="黑体" w:eastAsia="仿宋_GB2312"/>
                <w:sz w:val="28"/>
                <w:szCs w:val="28"/>
                <w:highlight w:val="none"/>
                <w:u w:val="none"/>
              </w:rPr>
              <w:t xml:space="preserve"> </w:t>
            </w:r>
            <w:r>
              <w:rPr>
                <w:rFonts w:hint="eastAsia" w:ascii="仿宋_GB2312" w:hAnsi="黑体" w:eastAsia="仿宋_GB2312"/>
                <w:sz w:val="28"/>
                <w:szCs w:val="28"/>
                <w:highlight w:val="none"/>
                <w:u w:val="none"/>
              </w:rPr>
              <w:t xml:space="preserve"> 月 </w:t>
            </w:r>
            <w:r>
              <w:rPr>
                <w:rFonts w:ascii="仿宋_GB2312" w:hAnsi="黑体" w:eastAsia="仿宋_GB2312"/>
                <w:sz w:val="28"/>
                <w:szCs w:val="28"/>
                <w:highlight w:val="none"/>
                <w:u w:val="none"/>
              </w:rPr>
              <w:t xml:space="preserve">  </w:t>
            </w:r>
            <w:r>
              <w:rPr>
                <w:rFonts w:hint="eastAsia" w:ascii="仿宋_GB2312" w:hAnsi="黑体" w:eastAsia="仿宋_GB2312"/>
                <w:sz w:val="28"/>
                <w:szCs w:val="28"/>
                <w:highlight w:val="none"/>
                <w:u w:val="none"/>
              </w:rPr>
              <w:t xml:space="preserve">日 </w:t>
            </w:r>
            <w:r>
              <w:rPr>
                <w:rFonts w:ascii="仿宋_GB2312" w:hAnsi="黑体" w:eastAsia="仿宋_GB2312"/>
                <w:sz w:val="28"/>
                <w:szCs w:val="28"/>
                <w:highlight w:val="none"/>
                <w:u w:val="none"/>
              </w:rPr>
              <w:t xml:space="preserve">      </w:t>
            </w:r>
          </w:p>
        </w:tc>
      </w:tr>
    </w:tbl>
    <w:p>
      <w:pPr>
        <w:ind w:firstLine="640" w:firstLineChars="200"/>
        <w:rPr>
          <w:rFonts w:eastAsia="仿宋_GB2312"/>
          <w:sz w:val="32"/>
          <w:szCs w:val="20"/>
          <w:highlight w:val="none"/>
          <w:u w:val="none"/>
        </w:rPr>
      </w:pPr>
    </w:p>
    <w:p>
      <w:pPr>
        <w:spacing w:line="580" w:lineRule="exact"/>
        <w:ind w:firstLine="640" w:firstLineChars="200"/>
        <w:rPr>
          <w:rFonts w:ascii="仿宋_GB2312" w:eastAsia="仿宋_GB2312"/>
          <w:sz w:val="32"/>
          <w:szCs w:val="32"/>
          <w:highlight w:val="none"/>
          <w:u w:val="none"/>
        </w:rPr>
      </w:pPr>
      <w:r>
        <w:rPr>
          <w:rFonts w:hint="eastAsia" w:ascii="仿宋_GB2312" w:eastAsia="仿宋_GB2312"/>
          <w:sz w:val="32"/>
          <w:szCs w:val="32"/>
          <w:highlight w:val="none"/>
          <w:u w:val="none"/>
        </w:rPr>
        <w:tab/>
      </w:r>
      <w:r>
        <w:rPr>
          <w:rFonts w:hint="eastAsia" w:ascii="仿宋_GB2312" w:eastAsia="仿宋_GB2312"/>
          <w:sz w:val="32"/>
          <w:szCs w:val="32"/>
          <w:highlight w:val="none"/>
          <w:u w:val="none"/>
        </w:rPr>
        <w:tab/>
      </w:r>
    </w:p>
    <w:p>
      <w:pPr>
        <w:spacing w:line="580" w:lineRule="exact"/>
        <w:ind w:firstLine="640" w:firstLineChars="200"/>
        <w:rPr>
          <w:rFonts w:ascii="仿宋_GB2312" w:eastAsia="仿宋_GB2312"/>
          <w:sz w:val="32"/>
          <w:szCs w:val="32"/>
          <w:highlight w:val="none"/>
          <w:u w:val="none"/>
        </w:rPr>
        <w:sectPr>
          <w:pgSz w:w="11906" w:h="16838"/>
          <w:pgMar w:top="1440" w:right="1800" w:bottom="1440" w:left="1800" w:header="851" w:footer="992" w:gutter="0"/>
          <w:pgNumType w:fmt="numberInDash"/>
          <w:cols w:space="720" w:num="1"/>
          <w:docGrid w:type="lines" w:linePitch="312" w:charSpace="0"/>
        </w:sectPr>
      </w:pPr>
    </w:p>
    <w:tbl>
      <w:tblPr>
        <w:tblStyle w:val="6"/>
        <w:tblW w:w="14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5"/>
        <w:gridCol w:w="1080"/>
        <w:gridCol w:w="1080"/>
        <w:gridCol w:w="1080"/>
        <w:gridCol w:w="4200"/>
        <w:gridCol w:w="735"/>
        <w:gridCol w:w="930"/>
        <w:gridCol w:w="945"/>
        <w:gridCol w:w="945"/>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461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32"/>
                <w:szCs w:val="32"/>
                <w:highlight w:val="none"/>
                <w:u w:val="none"/>
                <w:lang w:val="en-US" w:eastAsia="zh-CN" w:bidi="ar-SA"/>
              </w:rPr>
              <w:t>附件6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定点零售药店信用指标评分标准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三级指标</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指标内容</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分值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评定频率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获取方式</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信用修复</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赋分标准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公共信息（100分）</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公共信用评价</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公共信用评价中的企业公共信用评价。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信息交互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企业公共信用评价得分（千分制）×10%。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医保信用（830分）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信用承诺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信用承诺</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在医保领域信用承诺及履约践诺情况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作出虚假承诺，或按规定应作承诺或报告但未作承诺或报告的，每次扣60分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履约行为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就医服务</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不核验参保人员身份、匹配错误、销售规定外物品、违规收集参保人员社会保障卡等任一方式造成基金损失</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系统检测</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视频监控</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每查实一次扣60分，扣完即止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存在进销存不符、串换结算等任一方式造成基金损失或因用医保系统升级等借口隐瞒被处理事实及政策解释不到位等行为，导致参保人员投诉或者上访等现象的</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每查实一次扣90分，扣完即止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药品管理</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从非法的供应单位购进药品的或销售假药、劣药等行为的</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处方管理</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使用假处方配售处方药骗取医保基金的、无处方或不按处方配售处方药的；药师不在岗配售处方药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结算管理</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为无医保结算资格或暂停定点服务的零售药店提供医保结算的或将将医保结算设备转借或赠与他人，改变使用场地的</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系统检测</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查实一次扣70分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真实行为</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通过虚假手段骗取医保基金的或获得医保定点的</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信息交互</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查实一次扣250分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配合检查</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唆使、诱导参保人员集体上访投诉等现象的或拒绝、阻挠、不配合医保部门开展必要的监督检查的或转移、隐匿、毁坏或伪造证据的</w:t>
            </w:r>
          </w:p>
        </w:tc>
        <w:tc>
          <w:tcPr>
            <w:tcW w:w="73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主动配合</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利用举报打击他人的无效举报</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利用举报打击他人的无效举报扣30分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举报投诉或主动交代未掌握的医保违规情况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根据举报奖励制度执行，查实的举报直接证据一次加10分，间接证据加5分；主动交代的内容根据违规性质和金额进行5-10分的加分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监督管理（70分）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4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当期该定点零售药店被相关部门处以与医保相关的行政处罚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信息交互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查实一次扣70分</w:t>
            </w:r>
          </w:p>
        </w:tc>
      </w:tr>
    </w:tbl>
    <w:p>
      <w:pPr>
        <w:spacing w:line="580" w:lineRule="exact"/>
        <w:rPr>
          <w:rFonts w:ascii="仿宋_GB2312" w:eastAsia="仿宋_GB2312"/>
          <w:sz w:val="32"/>
          <w:szCs w:val="32"/>
          <w:highlight w:val="none"/>
          <w:u w:val="none"/>
        </w:rPr>
      </w:pPr>
    </w:p>
    <w:p>
      <w:pPr>
        <w:spacing w:line="580" w:lineRule="exact"/>
        <w:rPr>
          <w:rFonts w:ascii="仿宋_GB2312" w:eastAsia="仿宋_GB2312"/>
          <w:sz w:val="32"/>
          <w:szCs w:val="32"/>
          <w:highlight w:val="none"/>
          <w:u w:val="none"/>
        </w:rPr>
      </w:pPr>
    </w:p>
    <w:p>
      <w:pPr>
        <w:spacing w:line="580" w:lineRule="exact"/>
        <w:rPr>
          <w:rFonts w:ascii="仿宋_GB2312" w:eastAsia="仿宋_GB2312"/>
          <w:sz w:val="32"/>
          <w:szCs w:val="32"/>
          <w:highlight w:val="none"/>
          <w:u w:val="none"/>
        </w:rPr>
      </w:pPr>
    </w:p>
    <w:p>
      <w:pPr>
        <w:spacing w:line="580" w:lineRule="exact"/>
        <w:rPr>
          <w:rFonts w:ascii="仿宋_GB2312" w:eastAsia="仿宋_GB2312"/>
          <w:sz w:val="32"/>
          <w:szCs w:val="32"/>
          <w:highlight w:val="none"/>
          <w:u w:val="none"/>
        </w:rPr>
      </w:pPr>
    </w:p>
    <w:p>
      <w:pPr>
        <w:spacing w:line="580" w:lineRule="exact"/>
        <w:rPr>
          <w:rFonts w:ascii="仿宋_GB2312" w:eastAsia="仿宋_GB2312"/>
          <w:sz w:val="32"/>
          <w:szCs w:val="32"/>
          <w:highlight w:val="none"/>
          <w:u w:val="none"/>
        </w:rPr>
      </w:pPr>
    </w:p>
    <w:p>
      <w:pPr>
        <w:spacing w:line="580" w:lineRule="exact"/>
        <w:rPr>
          <w:rFonts w:ascii="仿宋_GB2312" w:eastAsia="仿宋_GB2312"/>
          <w:sz w:val="32"/>
          <w:szCs w:val="32"/>
          <w:highlight w:val="none"/>
          <w:u w:val="none"/>
        </w:rPr>
      </w:pPr>
    </w:p>
    <w:tbl>
      <w:tblPr>
        <w:tblStyle w:val="6"/>
        <w:tblW w:w="14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0"/>
        <w:gridCol w:w="1080"/>
        <w:gridCol w:w="1080"/>
        <w:gridCol w:w="1080"/>
        <w:gridCol w:w="4500"/>
        <w:gridCol w:w="735"/>
        <w:gridCol w:w="930"/>
        <w:gridCol w:w="930"/>
        <w:gridCol w:w="945"/>
        <w:gridCol w:w="2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4786"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32"/>
                <w:szCs w:val="32"/>
                <w:highlight w:val="none"/>
                <w:u w:val="none"/>
                <w:lang w:val="en-US" w:eastAsia="zh-CN" w:bidi="ar-SA"/>
              </w:rPr>
              <w:t>附件7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478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医保医师信用指标评分标准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三级指标</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指标内容</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分值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评定频率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获取方式</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信用修复</w:t>
            </w:r>
          </w:p>
        </w:tc>
        <w:tc>
          <w:tcPr>
            <w:tcW w:w="2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赋分标准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公共信息（100分）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公共信用评价</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个人“信安分”或个人公共信用评价得分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信息交互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企业公共信用评价得分（千分制）×10%。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医保信用（900分）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信用承诺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信用承诺</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个人在医保领域信用承诺及履约践诺情况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作出虚假承诺，或按规定应作承诺但不作承诺的，每次扣70分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履约行为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就医管理</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存在违规收费、违规用药、超范围执业、不核验参保人员身份、挂床住院、诱导住院、串换结算等任一方式造成医保基金损失的；无证执业、瞒报虚报相关信息；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  视频监控</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查实一次扣80分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医疗责任</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当期在提供医疗服务过程中出现医疗责任事故导致参保人严重伤害的或故意夸大、掩盖医疗事实的等方式造成医保基金较大损失的</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系统检测</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w:t>
            </w:r>
          </w:p>
        </w:tc>
        <w:tc>
          <w:tcPr>
            <w:tcW w:w="2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行政处理</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当期被卫生行政主管部门吊销、注销、收回执业医师、执业助理医师或乡村医生执业证书的</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系统检测</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举报投诉</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信息交互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w:t>
            </w:r>
          </w:p>
        </w:tc>
        <w:tc>
          <w:tcPr>
            <w:tcW w:w="2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真实行为</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当期通过编造医疗文书、出具虚假医疗证明、虚开票据、办理虚假住院等方式骗取医保基金的</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系统检测</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w:t>
            </w:r>
          </w:p>
        </w:tc>
        <w:tc>
          <w:tcPr>
            <w:tcW w:w="2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查实一次扣250分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配合检查</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当期故意曲解医保政策和规定，挑动参保人员集体上访，造成恶劣影响的或拒绝、阻挠、不配合医保部门开展必要的监督检查的</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系统检测</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w:t>
            </w:r>
          </w:p>
        </w:tc>
        <w:tc>
          <w:tcPr>
            <w:tcW w:w="2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查实一次扣250分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主动配合</w:t>
            </w:r>
          </w:p>
        </w:tc>
        <w:tc>
          <w:tcPr>
            <w:tcW w:w="45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利用举报打击他人的无效举报</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利用举报打击他人的无效举报扣30分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举报投诉或主动交代未掌握的医保违规情况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根据举报奖励制度执行，查实的举报直接证据一次加20分，间接证据加5-15分；主动交代的内容根据违规性质和金额进行5-20分的加分</w:t>
            </w:r>
          </w:p>
        </w:tc>
      </w:tr>
    </w:tbl>
    <w:p>
      <w:pPr>
        <w:spacing w:line="580" w:lineRule="exact"/>
        <w:rPr>
          <w:rFonts w:ascii="仿宋_GB2312" w:eastAsia="仿宋_GB2312"/>
          <w:sz w:val="32"/>
          <w:szCs w:val="32"/>
          <w:highlight w:val="none"/>
          <w:u w:val="none"/>
        </w:rPr>
      </w:pPr>
    </w:p>
    <w:p>
      <w:pPr>
        <w:ind w:firstLine="420" w:firstLineChars="200"/>
        <w:rPr>
          <w:highlight w:val="none"/>
          <w:u w:val="none"/>
        </w:rPr>
      </w:pPr>
    </w:p>
    <w:p>
      <w:pPr>
        <w:rPr>
          <w:highlight w:val="none"/>
          <w:u w:val="none"/>
        </w:rPr>
      </w:pPr>
    </w:p>
    <w:p>
      <w:pPr>
        <w:ind w:firstLine="420" w:firstLineChars="200"/>
        <w:rPr>
          <w:highlight w:val="none"/>
          <w:u w:val="none"/>
        </w:rPr>
      </w:pPr>
    </w:p>
    <w:p>
      <w:pPr>
        <w:ind w:firstLine="420" w:firstLineChars="200"/>
        <w:rPr>
          <w:highlight w:val="none"/>
          <w:u w:val="none"/>
        </w:rPr>
      </w:pPr>
    </w:p>
    <w:p>
      <w:pPr>
        <w:ind w:firstLine="420" w:firstLineChars="200"/>
        <w:rPr>
          <w:highlight w:val="none"/>
          <w:u w:val="none"/>
        </w:rPr>
      </w:pPr>
    </w:p>
    <w:p>
      <w:pPr>
        <w:ind w:firstLine="420" w:firstLineChars="200"/>
        <w:rPr>
          <w:highlight w:val="none"/>
          <w:u w:val="none"/>
        </w:rPr>
      </w:pPr>
    </w:p>
    <w:p>
      <w:pPr>
        <w:ind w:firstLine="420" w:firstLineChars="200"/>
        <w:rPr>
          <w:highlight w:val="none"/>
          <w:u w:val="none"/>
        </w:rPr>
      </w:pPr>
    </w:p>
    <w:p>
      <w:pPr>
        <w:ind w:firstLine="420" w:firstLineChars="200"/>
        <w:rPr>
          <w:highlight w:val="none"/>
          <w:u w:val="none"/>
        </w:rPr>
      </w:pPr>
    </w:p>
    <w:p>
      <w:pPr>
        <w:ind w:firstLine="420" w:firstLineChars="200"/>
        <w:rPr>
          <w:highlight w:val="none"/>
          <w:u w:val="none"/>
        </w:rPr>
      </w:pPr>
    </w:p>
    <w:p>
      <w:pPr>
        <w:ind w:firstLine="420" w:firstLineChars="200"/>
        <w:rPr>
          <w:highlight w:val="none"/>
          <w:u w:val="none"/>
        </w:rPr>
      </w:pPr>
    </w:p>
    <w:p>
      <w:pPr>
        <w:ind w:firstLine="420" w:firstLineChars="200"/>
        <w:rPr>
          <w:highlight w:val="none"/>
          <w:u w:val="none"/>
        </w:rPr>
      </w:pPr>
    </w:p>
    <w:p>
      <w:pPr>
        <w:ind w:firstLine="420" w:firstLineChars="200"/>
        <w:rPr>
          <w:highlight w:val="none"/>
          <w:u w:val="none"/>
        </w:rPr>
      </w:pPr>
    </w:p>
    <w:p>
      <w:pPr>
        <w:ind w:firstLine="420" w:firstLineChars="200"/>
        <w:rPr>
          <w:highlight w:val="none"/>
          <w:u w:val="none"/>
        </w:rPr>
      </w:pPr>
    </w:p>
    <w:p>
      <w:pPr>
        <w:ind w:firstLine="420" w:firstLineChars="200"/>
        <w:rPr>
          <w:highlight w:val="none"/>
          <w:u w:val="none"/>
        </w:rPr>
      </w:pPr>
    </w:p>
    <w:tbl>
      <w:tblPr>
        <w:tblStyle w:val="6"/>
        <w:tblW w:w="14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080"/>
        <w:gridCol w:w="1080"/>
        <w:gridCol w:w="1080"/>
        <w:gridCol w:w="4545"/>
        <w:gridCol w:w="735"/>
        <w:gridCol w:w="930"/>
        <w:gridCol w:w="930"/>
        <w:gridCol w:w="945"/>
        <w:gridCol w:w="2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74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32"/>
                <w:szCs w:val="32"/>
                <w:highlight w:val="none"/>
                <w:u w:val="none"/>
                <w:lang w:val="en-US" w:eastAsia="zh-CN" w:bidi="ar-SA"/>
              </w:rPr>
              <w:t>附件8</w:t>
            </w: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476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定点医疗机构信用指标评分标准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三级指标</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指标内容</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分值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评定频率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获取方式</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信用修复</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赋分标准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公共信息（100分）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公共信用评价</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公共信用评价中的企业公共信用评价。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信息交互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企业公共信用评价得分（千分制）×10%。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医保信用（830分）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信用承诺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信用承诺</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在医保领域信用承诺及履约践诺情况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作出虚假承诺，或按规定应作承诺或报告但未作承诺或报告的，每次扣60分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履约行为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履约管理</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存在违规收费、违规用药、超范围执业、不核验参保人员身份、挂床住院、分解住院、匹配错误、降低入院指征等任一方式造成医保基金损失的</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系统检测</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视频监控</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每查实一项扣70分，扣完即止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存在诱导住院、进销存不符、串换结算等任一方式造成医保基金损失的;从非法的供应单位购进药品的；无证执业、瞒报虚报相关信息；</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每查实一项扣100分，扣完即止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如实记录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病案首页主诊断与病程录主诊断不一致的、不如实记录外伤、手术等病程录的</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系统检测</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就医服务</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因用医保系统升级等借口隐瞒被处理事实及政策解释不到位等行为，导致参保人员投诉或者上访等现象的</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系统检测</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结算管理</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为无医保结算资格或暂停定点服务的医疗机构提供医保结算的</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系统检测</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查实一次扣70分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真实行为</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通过虚假手段骗取医保基金的或获得医保定点的</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查实一次扣250分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配合检查</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唆使、诱导参保人员集体上访投诉等现象的或拒绝、阻挠、不配合医保部门开展必要的监督检查的，情节恶劣的</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查实一次扣120分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主动配合</w:t>
            </w:r>
          </w:p>
        </w:tc>
        <w:tc>
          <w:tcPr>
            <w:tcW w:w="45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利用举报打击他人的无效举报</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利用举报打击他人的无效举报扣30分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举报投诉或主动交代未掌握的医保违规情况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根据举报奖励制度执行，查实的举报直接证据一次加10分，间接证据加5分；主动交代的内容根据违规性质和金额进行5或10分的加分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监督管理（70分）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行政处理</w:t>
            </w: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4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当期该医疗机构被相关部门处以与医保相关的行政处罚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信息交互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查实一次扣70分</w:t>
            </w:r>
          </w:p>
        </w:tc>
      </w:tr>
    </w:tbl>
    <w:p>
      <w:pPr>
        <w:rPr>
          <w:highlight w:val="none"/>
          <w:u w:val="none"/>
        </w:rPr>
      </w:pPr>
    </w:p>
    <w:p>
      <w:pPr>
        <w:ind w:firstLine="420" w:firstLineChars="200"/>
        <w:rPr>
          <w:highlight w:val="none"/>
          <w:u w:val="none"/>
        </w:rPr>
      </w:pPr>
    </w:p>
    <w:p>
      <w:pPr>
        <w:ind w:firstLine="420" w:firstLineChars="200"/>
        <w:rPr>
          <w:highlight w:val="none"/>
          <w:u w:val="none"/>
        </w:rPr>
      </w:pPr>
    </w:p>
    <w:p>
      <w:pPr>
        <w:rPr>
          <w:highlight w:val="none"/>
          <w:u w:val="none"/>
        </w:rPr>
      </w:pPr>
    </w:p>
    <w:p>
      <w:pPr>
        <w:rPr>
          <w:highlight w:val="none"/>
          <w:u w:val="none"/>
        </w:rPr>
      </w:pPr>
    </w:p>
    <w:p>
      <w:pPr>
        <w:rPr>
          <w:highlight w:val="none"/>
          <w:u w:val="none"/>
        </w:rPr>
      </w:pPr>
    </w:p>
    <w:p>
      <w:pPr>
        <w:rPr>
          <w:highlight w:val="none"/>
          <w:u w:val="none"/>
        </w:rPr>
      </w:pPr>
    </w:p>
    <w:p>
      <w:pPr>
        <w:rPr>
          <w:highlight w:val="none"/>
          <w:u w:val="none"/>
        </w:rPr>
      </w:pPr>
    </w:p>
    <w:p>
      <w:pPr>
        <w:rPr>
          <w:highlight w:val="none"/>
          <w:u w:val="none"/>
        </w:rPr>
      </w:pPr>
    </w:p>
    <w:p>
      <w:pPr>
        <w:rPr>
          <w:highlight w:val="none"/>
          <w:u w:val="none"/>
        </w:rPr>
      </w:pPr>
    </w:p>
    <w:tbl>
      <w:tblPr>
        <w:tblStyle w:val="6"/>
        <w:tblW w:w="146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2"/>
        <w:gridCol w:w="1023"/>
        <w:gridCol w:w="1305"/>
        <w:gridCol w:w="1305"/>
        <w:gridCol w:w="3990"/>
        <w:gridCol w:w="780"/>
        <w:gridCol w:w="840"/>
        <w:gridCol w:w="975"/>
        <w:gridCol w:w="1215"/>
        <w:gridCol w:w="2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0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color w:val="000000"/>
                <w:kern w:val="0"/>
                <w:sz w:val="32"/>
                <w:szCs w:val="32"/>
                <w:highlight w:val="none"/>
                <w:u w:val="none"/>
                <w:lang w:val="en-US" w:eastAsia="zh-CN" w:bidi="ar-SA"/>
              </w:rPr>
              <w:t>附件9</w:t>
            </w:r>
          </w:p>
        </w:tc>
        <w:tc>
          <w:tcPr>
            <w:tcW w:w="13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5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466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定点医药机构负责人信用指标评分标准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一级指标</w:t>
            </w:r>
          </w:p>
        </w:tc>
        <w:tc>
          <w:tcPr>
            <w:tcW w:w="130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二级指标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三级指标</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指标内容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评定频率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获取方式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信用修复</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赋分标准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公共信用（200分）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个人公共信用</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公共信用评价</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个人“信安分”或个人公共信用评价得分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信息交互</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“信安分”或个人公共信用评价得分×10%。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法人公共信用</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公共信用评价</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其担任负责人的企业/社会组织/事业单位公共信用得分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信息交互</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所在企业/社会组织/事业单位公共信用得分×10%。有多家单位的，取最低得分。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医保信用（800分）</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法人医保信用</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信用承诺</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其担任负责人的定点医药机构或其本人作为负责人身份的信用承诺及履约践诺情况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日常检查 举报投诉</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作出虚假承诺，或按规定应作承诺或报告但不作承诺或报告的，每次扣50分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定点医药机构医保信用</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其担任负责人的定点医药机构医保信用得分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根据定点医药机构信用指标评分标准</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所在定点医药机构医保信用得分×30%。有多家定点医药机构的，取最低得分。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从业人员医保信用</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医保医师信用</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其担任负责人的定点医药机构医保医师平均信用得分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根据定点医药机构信用指标评分标准</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所在定点医药机构医保医师平均信用得分×30%。有多家定点医药机构的，取最低的平均得分。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其他从业人员信用</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其担任负责人的定点医药机构中纳入医保信用评价的护士/药师等其他从业人员的平均信用得分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根据定点医药机构信用指标评分标准</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所在定点医药机构医保医师平均信用得分×10%。有多家定点医药机构的，取最低的平均得分。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贡献度               </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主动配合</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利用举报打击他人的无效举报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利用举报打击他人的无效举报扣30分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举报投诉或主动交代未掌握的医保违规情况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根据举报奖励制度执行，查实的举报直接证据一次加20分，间接证据加5-15分；主动交代的内容根据违规性质和金额进行5-20分的加分</w:t>
            </w:r>
          </w:p>
        </w:tc>
      </w:tr>
    </w:tbl>
    <w:p>
      <w:pPr>
        <w:rPr>
          <w:highlight w:val="none"/>
          <w:u w:val="none"/>
        </w:rPr>
      </w:pPr>
    </w:p>
    <w:p>
      <w:pPr>
        <w:ind w:firstLine="420" w:firstLineChars="200"/>
        <w:rPr>
          <w:highlight w:val="none"/>
          <w:u w:val="none"/>
        </w:rPr>
      </w:pPr>
    </w:p>
    <w:p>
      <w:pPr>
        <w:rPr>
          <w:highlight w:val="none"/>
          <w:u w:val="none"/>
        </w:rPr>
      </w:pPr>
    </w:p>
    <w:p>
      <w:pPr>
        <w:ind w:firstLine="420" w:firstLineChars="200"/>
        <w:rPr>
          <w:highlight w:val="none"/>
          <w:u w:val="none"/>
        </w:rPr>
      </w:pPr>
    </w:p>
    <w:p>
      <w:pPr>
        <w:ind w:firstLine="420" w:firstLineChars="200"/>
        <w:rPr>
          <w:highlight w:val="none"/>
          <w:u w:val="none"/>
        </w:rPr>
      </w:pPr>
    </w:p>
    <w:p>
      <w:pPr>
        <w:ind w:firstLine="420" w:firstLineChars="200"/>
        <w:rPr>
          <w:highlight w:val="none"/>
          <w:u w:val="none"/>
        </w:rPr>
      </w:pPr>
    </w:p>
    <w:p>
      <w:pPr>
        <w:ind w:firstLine="420" w:firstLineChars="200"/>
        <w:rPr>
          <w:highlight w:val="none"/>
          <w:u w:val="none"/>
        </w:rPr>
      </w:pPr>
    </w:p>
    <w:p>
      <w:pPr>
        <w:rPr>
          <w:highlight w:val="none"/>
          <w:u w:val="none"/>
        </w:rPr>
      </w:pPr>
    </w:p>
    <w:p>
      <w:pPr>
        <w:rPr>
          <w:highlight w:val="none"/>
          <w:u w:val="none"/>
        </w:rPr>
      </w:pPr>
    </w:p>
    <w:p>
      <w:pPr>
        <w:ind w:firstLine="420" w:firstLineChars="200"/>
        <w:rPr>
          <w:rFonts w:hint="eastAsia" w:eastAsia="宋体"/>
          <w:highlight w:val="none"/>
          <w:u w:val="none"/>
          <w:lang w:eastAsia="zh-CN"/>
        </w:rPr>
      </w:pPr>
    </w:p>
    <w:p>
      <w:pPr>
        <w:ind w:firstLine="420" w:firstLineChars="200"/>
        <w:rPr>
          <w:rFonts w:hint="eastAsia" w:eastAsia="宋体"/>
          <w:highlight w:val="none"/>
          <w:u w:val="none"/>
          <w:lang w:eastAsia="zh-CN"/>
        </w:rPr>
      </w:pPr>
    </w:p>
    <w:p>
      <w:pPr>
        <w:ind w:firstLine="420" w:firstLineChars="200"/>
        <w:rPr>
          <w:rFonts w:hint="eastAsia" w:eastAsia="宋体"/>
          <w:highlight w:val="none"/>
          <w:u w:val="none"/>
          <w:lang w:eastAsia="zh-CN"/>
        </w:rPr>
      </w:pPr>
    </w:p>
    <w:p>
      <w:pPr>
        <w:ind w:firstLine="420" w:firstLineChars="200"/>
        <w:rPr>
          <w:rFonts w:hint="eastAsia" w:eastAsia="宋体"/>
          <w:highlight w:val="none"/>
          <w:u w:val="none"/>
          <w:lang w:eastAsia="zh-CN"/>
        </w:rPr>
      </w:pPr>
    </w:p>
    <w:p>
      <w:pPr>
        <w:ind w:firstLine="420" w:firstLineChars="200"/>
        <w:rPr>
          <w:rFonts w:hint="eastAsia" w:eastAsia="宋体"/>
          <w:highlight w:val="none"/>
          <w:u w:val="none"/>
          <w:lang w:eastAsia="zh-CN"/>
        </w:rPr>
      </w:pPr>
    </w:p>
    <w:p>
      <w:pPr>
        <w:ind w:firstLine="420" w:firstLineChars="200"/>
        <w:rPr>
          <w:rFonts w:hint="eastAsia" w:eastAsia="宋体"/>
          <w:highlight w:val="none"/>
          <w:u w:val="none"/>
          <w:lang w:eastAsia="zh-CN"/>
        </w:rPr>
      </w:pPr>
    </w:p>
    <w:p>
      <w:pPr>
        <w:ind w:firstLine="420" w:firstLineChars="200"/>
        <w:rPr>
          <w:rFonts w:hint="eastAsia" w:eastAsia="宋体"/>
          <w:highlight w:val="none"/>
          <w:u w:val="none"/>
          <w:lang w:eastAsia="zh-CN"/>
        </w:rPr>
      </w:pPr>
    </w:p>
    <w:p>
      <w:pPr>
        <w:ind w:firstLine="420" w:firstLineChars="200"/>
        <w:rPr>
          <w:rFonts w:hint="eastAsia" w:eastAsia="宋体"/>
          <w:highlight w:val="none"/>
          <w:u w:val="none"/>
          <w:lang w:eastAsia="zh-CN"/>
        </w:rPr>
      </w:pPr>
    </w:p>
    <w:p>
      <w:pPr>
        <w:ind w:firstLine="420" w:firstLineChars="200"/>
        <w:rPr>
          <w:rFonts w:hint="eastAsia" w:eastAsia="宋体"/>
          <w:highlight w:val="none"/>
          <w:u w:val="none"/>
          <w:lang w:eastAsia="zh-CN"/>
        </w:rPr>
      </w:pPr>
    </w:p>
    <w:tbl>
      <w:tblPr>
        <w:tblStyle w:val="6"/>
        <w:tblW w:w="14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3"/>
        <w:gridCol w:w="992"/>
        <w:gridCol w:w="1260"/>
        <w:gridCol w:w="1200"/>
        <w:gridCol w:w="4305"/>
        <w:gridCol w:w="810"/>
        <w:gridCol w:w="945"/>
        <w:gridCol w:w="930"/>
        <w:gridCol w:w="945"/>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57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32"/>
                <w:szCs w:val="32"/>
                <w:highlight w:val="none"/>
                <w:u w:val="none"/>
                <w:lang w:val="en-US" w:eastAsia="zh-CN" w:bidi="ar-SA"/>
              </w:rPr>
              <w:t>附件10</w:t>
            </w:r>
          </w:p>
        </w:tc>
        <w:tc>
          <w:tcPr>
            <w:tcW w:w="12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9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476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医保参保人信用指标评分标准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一级指标</w:t>
            </w:r>
          </w:p>
        </w:tc>
        <w:tc>
          <w:tcPr>
            <w:tcW w:w="126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二级指标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三级指标</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指标内容</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分值</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评定频率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获取方式</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信用修复</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赋分标准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公共信息（100分）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个人公共信用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公共信用评价</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个人“信安分”或个人公共信用评价得分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信息交互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“信安分”或个人公共信用评价得分×10%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医保信用（900分）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信用承诺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信用承诺</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个人在医保领域信用承诺及履约践诺情况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日常检查 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作出虚假承诺，或按规定应作承诺但不作承诺的，每次扣50分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待遇管理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依规享受</w:t>
            </w:r>
          </w:p>
        </w:tc>
        <w:tc>
          <w:tcPr>
            <w:tcW w:w="430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不符合享受的医疗保障待遇经催退后不退的</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系统检测</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查实一次扣70分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就医管理</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违规操作</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为他人提供不符实际的证明或借医保卡给他人导致基金损失的行为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冒名就诊、串换结算造成医保基金损失的行为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视频监控</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查实一次扣80分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体检式住院或因无人照顾住院等行为导致医保基金损失的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系统检测</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真实行为</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虚开票据、编造医疗文书、出具虚假证明或承诺等方式骗取医保基金的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查实一次扣250分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藏匿、转移、伪造、变造医保管理部门检查所需相关资料的或拒绝阻扰不配合检查者</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视频监控</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日常检查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查实一次扣250分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贡献度               </w:t>
            </w:r>
          </w:p>
        </w:tc>
        <w:tc>
          <w:tcPr>
            <w:tcW w:w="12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主动配合</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利用举报打击他人的无效举报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利用举报打击他人的无效举报扣30分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举报投诉或主动交代未掌握的医保违规情况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根据举报奖励制度执行，查实的举报直接证据一次加20分，间接证据加5-15分；主动交代的内容根据违规性质和金额进行5-20分的加分</w:t>
            </w:r>
          </w:p>
        </w:tc>
      </w:tr>
    </w:tbl>
    <w:p>
      <w:pPr>
        <w:rPr>
          <w:rFonts w:hint="eastAsia" w:eastAsia="宋体"/>
          <w:highlight w:val="none"/>
          <w:u w:val="none"/>
          <w:lang w:eastAsia="zh-CN"/>
        </w:rPr>
      </w:pPr>
    </w:p>
    <w:p>
      <w:pPr>
        <w:ind w:firstLine="420" w:firstLineChars="200"/>
        <w:rPr>
          <w:rFonts w:hint="eastAsia" w:eastAsia="宋体"/>
          <w:highlight w:val="none"/>
          <w:u w:val="none"/>
          <w:lang w:eastAsia="zh-CN"/>
        </w:rPr>
      </w:pPr>
    </w:p>
    <w:p>
      <w:pPr>
        <w:rPr>
          <w:rFonts w:hint="eastAsia" w:eastAsia="宋体"/>
          <w:highlight w:val="none"/>
          <w:u w:val="none"/>
          <w:lang w:eastAsia="zh-CN"/>
        </w:rPr>
        <w:sectPr>
          <w:pgSz w:w="16838" w:h="11906" w:orient="landscape"/>
          <w:pgMar w:top="1800" w:right="1440" w:bottom="1800" w:left="1440" w:header="851" w:footer="992" w:gutter="0"/>
          <w:pgNumType w:fmt="numberInDash"/>
          <w:cols w:space="720" w:num="1"/>
          <w:docGrid w:type="lines" w:linePitch="312" w:charSpace="0"/>
        </w:sectPr>
      </w:pPr>
    </w:p>
    <w:tbl>
      <w:tblPr>
        <w:tblStyle w:val="6"/>
        <w:tblpPr w:leftFromText="180" w:rightFromText="180" w:vertAnchor="text" w:horzAnchor="page" w:tblpX="1750" w:tblpY="1287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755" w:type="dxa"/>
            <w:tcBorders>
              <w:top w:val="single" w:color="auto" w:sz="12" w:space="0"/>
              <w:left w:val="nil"/>
              <w:bottom w:val="single" w:color="auto" w:sz="12" w:space="0"/>
              <w:right w:val="nil"/>
            </w:tcBorders>
          </w:tcPr>
          <w:p>
            <w:pPr>
              <w:tabs>
                <w:tab w:val="left" w:pos="851"/>
              </w:tabs>
              <w:spacing w:line="620" w:lineRule="exact"/>
              <w:ind w:left="554" w:leftChars="64" w:hanging="420" w:hangingChars="150"/>
              <w:rPr>
                <w:rFonts w:ascii="仿宋_GB2312" w:eastAsia="仿宋_GB2312"/>
                <w:sz w:val="28"/>
                <w:szCs w:val="28"/>
              </w:rPr>
            </w:pPr>
            <w:r>
              <w:rPr>
                <w:rFonts w:hint="eastAsia" w:ascii="仿宋_GB2312" w:eastAsia="仿宋_GB2312"/>
                <w:sz w:val="28"/>
                <w:szCs w:val="28"/>
              </w:rPr>
              <w:t>衢州市医疗保障局办公室               2021年5月</w:t>
            </w:r>
            <w:r>
              <w:rPr>
                <w:rFonts w:hint="default" w:ascii="仿宋_GB2312" w:eastAsia="仿宋_GB2312"/>
                <w:sz w:val="28"/>
                <w:szCs w:val="28"/>
                <w:lang w:val="en"/>
              </w:rPr>
              <w:t>18</w:t>
            </w:r>
            <w:r>
              <w:rPr>
                <w:rFonts w:hint="eastAsia" w:ascii="仿宋_GB2312" w:eastAsia="仿宋_GB2312"/>
                <w:sz w:val="28"/>
                <w:szCs w:val="28"/>
              </w:rPr>
              <w:t>日印发</w:t>
            </w:r>
          </w:p>
        </w:tc>
      </w:tr>
    </w:tbl>
    <w:p>
      <w:pPr>
        <w:rPr>
          <w:rFonts w:hint="eastAsia" w:eastAsia="宋体"/>
          <w:highlight w:val="none"/>
          <w:u w:val="none"/>
          <w:lang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34"/>
    <w:family w:val="roman"/>
    <w:pitch w:val="default"/>
    <w:sig w:usb0="E0000EFF" w:usb1="4000785B"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黑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29 -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30 -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3EF0C76"/>
    <w:rsid w:val="00027B5F"/>
    <w:rsid w:val="000452A4"/>
    <w:rsid w:val="000502A7"/>
    <w:rsid w:val="00052096"/>
    <w:rsid w:val="00081F49"/>
    <w:rsid w:val="000A176D"/>
    <w:rsid w:val="000D7788"/>
    <w:rsid w:val="000F1D31"/>
    <w:rsid w:val="000F6A5A"/>
    <w:rsid w:val="0011545D"/>
    <w:rsid w:val="00116812"/>
    <w:rsid w:val="0012768A"/>
    <w:rsid w:val="00131D39"/>
    <w:rsid w:val="001374F3"/>
    <w:rsid w:val="001455C2"/>
    <w:rsid w:val="00147F13"/>
    <w:rsid w:val="00154B16"/>
    <w:rsid w:val="00196E7E"/>
    <w:rsid w:val="001A0FBA"/>
    <w:rsid w:val="001B1943"/>
    <w:rsid w:val="001D4292"/>
    <w:rsid w:val="00222FA3"/>
    <w:rsid w:val="002341EF"/>
    <w:rsid w:val="002601F4"/>
    <w:rsid w:val="00264B46"/>
    <w:rsid w:val="00277744"/>
    <w:rsid w:val="002A38B3"/>
    <w:rsid w:val="002F2E7A"/>
    <w:rsid w:val="00323141"/>
    <w:rsid w:val="00323DDE"/>
    <w:rsid w:val="003423D2"/>
    <w:rsid w:val="00376108"/>
    <w:rsid w:val="0038793D"/>
    <w:rsid w:val="003963D9"/>
    <w:rsid w:val="003B321E"/>
    <w:rsid w:val="003C0002"/>
    <w:rsid w:val="003D3C32"/>
    <w:rsid w:val="003F20CB"/>
    <w:rsid w:val="00421A44"/>
    <w:rsid w:val="00421FC5"/>
    <w:rsid w:val="00445A93"/>
    <w:rsid w:val="0045253F"/>
    <w:rsid w:val="004565AF"/>
    <w:rsid w:val="00480D30"/>
    <w:rsid w:val="004866D1"/>
    <w:rsid w:val="004A443B"/>
    <w:rsid w:val="004C2CB6"/>
    <w:rsid w:val="004D7384"/>
    <w:rsid w:val="004F5888"/>
    <w:rsid w:val="00502339"/>
    <w:rsid w:val="00503B63"/>
    <w:rsid w:val="00514D89"/>
    <w:rsid w:val="00531D52"/>
    <w:rsid w:val="00547CE0"/>
    <w:rsid w:val="00550FF2"/>
    <w:rsid w:val="005771CA"/>
    <w:rsid w:val="005A2B6E"/>
    <w:rsid w:val="005E4F9A"/>
    <w:rsid w:val="005E639B"/>
    <w:rsid w:val="005F684D"/>
    <w:rsid w:val="006045BA"/>
    <w:rsid w:val="006176CA"/>
    <w:rsid w:val="00626339"/>
    <w:rsid w:val="006838B2"/>
    <w:rsid w:val="006A7073"/>
    <w:rsid w:val="006D5B4C"/>
    <w:rsid w:val="006F4C66"/>
    <w:rsid w:val="00737D25"/>
    <w:rsid w:val="007469FE"/>
    <w:rsid w:val="0075446B"/>
    <w:rsid w:val="00762402"/>
    <w:rsid w:val="00767D71"/>
    <w:rsid w:val="00774661"/>
    <w:rsid w:val="007B559A"/>
    <w:rsid w:val="007D5BBA"/>
    <w:rsid w:val="007D6CFE"/>
    <w:rsid w:val="007E094D"/>
    <w:rsid w:val="00800402"/>
    <w:rsid w:val="00820758"/>
    <w:rsid w:val="00821D24"/>
    <w:rsid w:val="00831771"/>
    <w:rsid w:val="008637E1"/>
    <w:rsid w:val="008662E1"/>
    <w:rsid w:val="00905D18"/>
    <w:rsid w:val="00934AD3"/>
    <w:rsid w:val="0094151D"/>
    <w:rsid w:val="009477BB"/>
    <w:rsid w:val="00967DE5"/>
    <w:rsid w:val="009722E5"/>
    <w:rsid w:val="009F08DD"/>
    <w:rsid w:val="00A226D0"/>
    <w:rsid w:val="00A46D01"/>
    <w:rsid w:val="00A55733"/>
    <w:rsid w:val="00A74A52"/>
    <w:rsid w:val="00AE10F5"/>
    <w:rsid w:val="00B2145F"/>
    <w:rsid w:val="00B25188"/>
    <w:rsid w:val="00B25601"/>
    <w:rsid w:val="00BC75C3"/>
    <w:rsid w:val="00C0293B"/>
    <w:rsid w:val="00C06CFE"/>
    <w:rsid w:val="00C07B11"/>
    <w:rsid w:val="00C122AA"/>
    <w:rsid w:val="00C4099D"/>
    <w:rsid w:val="00C4773E"/>
    <w:rsid w:val="00C51C29"/>
    <w:rsid w:val="00C738F5"/>
    <w:rsid w:val="00C8067E"/>
    <w:rsid w:val="00C836D2"/>
    <w:rsid w:val="00C975F4"/>
    <w:rsid w:val="00CE37C0"/>
    <w:rsid w:val="00CE510C"/>
    <w:rsid w:val="00CF0288"/>
    <w:rsid w:val="00D35EA8"/>
    <w:rsid w:val="00D64B2C"/>
    <w:rsid w:val="00D80932"/>
    <w:rsid w:val="00D8526B"/>
    <w:rsid w:val="00DB62FE"/>
    <w:rsid w:val="00E47727"/>
    <w:rsid w:val="00E52998"/>
    <w:rsid w:val="00E73F01"/>
    <w:rsid w:val="00EB46C7"/>
    <w:rsid w:val="00ED38B4"/>
    <w:rsid w:val="00ED4E66"/>
    <w:rsid w:val="00EE4D48"/>
    <w:rsid w:val="00EF54A0"/>
    <w:rsid w:val="00F238A4"/>
    <w:rsid w:val="00F80CC7"/>
    <w:rsid w:val="00F91FC5"/>
    <w:rsid w:val="00F941FF"/>
    <w:rsid w:val="00FA6AFF"/>
    <w:rsid w:val="00FA7134"/>
    <w:rsid w:val="00FC0E1B"/>
    <w:rsid w:val="00FC6250"/>
    <w:rsid w:val="00FD38F5"/>
    <w:rsid w:val="015E4F28"/>
    <w:rsid w:val="02D46F27"/>
    <w:rsid w:val="04AF412D"/>
    <w:rsid w:val="04DD3C68"/>
    <w:rsid w:val="05AA0442"/>
    <w:rsid w:val="05DD2B41"/>
    <w:rsid w:val="06534C44"/>
    <w:rsid w:val="06570C0C"/>
    <w:rsid w:val="06752E3B"/>
    <w:rsid w:val="06A701AE"/>
    <w:rsid w:val="0B985CA1"/>
    <w:rsid w:val="0BCC466D"/>
    <w:rsid w:val="0D3F3F83"/>
    <w:rsid w:val="0D7F7D9A"/>
    <w:rsid w:val="0D893307"/>
    <w:rsid w:val="0D9A28E9"/>
    <w:rsid w:val="0FC22358"/>
    <w:rsid w:val="12BC3227"/>
    <w:rsid w:val="160B66CC"/>
    <w:rsid w:val="16D42D1B"/>
    <w:rsid w:val="17253C84"/>
    <w:rsid w:val="17B38D79"/>
    <w:rsid w:val="17D81997"/>
    <w:rsid w:val="17F258C6"/>
    <w:rsid w:val="184D0A87"/>
    <w:rsid w:val="198A2492"/>
    <w:rsid w:val="1A185DDB"/>
    <w:rsid w:val="1B7DB276"/>
    <w:rsid w:val="1B8D0D7C"/>
    <w:rsid w:val="1BFB3879"/>
    <w:rsid w:val="1C695B91"/>
    <w:rsid w:val="1C8742E8"/>
    <w:rsid w:val="1C9B6342"/>
    <w:rsid w:val="1D8A2203"/>
    <w:rsid w:val="1DDC4851"/>
    <w:rsid w:val="1E20344C"/>
    <w:rsid w:val="1F9E1604"/>
    <w:rsid w:val="1FC947B6"/>
    <w:rsid w:val="1FCFF0B6"/>
    <w:rsid w:val="1FFC1ACA"/>
    <w:rsid w:val="229B3515"/>
    <w:rsid w:val="22D46E07"/>
    <w:rsid w:val="23054C3F"/>
    <w:rsid w:val="23905841"/>
    <w:rsid w:val="247437AC"/>
    <w:rsid w:val="251C30E5"/>
    <w:rsid w:val="253C3814"/>
    <w:rsid w:val="268730CB"/>
    <w:rsid w:val="272320B1"/>
    <w:rsid w:val="27376D50"/>
    <w:rsid w:val="274F465D"/>
    <w:rsid w:val="27BA1BA7"/>
    <w:rsid w:val="27CD2EF4"/>
    <w:rsid w:val="27F97473"/>
    <w:rsid w:val="2810698E"/>
    <w:rsid w:val="29F14675"/>
    <w:rsid w:val="2AB05E2B"/>
    <w:rsid w:val="2C922ED7"/>
    <w:rsid w:val="2D2779A0"/>
    <w:rsid w:val="2D560D80"/>
    <w:rsid w:val="2D6112D5"/>
    <w:rsid w:val="2D983020"/>
    <w:rsid w:val="2E400487"/>
    <w:rsid w:val="2FBF4C8E"/>
    <w:rsid w:val="304E77EA"/>
    <w:rsid w:val="307030E2"/>
    <w:rsid w:val="310A0C63"/>
    <w:rsid w:val="315B6F6D"/>
    <w:rsid w:val="31AD6C44"/>
    <w:rsid w:val="32913C93"/>
    <w:rsid w:val="34334945"/>
    <w:rsid w:val="34A13F24"/>
    <w:rsid w:val="34A6571F"/>
    <w:rsid w:val="35342C7A"/>
    <w:rsid w:val="353D687D"/>
    <w:rsid w:val="36942B2E"/>
    <w:rsid w:val="36C05C57"/>
    <w:rsid w:val="375169CB"/>
    <w:rsid w:val="37641BD0"/>
    <w:rsid w:val="3765670A"/>
    <w:rsid w:val="39221BB2"/>
    <w:rsid w:val="3A883964"/>
    <w:rsid w:val="3B15179B"/>
    <w:rsid w:val="3BC751BF"/>
    <w:rsid w:val="3BE67DE6"/>
    <w:rsid w:val="3BF8024D"/>
    <w:rsid w:val="3D6616F6"/>
    <w:rsid w:val="3E8D4367"/>
    <w:rsid w:val="3EA92226"/>
    <w:rsid w:val="3FEFE2DC"/>
    <w:rsid w:val="3FFFCD27"/>
    <w:rsid w:val="4079258A"/>
    <w:rsid w:val="40885C02"/>
    <w:rsid w:val="43551DE7"/>
    <w:rsid w:val="43BE7355"/>
    <w:rsid w:val="44780EF5"/>
    <w:rsid w:val="45443F55"/>
    <w:rsid w:val="45504EE5"/>
    <w:rsid w:val="45692CFC"/>
    <w:rsid w:val="457A31B9"/>
    <w:rsid w:val="46A47520"/>
    <w:rsid w:val="47577C8F"/>
    <w:rsid w:val="48C26BC9"/>
    <w:rsid w:val="496C6927"/>
    <w:rsid w:val="4DD840C7"/>
    <w:rsid w:val="4F1331AB"/>
    <w:rsid w:val="4F806799"/>
    <w:rsid w:val="4FED1E42"/>
    <w:rsid w:val="5106329B"/>
    <w:rsid w:val="52A300C4"/>
    <w:rsid w:val="52EB4BE0"/>
    <w:rsid w:val="53816103"/>
    <w:rsid w:val="539B364E"/>
    <w:rsid w:val="53EC4622"/>
    <w:rsid w:val="543D40DC"/>
    <w:rsid w:val="597309CB"/>
    <w:rsid w:val="5A4D56F0"/>
    <w:rsid w:val="5B9D5469"/>
    <w:rsid w:val="5BD95F67"/>
    <w:rsid w:val="5BF25DB9"/>
    <w:rsid w:val="5C0A269B"/>
    <w:rsid w:val="5CCF29B0"/>
    <w:rsid w:val="5E5ED90E"/>
    <w:rsid w:val="5ED74414"/>
    <w:rsid w:val="5F8FCAD7"/>
    <w:rsid w:val="60C310F1"/>
    <w:rsid w:val="62216E3E"/>
    <w:rsid w:val="62606BC5"/>
    <w:rsid w:val="6369480A"/>
    <w:rsid w:val="64253B22"/>
    <w:rsid w:val="64EB23A5"/>
    <w:rsid w:val="6676455F"/>
    <w:rsid w:val="677C7819"/>
    <w:rsid w:val="67F047D3"/>
    <w:rsid w:val="67F36144"/>
    <w:rsid w:val="68270B4B"/>
    <w:rsid w:val="684F34B4"/>
    <w:rsid w:val="6977D6BA"/>
    <w:rsid w:val="69C024F6"/>
    <w:rsid w:val="6AC14620"/>
    <w:rsid w:val="6BEE6DE8"/>
    <w:rsid w:val="6DAD48F9"/>
    <w:rsid w:val="6E006B47"/>
    <w:rsid w:val="6F426254"/>
    <w:rsid w:val="6FBD7D55"/>
    <w:rsid w:val="6FE9D902"/>
    <w:rsid w:val="6FF87BDE"/>
    <w:rsid w:val="7012725E"/>
    <w:rsid w:val="70330CF2"/>
    <w:rsid w:val="709272BE"/>
    <w:rsid w:val="70B57DBF"/>
    <w:rsid w:val="71CA4245"/>
    <w:rsid w:val="72A05FFC"/>
    <w:rsid w:val="734B0665"/>
    <w:rsid w:val="73EF0C76"/>
    <w:rsid w:val="7417031C"/>
    <w:rsid w:val="74FDE46C"/>
    <w:rsid w:val="753D2CA3"/>
    <w:rsid w:val="75C202BA"/>
    <w:rsid w:val="762877F3"/>
    <w:rsid w:val="764E7759"/>
    <w:rsid w:val="766F0F62"/>
    <w:rsid w:val="76C132CD"/>
    <w:rsid w:val="77BD668D"/>
    <w:rsid w:val="77EEC31D"/>
    <w:rsid w:val="78BF955E"/>
    <w:rsid w:val="78FFEA50"/>
    <w:rsid w:val="798E6E83"/>
    <w:rsid w:val="799FCBFF"/>
    <w:rsid w:val="79F306F1"/>
    <w:rsid w:val="7B46E4FA"/>
    <w:rsid w:val="7BAF2056"/>
    <w:rsid w:val="7BDDFB11"/>
    <w:rsid w:val="7BDE6299"/>
    <w:rsid w:val="7BFF878C"/>
    <w:rsid w:val="7CEFC3DB"/>
    <w:rsid w:val="7D5F4877"/>
    <w:rsid w:val="7F13778C"/>
    <w:rsid w:val="7F57F7E0"/>
    <w:rsid w:val="7FDD2A80"/>
    <w:rsid w:val="7FDF8E27"/>
    <w:rsid w:val="7FE762FD"/>
    <w:rsid w:val="7FE7B3C7"/>
    <w:rsid w:val="7FF5FF9B"/>
    <w:rsid w:val="7FF87CD7"/>
    <w:rsid w:val="7FFE2FCA"/>
    <w:rsid w:val="9E7F3B04"/>
    <w:rsid w:val="9EF723F4"/>
    <w:rsid w:val="AD57C98B"/>
    <w:rsid w:val="B33EB80F"/>
    <w:rsid w:val="BCFE7E97"/>
    <w:rsid w:val="C3BB7145"/>
    <w:rsid w:val="DEFB4BD4"/>
    <w:rsid w:val="DFEF5443"/>
    <w:rsid w:val="E7F37360"/>
    <w:rsid w:val="EFFFF1AD"/>
    <w:rsid w:val="F2D7C8E8"/>
    <w:rsid w:val="F5FB6866"/>
    <w:rsid w:val="FDDD66EF"/>
    <w:rsid w:val="FDE9AF54"/>
    <w:rsid w:val="FEF42BD6"/>
    <w:rsid w:val="FEFF7506"/>
    <w:rsid w:val="FF5C4A06"/>
    <w:rsid w:val="FFCD1FCF"/>
    <w:rsid w:val="FFD92E69"/>
    <w:rsid w:val="FFFD95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9"/>
    <w:unhideWhenUsed/>
    <w:qFormat/>
    <w:uiPriority w:val="99"/>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link w:val="10"/>
    <w:unhideWhenUsed/>
    <w:qFormat/>
    <w:uiPriority w:val="99"/>
    <w:pPr>
      <w:ind w:firstLine="420" w:firstLineChars="200"/>
    </w:pPr>
    <w:rPr>
      <w:rFonts w:ascii="仿宋_GB2312" w:hAnsi="仿宋_GB2312" w:eastAsia="仿宋_GB2312"/>
      <w:kern w:val="0"/>
      <w:sz w:val="32"/>
      <w:szCs w:val="32"/>
    </w:rPr>
  </w:style>
  <w:style w:type="character" w:styleId="8">
    <w:name w:val="page number"/>
    <w:basedOn w:val="7"/>
    <w:unhideWhenUsed/>
    <w:qFormat/>
    <w:uiPriority w:val="99"/>
  </w:style>
  <w:style w:type="character" w:customStyle="1" w:styleId="9">
    <w:name w:val="正文文本缩进 Char"/>
    <w:link w:val="2"/>
    <w:semiHidden/>
    <w:qFormat/>
    <w:uiPriority w:val="99"/>
    <w:rPr>
      <w:kern w:val="2"/>
      <w:sz w:val="21"/>
      <w:szCs w:val="22"/>
    </w:rPr>
  </w:style>
  <w:style w:type="character" w:customStyle="1" w:styleId="10">
    <w:name w:val="正文首行缩进 2 Char"/>
    <w:link w:val="5"/>
    <w:qFormat/>
    <w:uiPriority w:val="99"/>
    <w:rPr>
      <w:rFonts w:ascii="仿宋_GB2312" w:hAnsi="仿宋_GB2312" w:eastAsia="仿宋_GB2312"/>
      <w:kern w:val="2"/>
      <w:sz w:val="32"/>
      <w:szCs w:val="32"/>
    </w:rPr>
  </w:style>
  <w:style w:type="character" w:customStyle="1" w:styleId="11">
    <w:name w:val="页脚 Char"/>
    <w:link w:val="3"/>
    <w:qFormat/>
    <w:uiPriority w:val="99"/>
    <w:rPr>
      <w:sz w:val="18"/>
      <w:szCs w:val="18"/>
    </w:rPr>
  </w:style>
  <w:style w:type="character" w:customStyle="1" w:styleId="12">
    <w:name w:val="font51"/>
    <w:basedOn w:val="7"/>
    <w:qFormat/>
    <w:uiPriority w:val="0"/>
    <w:rPr>
      <w:rFonts w:hint="eastAsia" w:ascii="宋体" w:hAnsi="宋体" w:eastAsia="宋体" w:cs="宋体"/>
      <w:color w:val="FF0000"/>
      <w:sz w:val="18"/>
      <w:szCs w:val="18"/>
      <w:u w:val="none"/>
    </w:rPr>
  </w:style>
  <w:style w:type="character" w:customStyle="1" w:styleId="13">
    <w:name w:val="font31"/>
    <w:basedOn w:val="7"/>
    <w:qFormat/>
    <w:uiPriority w:val="0"/>
    <w:rPr>
      <w:rFonts w:hint="eastAsia" w:ascii="宋体" w:hAnsi="宋体" w:eastAsia="宋体" w:cs="宋体"/>
      <w:color w:val="000000"/>
      <w:sz w:val="18"/>
      <w:szCs w:val="18"/>
      <w:u w:val="none"/>
    </w:rPr>
  </w:style>
  <w:style w:type="character" w:customStyle="1" w:styleId="14">
    <w:name w:val="font61"/>
    <w:basedOn w:val="7"/>
    <w:qFormat/>
    <w:uiPriority w:val="0"/>
    <w:rPr>
      <w:rFonts w:hint="eastAsia" w:ascii="宋体" w:hAnsi="宋体" w:eastAsia="宋体" w:cs="宋体"/>
      <w:color w:val="FF0000"/>
      <w:sz w:val="18"/>
      <w:szCs w:val="18"/>
      <w:u w:val="none"/>
    </w:rPr>
  </w:style>
  <w:style w:type="character" w:customStyle="1" w:styleId="15">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2044</Words>
  <Characters>11653</Characters>
  <Lines>97</Lines>
  <Paragraphs>27</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2021-05-26T23:04:00Z</dcterms:created>
  <dc:creator>Administrator</dc:creator>
  <cp:lastModifiedBy>quzhou</cp:lastModifiedBy>
  <cp:lastPrinted>2022-01-07T19:03:00Z</cp:lastPrinted>
  <dcterms:modified xsi:type="dcterms:W3CDTF">2022-01-17T09:37:16Z</dcterms:modified>
  <dc:title>衢州市医疗保障信用管理办法（试行）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