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79"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浙江省企业投资工业项目</w:t>
      </w:r>
      <w:r>
        <w:rPr>
          <w:rFonts w:hint="eastAsia"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标准地</w:t>
      </w:r>
      <w:r>
        <w:rPr>
          <w:rFonts w:hint="eastAsia"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工作指引</w:t>
      </w:r>
    </w:p>
    <w:p>
      <w:pPr>
        <w:keepNext w:val="0"/>
        <w:keepLines w:val="0"/>
        <w:pageBreakBefore w:val="0"/>
        <w:widowControl w:val="0"/>
        <w:kinsoku/>
        <w:wordWrap/>
        <w:overflowPunct/>
        <w:topLinePunct w:val="0"/>
        <w:bidi w:val="0"/>
        <w:adjustRightInd/>
        <w:snapToGrid/>
        <w:spacing w:line="579"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（2022版）</w:t>
      </w:r>
    </w:p>
    <w:p>
      <w:pPr>
        <w:keepNext w:val="0"/>
        <w:keepLines w:val="0"/>
        <w:pageBreakBefore w:val="0"/>
        <w:widowControl w:val="0"/>
        <w:kinsoku/>
        <w:wordWrap/>
        <w:overflowPunct/>
        <w:topLinePunct w:val="0"/>
        <w:bidi w:val="0"/>
        <w:adjustRightInd/>
        <w:snapToGrid/>
        <w:spacing w:line="579" w:lineRule="exact"/>
        <w:ind w:firstLine="628" w:firstLineChars="200"/>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为贯彻落实《浙江省人民政府办公厅关于加快推进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改革的实施意见》（浙政办发〔2018〕73号）文件精神和数字化改革要求，持续深化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改革，进一步完善标准化操作流程和配套制度，特修订本工作指引。</w:t>
      </w:r>
    </w:p>
    <w:p>
      <w:pPr>
        <w:keepNext w:val="0"/>
        <w:keepLines w:val="0"/>
        <w:pageBreakBefore w:val="0"/>
        <w:widowControl w:val="0"/>
        <w:kinsoku/>
        <w:wordWrap/>
        <w:overflowPunct/>
        <w:topLinePunct w:val="0"/>
        <w:autoSpaceDE/>
        <w:autoSpaceDN/>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第一条  总体要求</w:t>
      </w:r>
    </w:p>
    <w:p>
      <w:pPr>
        <w:keepNext w:val="0"/>
        <w:keepLines w:val="0"/>
        <w:pageBreakBefore w:val="0"/>
        <w:widowControl w:val="0"/>
        <w:kinsoku/>
        <w:wordWrap/>
        <w:overflowPunct/>
        <w:topLinePunct w:val="0"/>
        <w:autoSpaceDE/>
        <w:autoSpaceDN/>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切实发挥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制度在土地资源要素配置中的关键作用，有机衔接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亩均论英雄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改革，进一步激发市场主体活力、优化营商环境，推动实体经济高质量发展。</w:t>
      </w:r>
    </w:p>
    <w:p>
      <w:pPr>
        <w:keepNext w:val="0"/>
        <w:keepLines w:val="0"/>
        <w:pageBreakBefore w:val="0"/>
        <w:widowControl w:val="0"/>
        <w:kinsoku/>
        <w:wordWrap/>
        <w:overflowPunct/>
        <w:topLinePunct w:val="0"/>
        <w:autoSpaceDE/>
        <w:autoSpaceDN/>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第二条  工作目标</w:t>
      </w:r>
    </w:p>
    <w:p>
      <w:pPr>
        <w:keepNext w:val="0"/>
        <w:keepLines w:val="0"/>
        <w:pageBreakBefore w:val="0"/>
        <w:widowControl w:val="0"/>
        <w:kinsoku/>
        <w:wordWrap/>
        <w:overflowPunct/>
        <w:topLinePunct w:val="0"/>
        <w:autoSpaceDE/>
        <w:autoSpaceDN/>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除负面清单外，新批工业用地100%按</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出让。</w:t>
      </w:r>
    </w:p>
    <w:p>
      <w:pPr>
        <w:keepNext w:val="0"/>
        <w:keepLines w:val="0"/>
        <w:pageBreakBefore w:val="0"/>
        <w:widowControl w:val="0"/>
        <w:kinsoku/>
        <w:wordWrap/>
        <w:overflowPunct/>
        <w:topLinePunct w:val="0"/>
        <w:autoSpaceDE/>
        <w:autoSpaceDN/>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第三条  概念界定</w:t>
      </w:r>
    </w:p>
    <w:p>
      <w:pPr>
        <w:keepNext w:val="0"/>
        <w:keepLines w:val="0"/>
        <w:pageBreakBefore w:val="0"/>
        <w:widowControl w:val="0"/>
        <w:kinsoku/>
        <w:wordWrap/>
        <w:overflowPunct/>
        <w:topLinePunct w:val="0"/>
        <w:autoSpaceDE/>
        <w:autoSpaceDN/>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企业投资工业项目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，是指在按规定完成相关区域评估基础上，带着固定资产投资强度、亩均税收、单位能耗标准、单位排放标准、容积率、R&amp;D经费支出占营业收入之比等基本指标出让的国有建设用地。</w:t>
      </w:r>
    </w:p>
    <w:p>
      <w:pPr>
        <w:keepNext w:val="0"/>
        <w:keepLines w:val="0"/>
        <w:pageBreakBefore w:val="0"/>
        <w:widowControl w:val="0"/>
        <w:kinsoku/>
        <w:wordWrap/>
        <w:overflowPunct/>
        <w:topLinePunct w:val="0"/>
        <w:autoSpaceDE/>
        <w:autoSpaceDN/>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第四条  操作流程</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企业投资工业项目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全流程管理分为出让前准备、按标出让、审批服务、按标施建、对标验收、监督管理等六个主要环节（详见附1）。</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第五条  区域评估</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在符合国土空间规划前提下，拟出让</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所在区域需按规定统一组织完成区域环境影响评估、节能评估、防洪影响评价、水土保持方案报告、水资源论证报告、压覆重要矿产资源评估、地质灾害危险性评估、雷电灾害风险评估、地震安全性评价、文物保护等区域评估，并适时扩大区域评估事项。鼓励开展</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多评合一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联合评估，同一区域内不同的评估事项，可通过公开、公平方式委托一家综合性机构出具综合性报告，或由一家机构牵头开展联合评估工作。各地根据区域评估情况，完善项目准入要求，并向社会公布负面清单。负面清单之外的投资项目，原则上不再实行单独项目评估，或者依法依规简化相关审批流程，变</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单个项目评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区域整体评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企业付费评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政府买单评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第六条  标准制订</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由省级有关部门联合制定发布全省新增工业项目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指导性指标（详见附2），建立指标动态调整机制，适时修订指标体系。各市、县（市、区）政府要参照全省新增工业项目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指导性指标，根据产业准入、功能区划和相关区域评估要求，进一步细化行业分类，建立符合当地实际、切实可行的新增工业项目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控制性指标体系及指标数值报送机制，并实行动态调整。各设区市汇总所辖县（市、区）新增工业项目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控制性指标后，报省发展改革委、省自然资源厅备案。</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第七条  按标出让</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各市、县（市、区）人民政府或其指定的部门（机构），应做好</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动工开发所必需的通水、通电、通路等基本条件，严格执行净地出让规定。</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出让前，各市、县（市、区）人民政府或其指定的部门（机构），在当地新增工业项目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控制性指标基础上，结合具体项目准入，合理提高标准，强化能耗、污染物排放等总量控制，联合提出拟出让地块的固定资产投资强度、建筑容积率、亩均税收、单位能耗标准、单位排放标准等具体标准要求。各市、县（市、区）自然资源主管部门根据当地有关部门联合提出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具体控制性指标，拟定国有建设用地使用权出让方案，按规定程序报人民政府批准后，通过浙江省土地使用</w:t>
      </w:r>
      <w:r>
        <w:rPr>
          <w:rFonts w:hint="default" w:ascii="Times New Roman" w:hAnsi="Times New Roman" w:eastAsia="仿宋_GB2312" w:cs="Times New Roman"/>
          <w:spacing w:val="-11"/>
          <w:sz w:val="32"/>
          <w:szCs w:val="32"/>
        </w:rPr>
        <w:t>权网上交易系统发布</w:t>
      </w:r>
      <w:r>
        <w:rPr>
          <w:rFonts w:hint="eastAsia" w:ascii="Times New Roman" w:hAnsi="Times New Roman" w:cs="Times New Roman"/>
          <w:spacing w:val="-11"/>
          <w:sz w:val="32"/>
          <w:szCs w:val="32"/>
          <w:lang w:eastAsia="zh-CN"/>
        </w:rPr>
        <w:t>“</w:t>
      </w:r>
      <w:r>
        <w:rPr>
          <w:rFonts w:hint="default" w:ascii="Times New Roman" w:hAnsi="Times New Roman" w:eastAsia="仿宋_GB2312" w:cs="Times New Roman"/>
          <w:spacing w:val="-11"/>
          <w:sz w:val="32"/>
          <w:szCs w:val="32"/>
        </w:rPr>
        <w:t>标准地</w:t>
      </w:r>
      <w:r>
        <w:rPr>
          <w:rFonts w:hint="eastAsia" w:ascii="Times New Roman" w:hAnsi="Times New Roman" w:cs="Times New Roman"/>
          <w:spacing w:val="-11"/>
          <w:sz w:val="32"/>
          <w:szCs w:val="32"/>
          <w:lang w:eastAsia="zh-CN"/>
        </w:rPr>
        <w:t>”</w:t>
      </w:r>
      <w:r>
        <w:rPr>
          <w:rFonts w:hint="default" w:ascii="Times New Roman" w:hAnsi="Times New Roman" w:eastAsia="仿宋_GB2312" w:cs="Times New Roman"/>
          <w:spacing w:val="-11"/>
          <w:sz w:val="32"/>
          <w:szCs w:val="32"/>
        </w:rPr>
        <w:t>招拍挂出让公告，组织土地招拍挂。</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第八条  协议签订</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企业竞得土地后，按规定程序及时间要求，与市、县（市、区）人民政府或者其指定的部门（机构）签订企业投资工业项目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投资建设协议，与自然资源主管部门签订国有建设用地使用权出让合同。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投资建设协议应载明</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的控制性指标要求、指标复核办法、违约责任等事项内容。</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企业按照约定缴纳全部土地出让金等税费后，按规定程序申请办理国有建设用地使用权登记。《不动产权证书》及不动产登记簿上应按照合同约定备注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属工业项目‘标准地’性质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，其权属变动须满足</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项目要求。</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企业将全部或部分国有建设用地使用权及地上建筑物转让、出租或进行项目转让（含股权）时，按签订的企业投资工业项目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投资建设协议约定要求转移相关权利和义务。</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第九条  审批服务</w:t>
      </w:r>
    </w:p>
    <w:p>
      <w:pPr>
        <w:pStyle w:val="8"/>
        <w:keepNext w:val="0"/>
        <w:keepLines w:val="0"/>
        <w:pageBreakBefore w:val="0"/>
        <w:widowControl w:val="0"/>
        <w:kinsoku/>
        <w:wordWrap/>
        <w:overflowPunct/>
        <w:topLinePunct w:val="0"/>
        <w:bidi w:val="0"/>
        <w:adjustRightInd/>
        <w:snapToGrid/>
        <w:spacing w:line="579"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指定相关部门建立</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标准地</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项目前期辅导服务机制，做好企业投资项目审批代办服务，</w:t>
      </w:r>
      <w:r>
        <w:rPr>
          <w:rFonts w:hint="default" w:ascii="Times New Roman" w:hAnsi="Times New Roman" w:eastAsia="仿宋_GB2312" w:cs="Times New Roman"/>
          <w:sz w:val="32"/>
          <w:szCs w:val="32"/>
        </w:rPr>
        <w:t>确保项目精准落地。</w:t>
      </w:r>
      <w:r>
        <w:rPr>
          <w:rFonts w:hint="default" w:ascii="Times New Roman" w:hAnsi="Times New Roman" w:eastAsia="仿宋_GB2312" w:cs="Times New Roman"/>
          <w:kern w:val="2"/>
          <w:sz w:val="32"/>
          <w:szCs w:val="32"/>
        </w:rPr>
        <w:t>基于企业自愿原则，政府代办员可为企业提供无偿代办协办服务；企业可选择委托全流程或部分审批事项代办协办。</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第十条  按标施建</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开工后，各有关部门应加强事中指导服务和监督，加强与做地主体协调对接，督促企业落实工程主体和质量、安全、进度管理。发现违反承诺行为，责令企业限期整改，确保项目按照相关规定和既定计划建设实施。</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地企业应承担并落实工程主体责任和质量、安全、进度管理，确保工程按照相关规定和既定计划实施。不能按期开工的，应提前30日向自然资源主管部门提出延建申请，经同意后，其项目竣工时间相应顺延，但原则上延期不得超过一年。造成土地闲置的，按《闲置土地处置办法》（中华人民共和国国土资源部令第53号）进行处置。各有关中介机构（设计、监理、能评、测绘等）应履行相关责任和义务，保障工程按标施建。</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第十一条  对标验收</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竣工后，企业可自行组织竣工验收，按要求委托联测联核，形成验收结果及相应的报告和材料，并通过浙江政务服务网投资项目在线审批监管平台3.0版提交相应验收材料，向建设部门或政府指定的部门提出竣工联合验收申请。建设部门或政府指定的部门会同相关部门，根据容积率等相关指标进行联合竣工验收，并出具竣工验收意见书。竣工验收合格的，权利人申请办理国有建设用地使用权及房屋所有权首次登记；未通过竣工验收的，由相关主管部门责令其限期整改。整改期最长不超过半年。验收通过或经整改后复核通过的，各部门依法依规办理相关审核审批手续，自然资源主管部门及时办理不动产登记。整改后仍不能达到投资建设协议约定的，竣工验收不予通过，其违约责任按签订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投资建设协议有关条款执行。</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通过竣工验收后，在初始运行期届满30日内，企业应提出达产复核书面申请；若在初始运行期间内，企业达到达产复核要求的，可提前提出达产复核申请。政府有关部门开展达产复核，并出具达产复核意见书。未通过复核的，责令其限期整改，整改期最长不超过一年。整改后仍不能达到投资建设协议约定的，达产复核不予通过，其违约责任按签订的</w:t>
      </w:r>
      <w:r>
        <w:rPr>
          <w:rFonts w:hint="eastAsia" w:ascii="Times New Roman" w:hAnsi="Times New Roman" w:cs="Times New Roman"/>
          <w:spacing w:val="-6"/>
          <w:sz w:val="32"/>
          <w:szCs w:val="32"/>
          <w:lang w:eastAsia="zh-CN"/>
        </w:rPr>
        <w:t>“</w:t>
      </w:r>
      <w:r>
        <w:rPr>
          <w:rFonts w:hint="default" w:ascii="Times New Roman" w:hAnsi="Times New Roman" w:eastAsia="仿宋_GB2312" w:cs="Times New Roman"/>
          <w:spacing w:val="-6"/>
          <w:sz w:val="32"/>
          <w:szCs w:val="32"/>
        </w:rPr>
        <w:t>标准地</w:t>
      </w:r>
      <w:r>
        <w:rPr>
          <w:rFonts w:hint="eastAsia" w:ascii="Times New Roman" w:hAnsi="Times New Roman" w:cs="Times New Roman"/>
          <w:spacing w:val="-6"/>
          <w:sz w:val="32"/>
          <w:szCs w:val="32"/>
          <w:lang w:eastAsia="zh-CN"/>
        </w:rPr>
        <w:t>”</w:t>
      </w:r>
      <w:r>
        <w:rPr>
          <w:rFonts w:hint="default" w:ascii="Times New Roman" w:hAnsi="Times New Roman" w:eastAsia="仿宋_GB2312" w:cs="Times New Roman"/>
          <w:spacing w:val="-6"/>
          <w:sz w:val="32"/>
          <w:szCs w:val="32"/>
        </w:rPr>
        <w:t>投资建设协议有关条款执行。</w:t>
      </w:r>
    </w:p>
    <w:p>
      <w:pPr>
        <w:keepNext w:val="0"/>
        <w:keepLines w:val="0"/>
        <w:pageBreakBefore w:val="0"/>
        <w:widowControl w:val="0"/>
        <w:kinsoku/>
        <w:wordWrap/>
        <w:overflowPunct/>
        <w:topLinePunct w:val="0"/>
        <w:bidi w:val="0"/>
        <w:adjustRightInd/>
        <w:snapToGrid/>
        <w:spacing w:line="579"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第十二条  全过程监督管理</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根据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谁审批、谁负责，谁主管、谁负责</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的原则，各地相关部门应建立覆盖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项目建设、竣工验收、达产复核、股权变更等环节监测核查机制，综合应用信用监管、</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亩均论英雄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、保函等举措，构建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监管体系。各地根据实践情况完善事中事后监管制度。</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打造信用监管闭环。建立健全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项目全过程信用档案，对企业投资工业项目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承诺行为信息和履约情况进行征集、记录、评价和应用，将企业落实承诺行为信息和合规行为记录信用档案，并共享省市公用信用信息平台，依法查询和公示。根据项目开工、竣工核验、达产复核情况按约定予以奖惩。信用评价结果作为企业享受差别化优惠政策的重要参考。针对失信企业，采取信用约束措施。</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加强与</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亩均论英雄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改革联动。达产复核阶段实施按亩均效益综合评价管理，将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承诺履约事项嵌入到亩均效益评价中，根据综合评价结果，实施用地、用电、用能、用水、信贷资金等资源要素差别化配置，倒逼企业拿地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量入为出、适度消费</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探索</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保函模式</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保函</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制度引入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项目，由银行按照一定标准提供保函金额，企业在承诺时限内开工、通过联合验收、通过达产复核的，保函金额下降相应比例，直至保函自动解除；若在相关承诺时限内未完成，银行将支付相应保函金额的违约金。</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第十三条  负面清单管理</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按照《省发展改革委关于发布&lt;浙江省企业投资工业项目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负面清单（2019年）&gt;的通知》（浙发改投资〔2019〕1号）要求，对申请列入负面清单的用地项目进行分类管理。对符合协议出让的用地项目，变事前审核为事后监管，各地在土地协议出让后将国有建设用地使用权出让合同上传至</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数字地图。对3亩以下零星边角地、夹心地用地项目和小微企业园项目，变事前审核为事后抽查，允许土地出让之后上传相关证明材料至</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数字地图。对涉及重大环境影响的项目、涉及重大社会稳定风险的项目，实行先申请后出让。</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第十四条  加强改革创新</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各地要充分发扬基层首创精神，加强体制机制创新，积极探索形成可复制、可推广的亮点举措。</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已供土地</w:t>
      </w:r>
      <w:r>
        <w:rPr>
          <w:rFonts w:hint="default" w:ascii="Times New Roman" w:hAnsi="Times New Roman" w:eastAsia="仿宋_GB2312" w:cs="Times New Roman"/>
          <w:sz w:val="32"/>
          <w:szCs w:val="32"/>
        </w:rPr>
        <w:t>用地应用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模式。支持各地探索已取得工业用地使用权的企业投资改扩建工业项目、进入司法处置程序的存量工业用地使用权拍卖项目，参照新增工业项目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的相关标准执行。</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动产首次登记即收即办。鼓励各地加快电子审批、流程再造、业务整合，充分发挥材料共享优势，通过电子证照共享或部门内部调取土地出让收入征收情况联系单、土地出让金（纳税）缴款书、建设用地规划许可证等材料，让企业在办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首次登记时，仅需提交国有土地使用权出让合同、交地协议书等资料，实现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项目不动产首次登记</w:t>
      </w:r>
      <w:r>
        <w:rPr>
          <w:rFonts w:hint="default" w:ascii="Times New Roman" w:hAnsi="Times New Roman" w:cs="Times New Roman"/>
          <w:sz w:val="32"/>
          <w:szCs w:val="32"/>
        </w:rPr>
        <w:t>即收即办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第十五条  </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标准地</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数字地图</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各地要将工业用地布局规划等相关信息在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数字地图上统一发布；构建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云招商模式，确保信息即时发布、动态更新、公开透明。土地出让后，及时更新地块</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指标实际复核值，为动态调整指标体系提供依据。</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  加强中介机构管理监督</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各地要规范</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项目行政审批中介服务，贯彻落实《关于公布浙江省投资项目行政审批中介服务平台信用评价指标的通知》要求，构建中介机构服务信用评价机制。行业主管部门依据扣分规则对中介机构服务成果的合规性、经济技术可行性、中介成果通过与备案情况进行打分；项目业主对中介机构的服务质量、服务时效、服务收费进行满意度星级评价；中介服务平台对中介机构的服务成果通过和备案情况进行自动评分，实时公开评价结果。鼓励中介服务委托方将中介服务机构信用评价结果作为选择依据。鼓励行业管理部门根据中介机构信用评价结果和信用评价等级制定落实差异化监管措施。</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第十七条  考核督查</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省发展改革委、省自然资源厅负责督促指导全省</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改革工作，对全省新批工业用地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出让情况进行实时监测、月度统计和年度考核。</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2536" w:leftChars="200" w:hanging="1884" w:hangingChars="6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附：1.</w:t>
      </w:r>
      <w:r>
        <w:rPr>
          <w:rFonts w:hint="default" w:ascii="Times New Roman" w:hAnsi="Times New Roman" w:eastAsia="仿宋_GB2312" w:cs="Times New Roman"/>
          <w:spacing w:val="-6"/>
          <w:sz w:val="32"/>
          <w:szCs w:val="32"/>
        </w:rPr>
        <w:t>企业投资工业项目</w:t>
      </w:r>
      <w:r>
        <w:rPr>
          <w:rFonts w:hint="eastAsia" w:ascii="Times New Roman" w:hAnsi="Times New Roman" w:cs="Times New Roman"/>
          <w:spacing w:val="-6"/>
          <w:sz w:val="32"/>
          <w:szCs w:val="32"/>
          <w:lang w:eastAsia="zh-CN"/>
        </w:rPr>
        <w:t>“</w:t>
      </w:r>
      <w:r>
        <w:rPr>
          <w:rFonts w:hint="default" w:ascii="Times New Roman" w:hAnsi="Times New Roman" w:eastAsia="仿宋_GB2312" w:cs="Times New Roman"/>
          <w:spacing w:val="-6"/>
          <w:sz w:val="32"/>
          <w:szCs w:val="32"/>
        </w:rPr>
        <w:t>标准地</w:t>
      </w:r>
      <w:r>
        <w:rPr>
          <w:rFonts w:hint="eastAsia" w:ascii="Times New Roman" w:hAnsi="Times New Roman" w:cs="Times New Roman"/>
          <w:spacing w:val="-6"/>
          <w:sz w:val="32"/>
          <w:szCs w:val="32"/>
          <w:lang w:eastAsia="zh-CN"/>
        </w:rPr>
        <w:t>”</w:t>
      </w:r>
      <w:r>
        <w:rPr>
          <w:rFonts w:hint="default" w:ascii="Times New Roman" w:hAnsi="Times New Roman" w:eastAsia="仿宋_GB2312" w:cs="Times New Roman"/>
          <w:spacing w:val="-6"/>
          <w:sz w:val="32"/>
          <w:szCs w:val="32"/>
        </w:rPr>
        <w:t>全过程管理操作流程图</w:t>
      </w:r>
    </w:p>
    <w:p>
      <w:pPr>
        <w:keepNext w:val="0"/>
        <w:keepLines w:val="0"/>
        <w:pageBreakBefore w:val="0"/>
        <w:widowControl w:val="0"/>
        <w:kinsoku/>
        <w:wordWrap/>
        <w:overflowPunct/>
        <w:topLinePunct w:val="0"/>
        <w:autoSpaceDE/>
        <w:autoSpaceDN/>
        <w:bidi w:val="0"/>
        <w:adjustRightInd/>
        <w:snapToGrid/>
        <w:spacing w:line="550"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w:t>
      </w:r>
      <w:r>
        <w:rPr>
          <w:rFonts w:hint="default" w:ascii="Times New Roman" w:hAnsi="Times New Roman" w:eastAsia="仿宋_GB2312" w:cs="Times New Roman"/>
          <w:spacing w:val="-8"/>
          <w:sz w:val="32"/>
          <w:szCs w:val="32"/>
        </w:rPr>
        <w:t>浙江省新增工业项目</w:t>
      </w:r>
      <w:r>
        <w:rPr>
          <w:rFonts w:hint="eastAsia" w:ascii="Times New Roman" w:hAnsi="Times New Roman" w:cs="Times New Roman"/>
          <w:spacing w:val="-8"/>
          <w:sz w:val="32"/>
          <w:szCs w:val="32"/>
          <w:lang w:eastAsia="zh-CN"/>
        </w:rPr>
        <w:t>“</w:t>
      </w:r>
      <w:r>
        <w:rPr>
          <w:rFonts w:hint="default" w:ascii="Times New Roman" w:hAnsi="Times New Roman" w:eastAsia="仿宋_GB2312" w:cs="Times New Roman"/>
          <w:spacing w:val="-8"/>
          <w:sz w:val="32"/>
          <w:szCs w:val="32"/>
        </w:rPr>
        <w:t>标准地</w:t>
      </w:r>
      <w:r>
        <w:rPr>
          <w:rFonts w:hint="eastAsia" w:ascii="Times New Roman" w:hAnsi="Times New Roman" w:cs="Times New Roman"/>
          <w:spacing w:val="-8"/>
          <w:sz w:val="32"/>
          <w:szCs w:val="32"/>
          <w:lang w:eastAsia="zh-CN"/>
        </w:rPr>
        <w:t>”</w:t>
      </w:r>
      <w:r>
        <w:rPr>
          <w:rFonts w:hint="default" w:ascii="Times New Roman" w:hAnsi="Times New Roman" w:eastAsia="仿宋_GB2312" w:cs="Times New Roman"/>
          <w:spacing w:val="-8"/>
          <w:sz w:val="32"/>
          <w:szCs w:val="32"/>
        </w:rPr>
        <w:t>指导性指标（2022版）</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br w:type="page"/>
      </w:r>
      <w:bookmarkStart w:id="0" w:name="_Hlk90538186"/>
      <w:r>
        <w:rPr>
          <w:rFonts w:hint="default" w:ascii="Times New Roman" w:hAnsi="Times New Roman" w:eastAsia="黑体" w:cs="Times New Roman"/>
          <w:sz w:val="32"/>
          <w:szCs w:val="32"/>
        </w:rPr>
        <w:t>附1</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企业投资工业项目</w:t>
      </w:r>
      <w:r>
        <w:rPr>
          <w:rFonts w:hint="eastAsia"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标准地</w:t>
      </w:r>
      <w:r>
        <w:rPr>
          <w:rFonts w:hint="eastAsia" w:ascii="Times New Roman" w:hAnsi="Times New Roman" w:eastAsia="方正小标宋简体" w:cs="Times New Roman"/>
          <w:b w:val="0"/>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全过程管理操作流程图</w:t>
      </w:r>
    </w:p>
    <w:p>
      <w:pPr>
        <w:tabs>
          <w:tab w:val="left" w:pos="645"/>
        </w:tabs>
        <w:rPr>
          <w:rFonts w:hint="default" w:ascii="Times New Roman" w:hAnsi="Times New Roman" w:eastAsia="仿宋_GB2312" w:cs="Times New Roman"/>
          <w:sz w:val="32"/>
          <w:szCs w:val="32"/>
        </w:rPr>
      </w:pPr>
      <w:r>
        <w:rPr>
          <w:rFonts w:hint="default" w:ascii="Times New Roman" w:hAnsi="Times New Roman" w:cs="Times New Roman"/>
        </w:rPr>
        <w:object>
          <v:shape id="_x0000_i1025" o:spt="75" type="#_x0000_t75" style="height:516.7pt;width:404.9pt;" o:ole="t" filled="f" o:preferrelative="t" stroked="f" coordsize="21600,21600">
            <v:path/>
            <v:fill on="f" focussize="0,0"/>
            <v:stroke on="f"/>
            <v:imagedata r:id="rId11" o:title=""/>
            <o:lock v:ext="edit" aspectratio="t"/>
            <w10:wrap type="none"/>
            <w10:anchorlock/>
          </v:shape>
          <o:OLEObject Type="Embed" ProgID="Visio.Drawing.15" ShapeID="_x0000_i1025" DrawAspect="Content" ObjectID="_1468075725" r:id="rId10">
            <o:LockedField>false</o:LockedField>
          </o:OLEObject>
        </w:object>
      </w:r>
    </w:p>
    <w:p>
      <w:pPr>
        <w:spacing w:line="590" w:lineRule="exac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br w:type="page"/>
      </w:r>
      <w:bookmarkEnd w:id="0"/>
      <w:r>
        <w:rPr>
          <w:rFonts w:hint="default" w:ascii="Times New Roman" w:hAnsi="Times New Roman" w:eastAsia="黑体" w:cs="Times New Roman"/>
          <w:sz w:val="32"/>
          <w:szCs w:val="32"/>
        </w:rPr>
        <w:t>附2</w:t>
      </w:r>
    </w:p>
    <w:p>
      <w:pPr>
        <w:keepNext w:val="0"/>
        <w:keepLines w:val="0"/>
        <w:pageBreakBefore w:val="0"/>
        <w:widowControl w:val="0"/>
        <w:kinsoku/>
        <w:wordWrap/>
        <w:overflowPunct/>
        <w:topLinePunct w:val="0"/>
        <w:autoSpaceDE/>
        <w:autoSpaceDN/>
        <w:bidi w:val="0"/>
        <w:adjustRightInd/>
        <w:snapToGrid/>
        <w:spacing w:line="579" w:lineRule="exact"/>
        <w:ind w:firstLine="628"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浙江省新增工业项目</w:t>
      </w:r>
      <w:r>
        <w:rPr>
          <w:rFonts w:hint="eastAsia"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标准地</w:t>
      </w:r>
      <w:r>
        <w:rPr>
          <w:rFonts w:hint="eastAsia"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指导性指标</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（2022版）</w:t>
      </w:r>
    </w:p>
    <w:tbl>
      <w:tblPr>
        <w:tblStyle w:val="7"/>
        <w:tblW w:w="90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423"/>
        <w:gridCol w:w="1222"/>
        <w:gridCol w:w="910"/>
        <w:gridCol w:w="1271"/>
        <w:gridCol w:w="1248"/>
        <w:gridCol w:w="1400"/>
        <w:gridCol w:w="906"/>
      </w:tblGrid>
      <w:tr>
        <w:tblPrEx>
          <w:tblLayout w:type="fixed"/>
        </w:tblPrEx>
        <w:trPr>
          <w:trHeight w:val="0" w:hRule="atLeast"/>
          <w:tblHeader/>
          <w:jc w:val="center"/>
        </w:trPr>
        <w:tc>
          <w:tcPr>
            <w:tcW w:w="6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000000"/>
                <w:kern w:val="0"/>
                <w:szCs w:val="21"/>
                <w:lang w:val="en-US"/>
              </w:rPr>
            </w:pPr>
            <w:bookmarkStart w:id="1" w:name="_Hlk91147938"/>
            <w:r>
              <w:rPr>
                <w:rFonts w:hint="eastAsia" w:ascii="黑体" w:hAnsi="黑体" w:eastAsia="黑体" w:cs="黑体"/>
                <w:b w:val="0"/>
                <w:bCs/>
                <w:color w:val="000000"/>
                <w:kern w:val="0"/>
                <w:sz w:val="21"/>
                <w:szCs w:val="21"/>
                <w:lang w:val="en-US" w:eastAsia="zh-CN" w:bidi="ar"/>
              </w:rPr>
              <w:t>行业代码</w:t>
            </w:r>
          </w:p>
        </w:tc>
        <w:tc>
          <w:tcPr>
            <w:tcW w:w="1423"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000000"/>
                <w:kern w:val="0"/>
                <w:szCs w:val="21"/>
                <w:lang w:val="en-US"/>
              </w:rPr>
            </w:pPr>
            <w:r>
              <w:rPr>
                <w:rFonts w:hint="eastAsia" w:ascii="黑体" w:hAnsi="黑体" w:eastAsia="黑体" w:cs="黑体"/>
                <w:b w:val="0"/>
                <w:bCs/>
                <w:color w:val="000000"/>
                <w:kern w:val="0"/>
                <w:sz w:val="21"/>
                <w:szCs w:val="21"/>
                <w:lang w:val="en-US" w:eastAsia="zh-CN" w:bidi="ar"/>
              </w:rPr>
              <w:t>行业名称</w:t>
            </w:r>
          </w:p>
        </w:tc>
        <w:tc>
          <w:tcPr>
            <w:tcW w:w="1222"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000000"/>
                <w:kern w:val="0"/>
                <w:szCs w:val="21"/>
                <w:lang w:val="en-US"/>
              </w:rPr>
            </w:pPr>
            <w:r>
              <w:rPr>
                <w:rFonts w:hint="eastAsia" w:ascii="黑体" w:hAnsi="黑体" w:eastAsia="黑体" w:cs="黑体"/>
                <w:b w:val="0"/>
                <w:bCs/>
                <w:color w:val="000000"/>
                <w:kern w:val="0"/>
                <w:sz w:val="21"/>
                <w:szCs w:val="21"/>
                <w:lang w:val="en-US" w:eastAsia="zh-CN" w:bidi="ar"/>
              </w:rPr>
              <w:t>固定资产投资强度（万元/亩）</w:t>
            </w:r>
          </w:p>
        </w:tc>
        <w:tc>
          <w:tcPr>
            <w:tcW w:w="910"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000000"/>
                <w:kern w:val="0"/>
                <w:szCs w:val="21"/>
                <w:lang w:val="en-US"/>
              </w:rPr>
            </w:pPr>
            <w:r>
              <w:rPr>
                <w:rFonts w:hint="eastAsia" w:ascii="黑体" w:hAnsi="黑体" w:eastAsia="黑体" w:cs="黑体"/>
                <w:b w:val="0"/>
                <w:bCs/>
                <w:color w:val="000000"/>
                <w:kern w:val="0"/>
                <w:sz w:val="21"/>
                <w:szCs w:val="21"/>
                <w:lang w:val="en-US" w:eastAsia="zh-CN" w:bidi="ar"/>
              </w:rPr>
              <w:t>亩均税收（万元/亩）</w:t>
            </w:r>
          </w:p>
        </w:tc>
        <w:tc>
          <w:tcPr>
            <w:tcW w:w="1271"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000000"/>
                <w:kern w:val="0"/>
                <w:szCs w:val="21"/>
                <w:lang w:val="en-US"/>
              </w:rPr>
            </w:pPr>
            <w:r>
              <w:rPr>
                <w:rFonts w:hint="eastAsia" w:ascii="黑体" w:hAnsi="黑体" w:eastAsia="黑体" w:cs="黑体"/>
                <w:b w:val="0"/>
                <w:bCs/>
                <w:color w:val="000000"/>
                <w:kern w:val="0"/>
                <w:sz w:val="21"/>
                <w:szCs w:val="21"/>
                <w:lang w:val="en-US" w:eastAsia="zh-CN" w:bidi="ar"/>
              </w:rPr>
              <w:t>单位能耗增加值（万元/吨标煤）</w:t>
            </w:r>
          </w:p>
        </w:tc>
        <w:tc>
          <w:tcPr>
            <w:tcW w:w="1248"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000000"/>
                <w:kern w:val="0"/>
                <w:szCs w:val="21"/>
                <w:lang w:val="en-US"/>
              </w:rPr>
            </w:pPr>
            <w:r>
              <w:rPr>
                <w:rFonts w:hint="eastAsia" w:ascii="黑体" w:hAnsi="黑体" w:eastAsia="黑体" w:cs="黑体"/>
                <w:b w:val="0"/>
                <w:bCs/>
                <w:color w:val="000000"/>
                <w:kern w:val="0"/>
                <w:sz w:val="21"/>
                <w:szCs w:val="21"/>
                <w:lang w:val="en-US" w:eastAsia="zh-CN" w:bidi="ar"/>
              </w:rPr>
              <w:t>单位排放增加值（万元/吨）</w:t>
            </w:r>
          </w:p>
        </w:tc>
        <w:tc>
          <w:tcPr>
            <w:tcW w:w="1400"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000000"/>
                <w:kern w:val="0"/>
                <w:szCs w:val="21"/>
                <w:lang w:val="en-US"/>
              </w:rPr>
            </w:pPr>
            <w:r>
              <w:rPr>
                <w:rFonts w:hint="eastAsia" w:ascii="黑体" w:hAnsi="黑体" w:eastAsia="黑体" w:cs="黑体"/>
                <w:b w:val="0"/>
                <w:bCs/>
                <w:color w:val="000000"/>
                <w:kern w:val="0"/>
                <w:sz w:val="21"/>
                <w:szCs w:val="21"/>
                <w:lang w:val="en-US" w:eastAsia="zh-CN" w:bidi="ar"/>
              </w:rPr>
              <w:t>R&amp;D经费支出占营业收入之比（%）</w:t>
            </w:r>
          </w:p>
        </w:tc>
        <w:tc>
          <w:tcPr>
            <w:tcW w:w="906"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000000"/>
                <w:kern w:val="0"/>
                <w:szCs w:val="21"/>
                <w:lang w:val="en-US"/>
              </w:rPr>
            </w:pPr>
            <w:r>
              <w:rPr>
                <w:rFonts w:hint="eastAsia" w:ascii="黑体" w:hAnsi="黑体" w:eastAsia="黑体" w:cs="黑体"/>
                <w:b w:val="0"/>
                <w:bCs/>
                <w:color w:val="000000"/>
                <w:kern w:val="0"/>
                <w:sz w:val="21"/>
                <w:szCs w:val="21"/>
                <w:lang w:val="en-US" w:eastAsia="zh-CN" w:bidi="ar"/>
              </w:rPr>
              <w:t>容积率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农副食品加工业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≥353.93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谷物磨制</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≥112.59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饮料加工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≥247.48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植物油加工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≥1991.21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制糖业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≥136.45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屠宰及肉类加工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≥964.63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水产品加工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≥233.47</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蔬菜、菌类、水果和坚果加工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≥328.45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其他农副食品加工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≥450.78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食品制造业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≥231.91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≥684.94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焙烤食品制造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≥231.91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≥4568.03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糖果、巧克力及蜜饯制造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≥231.91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49.9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≥3660.93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方便食品制造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≥231.91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≥3761.24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≥0.29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144</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乳制品制造</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≥231.91</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24.3</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≥1033.5</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≥0.94</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145</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罐头食品制造</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≥231.91</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15.5</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≥612.98</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≥0.58</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146</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调味品、发酵制品制造</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≥231.91</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24.3</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≥1960.74</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imes New Roman" w:hAnsi="Times New Roman" w:eastAsia="仿宋_GB2312" w:cs="仿宋_GB2312"/>
                <w:color w:val="000000"/>
                <w:kern w:val="0"/>
                <w:sz w:val="21"/>
                <w:szCs w:val="21"/>
                <w:lang w:val="en-US" w:eastAsia="zh-CN" w:bidi="ar"/>
              </w:rPr>
            </w:pPr>
            <w:r>
              <w:rPr>
                <w:rFonts w:hint="eastAsia" w:ascii="Times New Roman" w:hAnsi="Times New Roman" w:eastAsia="仿宋_GB2312" w:cs="仿宋_GB2312"/>
                <w:color w:val="000000"/>
                <w:kern w:val="0"/>
                <w:sz w:val="21"/>
                <w:szCs w:val="21"/>
                <w:lang w:val="en-US" w:eastAsia="zh-CN" w:bidi="ar"/>
              </w:rPr>
              <w:t>其他食品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≥231.91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≥329.3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酒、饮料和精制茶制造业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≥237.07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≥1890.71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酒的制造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≥237.07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≥3085.64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饮料制造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≥237.07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≥2231.21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≥0.32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精制茶加工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≥237.07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≥249.78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纺织业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≥283.5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≥140.41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棉纺织及印染精加工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≥227.93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≥96.74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毛纺织及染整精加工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≥283.5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≥227.05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麻纺织及染整精加工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≥283.5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≥250.52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丝绢纺织及印染精加工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≥283.5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≥631.56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化纤织造及印染精加工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≥123.88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针织或钩针编织物及其制品制造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≥235.89</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≥187.48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家用纺织制成品制造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≥216.74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≥751.67</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178</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产业用纺织制成品制造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≥263.15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≥911.02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纺织服装、服饰业</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≥235</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≥5.5</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≥440.03</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≥1.25</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181</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spacing w:val="-23"/>
                <w:kern w:val="0"/>
                <w:sz w:val="21"/>
                <w:szCs w:val="21"/>
                <w:lang w:val="en-US" w:eastAsia="zh-CN" w:bidi="ar"/>
              </w:rPr>
              <w:t>机织服装制造</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≥232.78</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39.7</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≥8.2</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≥1433.39</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182</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针织或钩针编织服装制造</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≥245.25</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42.3</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≥6.4</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≥49.73</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≥1.06</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服饰制造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≥209.74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≥1916.03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皮革、毛皮、羽毛及其制品和制鞋业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≥226.16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≥3103.00</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皮革鞣制加工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≥226.16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≥355.43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皮革制品制造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≥226.16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≥1418.3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毛皮鞣制及制品加工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≥226.16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≥222.45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羽毛（绒）加工及制品制造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≥226.16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≥988.26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制鞋业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≥226.16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≥20962.96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木材加工和木、竹、藤、棕、草制品业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≥224.35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≥1026.90</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木材加工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≥224.35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≥1094.48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人造板制造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≥224.35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≥448.26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木质制品制造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≥224.35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≥8996.32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竹、藤、棕、草等制品制造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≥224.35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≥479.34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家具制造业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≥293.16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≥7053.04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木质家具制造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≥293.16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≥15424.75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竹、藤家具制造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≥293.16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≥7416.74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金属家具制造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≥293.16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≥2272.45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214</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塑料家具制造</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≥293.16</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19.8</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≥50080.26</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≥1.61</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219</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其他家具制造</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≥293.16</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30.2</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≥10.4</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≥14798.24</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≥2.05</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造纸和纸制品业</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≥283.9</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16.9</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≥171.07</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≥1.45</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造纸</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≥144.07</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纸制品制造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≥269.18</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≥2265.63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印刷和记录媒介复制业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≥10235.99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印刷</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≥10262.01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装订及印刷相关服务</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≥8321.09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文教、工美、体育和娱乐用品制造业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≥241.27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≥9421.11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文教办公用品制造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≥241.27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≥6861.04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乐器制造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≥241.27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≥6162.86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工艺美术及礼仪用品制造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≥241.27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≥14920.09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体育用品制造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≥241.27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≥3542.36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玩具制造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≥241.27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≥4.8</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≥15979.34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游艺器材及娱乐用品制造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≥241.27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≥5194.42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spacing w:val="-23"/>
                <w:kern w:val="0"/>
                <w:sz w:val="21"/>
                <w:szCs w:val="21"/>
                <w:lang w:val="en-US" w:eastAsia="zh-CN" w:bidi="ar"/>
              </w:rPr>
              <w:t>石油、煤炭及其他燃料加工业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174.2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≥607.26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spacing w:val="0"/>
                <w:kern w:val="0"/>
                <w:sz w:val="21"/>
                <w:szCs w:val="21"/>
                <w:lang w:val="en-US" w:eastAsia="zh-CN" w:bidi="ar"/>
              </w:rPr>
              <w:t>精炼石油产品制造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178.4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≥527.98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煤炭加工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174.2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≥607.26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254</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生物质燃料加工</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174.2</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≥0.2</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≥3979.43</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≥0.12</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化学原料和化学制品制造业</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≥481.65</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≥1.31</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261</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基础化学原料制造</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≥315.47</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33.6</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≥437.88</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≥1.37</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肥料制造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≥48.71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农药制造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≥485.43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涂料、油墨、颜料及类似产品制造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≥662.04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合成材料制造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≥364.75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≥461.39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专用化学产品制造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≥633.77</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炸药、火工及焰火产品制造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≥6879.9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268</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日用化学产品制造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≥454.28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医药制造业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≥394.61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≥2122.16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化学药品原料药制造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≥473.17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≥2164.64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化学药品制剂制造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≥394.61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90.7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≥20195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中药饮片加工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≥394.61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≥3304.24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中成药生产</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≥394.61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≥3748.79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兽用药品制造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≥394.61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≥12570.46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生物药品制品制造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≥394.61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73.1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≥977.3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卫生材料及医药用品制造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≥394.61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45.7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≥11413.95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278</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药用辅料及包装材料</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≥394.61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≥3731.72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化学纤维制造业</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≥357.87</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12.8</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≥181.61</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≥1.34</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281</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纤维素纤维原料及纤维制造</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≥357.87</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12.8</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≥441.44</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≥2.36</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282</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合成纤维制造</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≥359.55</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10.8</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≥179.31</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≥1.32</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生物基材料制造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≥357.87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≥187.1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橡胶和塑料制品业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≥262.55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≥1180.05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橡胶制品业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≥262.55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≥1535.85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塑料制品业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≥1199.69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非金属矿物制品业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≥67.94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水泥、石灰和石膏制造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≥50.26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石膏、水泥制品及类似制品制造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≥2484.54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砖瓦、石材等建筑材料制造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≥278.17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≥99.46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玻璃制造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≥9.04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玻璃制品制造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≥257.3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≥88.71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玻璃纤维和玻璃纤维增强塑料制品制造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≥342.73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≥413.54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陶瓷制品制造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≥269.03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308</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耐火材料制品制造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≥72.4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石墨主其他非金属矿物制品制造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≥435.79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黑色金属冶炼和压延加工业</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≥250</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15.9</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≥78.09</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≥0.84</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312</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炼钢</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≥250</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15.9</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≥40.86</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≥0.59</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313</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钢压延加工</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≥250</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15.8</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≥155.46</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≥0.84</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铁合金冶炼</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≥78.09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有色金属冶炼和压延加工业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≥289.99</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≥538.65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常用有色金属冶炼</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≥289.99</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≥755.41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≥0.27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贵金属冶炼</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≥289.99</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≥1301.27</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≥0.14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有色金属合金制造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≥289.99</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≥1146.59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有色金属压延加工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≥289.99</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≥1117.31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金属制品业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≥1704.70</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结构性金属制品制造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≥1693.48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金属工具制造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≥298.72</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≥4354.78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集装箱及金属包装容器制造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≥2176.99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金属丝绳及其制品制造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≥860.44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建筑、安全用金属制品制造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≥2267.46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金属表面处理及热处理加工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≥1405.67</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搪瓷制品制造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≥3169.69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338</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金属制日用品制造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≥289.52</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≥1698.02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铸造及其他金属制品制造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≥2591.16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通用设备制造业</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≥2593.04</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≥2.66</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341</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锅炉及原动设备制造</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21.7</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≥4.1</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≥1209.8</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≥2.91</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342</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金属加工机械制造</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≥295.04</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18.4</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≥5.4</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≥2581.4</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≥3.09</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物料搬运设备制造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≥277.33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≥14698.95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泵、阀门、压缩机及类似机械制造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≥8721.08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轴承、齿轮和传动部件制造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≥728.53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烘炉、风机、包装等设备制造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≥3916.96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文化、办公用机械制造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≥2029.92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348</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通用零部件制造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≥2463.92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其他通用设备制造业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≥300.98</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≥9285.11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≥5.54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专用设备制造业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≥357.07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≥4.8</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≥5259.48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采矿、冶金、建筑专用设备制造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≥357.07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≥8712.29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化工、木材、非金属加工专用设备制造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≥357.07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≥5362.51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食品、饮料、烟草及饲料生产专用设备制造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≥308.11</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≥49653.35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354</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印刷、制药、日化及日用品生产专用设备制造</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≥357.07</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25.8</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≥9.3</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≥1971.5</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≥3.54</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355</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纺织、服装和皮革加工专用设备制造</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≥386.16</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16.8</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≥3663.31</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356</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电子和电工机械专用设备制造</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≥357.07</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34.2</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≥6.7</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≥1848.08</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≥3.67</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农、林、牧、渔专用机械制造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≥357.07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≥7544.37</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358</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医疗仪器设备及器械制造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≥393.49</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42.9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≥11414.96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环保、邮政、社会公共服务及其他专用设备制造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≥9079.03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汽车制造业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≥4872.05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汽车整车制造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≥1292.46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汽车用发动机制造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≥87406.13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改装汽车制造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≥891353.33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汽车车身、挂车制造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≥21207.79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汽车零部件及配件制造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≥5235.2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铁路、船舶、航空航天和其他运输设备制造业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≥2701.99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铁路运输设备制造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≥6540.9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城市轨道交通设备制造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≥2701.99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373</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spacing w:val="-20"/>
                <w:kern w:val="0"/>
                <w:szCs w:val="21"/>
                <w:lang w:val="en-US"/>
              </w:rPr>
            </w:pPr>
            <w:r>
              <w:rPr>
                <w:rFonts w:hint="eastAsia" w:ascii="Times New Roman" w:hAnsi="Times New Roman" w:eastAsia="仿宋_GB2312" w:cs="仿宋_GB2312"/>
                <w:color w:val="000000"/>
                <w:spacing w:val="-20"/>
                <w:kern w:val="0"/>
                <w:sz w:val="21"/>
                <w:szCs w:val="21"/>
                <w:lang w:val="en-US" w:eastAsia="zh-CN" w:bidi="ar"/>
              </w:rPr>
              <w:t>船舶及相关装置制造</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≥330.5</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≥2480.11</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≥1.49</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374</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航空、航天器及设备制造</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≥330.5</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12.8</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≥12448.28</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≥7.22</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375</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摩托车制造</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≥330.5</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22.2</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≥2834.52</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≥2.86</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自行车和残疾人座车制造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≥1414.67</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助动车制造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≥4.8</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≥5907.78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378</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非公路休闲车及零配件制造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≥5393.01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潜水救捞及其他未列明运输设备制造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≥330.5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≥11280.07</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电气机械和器材制造业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≥331.95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≥1969.03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电机制造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≥5379.41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输配电及控制设备制造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≥474.07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≥631.74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电线、电缆、光缆及电工器材制造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≥331.95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≥9820.18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电池制造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≥331.95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≥5588.93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家用电力器具制造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≥2664.7</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非电力家用器具制造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≥331.95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24.5</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≥988.25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照明器具制造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≥3429.38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其他电气机械及器材制造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≥331.95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28.4</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≥5449.94</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计算机、通信和其他电子设备制造业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≥377.45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≥3290.03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391</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计算机制造</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≥377.45</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31.2</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≥4.2</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≥2659.94</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≥2.58</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392</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通信设备制造</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≥340</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173.3</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≥23.9</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≥53924.86</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≥4.52</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393</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广播电视设备制造</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≥377.45</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30.1</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≥10.2</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≥124854.46</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≥3.31</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雷达及配套设备制造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≥377.45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≥3290.03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非专业视听设备制造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≥377.45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≥2490.08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智能消费设备制造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≥377.45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41.9</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≥3290.03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电子器件制造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≥377.45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≥1409.38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398</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电子元件及电子专用材料制造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27.3</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≥1923.2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其他电子设备制造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≥377.45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38.7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≥8.4</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≥1980.62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仪器仪表制造业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≥354.53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49.7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≥29343.51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通用仪器仪表制造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≥347.76</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42.8</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≥39217.61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≥3.92</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专用仪器仪表制造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≥354.53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45.1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≥7.8</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≥29343.51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钟表与计时仪器制造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≥354.53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49.7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≥19100.36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光学仪器制造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≥354.53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210.1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≥40507.81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≥5.86</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衡器制造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≥354.53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49.7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≥2012.89</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409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其他仪器仪表制造业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≥354.53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49.7</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≥8.9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≥92822.5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≥1.95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≥240.39</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≥2085.46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411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日用杂品制造</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≥284.53</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≥3.2</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≥1737.08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419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其他未列明制造业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≥220</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17.2</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≥3.7</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≥4377.12</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≥2.4</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42</w:t>
            </w:r>
          </w:p>
        </w:tc>
        <w:tc>
          <w:tcPr>
            <w:tcW w:w="1423"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废弃资源综合利用业</w:t>
            </w:r>
          </w:p>
        </w:tc>
        <w:tc>
          <w:tcPr>
            <w:tcW w:w="1222"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≥220</w:t>
            </w:r>
          </w:p>
        </w:tc>
        <w:tc>
          <w:tcPr>
            <w:tcW w:w="91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33.8</w:t>
            </w:r>
          </w:p>
        </w:tc>
        <w:tc>
          <w:tcPr>
            <w:tcW w:w="1271"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w:t>
            </w:r>
          </w:p>
        </w:tc>
        <w:tc>
          <w:tcPr>
            <w:tcW w:w="1248"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≥1479.13</w:t>
            </w:r>
          </w:p>
        </w:tc>
        <w:tc>
          <w:tcPr>
            <w:tcW w:w="1400"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≥0.76</w:t>
            </w:r>
          </w:p>
        </w:tc>
        <w:tc>
          <w:tcPr>
            <w:tcW w:w="906" w:type="dxa"/>
            <w:tcBorders>
              <w:top w:val="nil"/>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421</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金属废料和碎屑加工处理</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≥220</w:t>
            </w: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48.5</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≥1.8</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≥5032.91</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≥0.48</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422</w:t>
            </w:r>
          </w:p>
        </w:tc>
        <w:tc>
          <w:tcPr>
            <w:tcW w:w="1423"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非金属废料和碎屑加工处理</w:t>
            </w:r>
          </w:p>
        </w:tc>
        <w:tc>
          <w:tcPr>
            <w:tcW w:w="1222"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≥220</w:t>
            </w:r>
          </w:p>
        </w:tc>
        <w:tc>
          <w:tcPr>
            <w:tcW w:w="91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11.8</w:t>
            </w:r>
          </w:p>
        </w:tc>
        <w:tc>
          <w:tcPr>
            <w:tcW w:w="1271"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c>
          <w:tcPr>
            <w:tcW w:w="1248"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≥670.12</w:t>
            </w:r>
          </w:p>
        </w:tc>
        <w:tc>
          <w:tcPr>
            <w:tcW w:w="1400"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≥1.79</w:t>
            </w:r>
          </w:p>
        </w:tc>
        <w:tc>
          <w:tcPr>
            <w:tcW w:w="906" w:type="dxa"/>
            <w:tcBorders>
              <w:top w:val="single" w:color="auto" w:sz="4"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金属制品、机械和设备修理业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≥6702.28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金属制品修理</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≥50275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专用设备修理</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≥6702.28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铁路、船舶、航空航天等运输设备修理</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≥6.9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≥7179.1</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≥0.8</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电气设备修理</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≥3189.35</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≥0.79</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439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其他机械和设备修理业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16</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≥7.5</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≥2190.06</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≥2.17</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w:t>
            </w:r>
          </w:p>
        </w:tc>
        <w:tc>
          <w:tcPr>
            <w:tcW w:w="1423"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电力、热力生产和供应业</w:t>
            </w:r>
          </w:p>
        </w:tc>
        <w:tc>
          <w:tcPr>
            <w:tcW w:w="1222"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≥317.28</w:t>
            </w:r>
          </w:p>
        </w:tc>
        <w:tc>
          <w:tcPr>
            <w:tcW w:w="910" w:type="dxa"/>
            <w:vMerge w:val="restart"/>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火电：</w:t>
            </w:r>
            <w:r>
              <w:rPr>
                <w:rFonts w:hint="default" w:ascii="Times New Roman" w:hAnsi="Times New Roman" w:eastAsia="仿宋_GB2312" w:cs="Times New Roman"/>
                <w:color w:val="000000"/>
                <w:kern w:val="0"/>
                <w:sz w:val="21"/>
                <w:szCs w:val="21"/>
                <w:lang w:val="en-US" w:eastAsia="zh-CN" w:bidi="ar"/>
              </w:rPr>
              <w:t>≥0.99</w:t>
            </w:r>
          </w:p>
        </w:tc>
        <w:tc>
          <w:tcPr>
            <w:tcW w:w="1248"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≥90.63</w:t>
            </w:r>
          </w:p>
        </w:tc>
        <w:tc>
          <w:tcPr>
            <w:tcW w:w="1400"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≥0.3</w:t>
            </w:r>
          </w:p>
        </w:tc>
        <w:tc>
          <w:tcPr>
            <w:tcW w:w="906"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1423"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1222"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910"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热电：</w:t>
            </w:r>
            <w:r>
              <w:rPr>
                <w:rFonts w:hint="default" w:ascii="Times New Roman" w:hAnsi="Times New Roman" w:eastAsia="仿宋_GB2312" w:cs="Times New Roman"/>
                <w:color w:val="000000"/>
                <w:kern w:val="0"/>
                <w:sz w:val="21"/>
                <w:szCs w:val="21"/>
                <w:lang w:val="en-US" w:eastAsia="zh-CN" w:bidi="ar"/>
              </w:rPr>
              <w:t>≥1.3</w:t>
            </w:r>
          </w:p>
        </w:tc>
        <w:tc>
          <w:tcPr>
            <w:tcW w:w="1248"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1400"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906"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电力生产</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≥317.28</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≥90.63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电力供应</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≥317.28</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≥0.99</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≥90.63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443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热力生产和供应</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≥317.28</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20</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≥90.63</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≥0.3</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水的生产和供应业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≥1262.88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461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自来水生产和供应</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≥1262.88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462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污水处理及其再生利用</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≥1262.88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463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海水淡化处理</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≥1262.88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469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其他水的处理、利用与分配</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≥215</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11</w:t>
            </w:r>
          </w:p>
        </w:tc>
        <w:tc>
          <w:tcPr>
            <w:tcW w:w="1271"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≥1.06</w:t>
            </w:r>
          </w:p>
        </w:tc>
        <w:tc>
          <w:tcPr>
            <w:tcW w:w="1248"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≥1262.88</w:t>
            </w:r>
          </w:p>
        </w:tc>
        <w:tc>
          <w:tcPr>
            <w:tcW w:w="140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≥0.5</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≥0.4</w:t>
            </w:r>
          </w:p>
        </w:tc>
      </w:tr>
    </w:tbl>
    <w:p>
      <w:pPr>
        <w:pStyle w:val="4"/>
        <w:keepNext w:val="0"/>
        <w:keepLines w:val="0"/>
        <w:pageBreakBefore w:val="0"/>
        <w:widowControl w:val="0"/>
        <w:shd w:val="clear" w:color="auto" w:fill="FFFFFF"/>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4"/>
          <w:szCs w:val="24"/>
          <w:shd w:val="clear" w:color="auto" w:fill="FFFFFF"/>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备注：</w:t>
      </w:r>
    </w:p>
    <w:p>
      <w:pPr>
        <w:pStyle w:val="4"/>
        <w:keepNext w:val="0"/>
        <w:keepLines w:val="0"/>
        <w:pageBreakBefore w:val="0"/>
        <w:shd w:val="clear" w:color="auto" w:fill="FFFFFF"/>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1.固定资产投资强度：根据《浙江省工业等项目建设用地控制指标（2014）》和全省近5年通过竣工验收或达产复核的规上工业企业固定资产投资额和土地面积计算所得数值综合确定。</w:t>
      </w:r>
    </w:p>
    <w:p>
      <w:pPr>
        <w:pStyle w:val="4"/>
        <w:keepNext w:val="0"/>
        <w:keepLines w:val="0"/>
        <w:pageBreakBefore w:val="0"/>
        <w:shd w:val="clear" w:color="auto" w:fill="FFFFFF"/>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2.亩均税收</w:t>
      </w:r>
      <w:r>
        <w:rPr>
          <w:rFonts w:hint="default" w:ascii="Times New Roman" w:hAnsi="Times New Roman" w:cs="Times New Roman"/>
          <w:sz w:val="24"/>
          <w:szCs w:val="24"/>
          <w:shd w:val="clear" w:color="auto" w:fill="FFFFFF"/>
        </w:rPr>
        <w:t>：</w:t>
      </w:r>
      <w:r>
        <w:rPr>
          <w:rFonts w:hint="eastAsia" w:ascii="Times New Roman" w:hAnsi="Times New Roman" w:eastAsia="仿宋_GB2312" w:cs="Times New Roman"/>
          <w:sz w:val="24"/>
          <w:szCs w:val="24"/>
          <w:shd w:val="clear" w:color="auto" w:fill="FFFFFF"/>
          <w:lang w:val="en-US" w:eastAsia="zh-CN"/>
        </w:rPr>
        <w:t>与《浙江省制造业行业新增项目产出效益规范指南（</w:t>
      </w:r>
      <w:r>
        <w:rPr>
          <w:rFonts w:hint="default" w:ascii="Times New Roman" w:hAnsi="Times New Roman" w:eastAsia="仿宋_GB2312" w:cs="Times New Roman"/>
          <w:sz w:val="24"/>
          <w:szCs w:val="24"/>
          <w:shd w:val="clear" w:color="auto" w:fill="FFFFFF"/>
          <w:lang w:val="en-US" w:eastAsia="zh-CN"/>
        </w:rPr>
        <w:t>2021</w:t>
      </w:r>
      <w:r>
        <w:rPr>
          <w:rFonts w:hint="eastAsia" w:ascii="Times New Roman" w:hAnsi="Times New Roman" w:eastAsia="仿宋_GB2312" w:cs="Times New Roman"/>
          <w:sz w:val="24"/>
          <w:szCs w:val="24"/>
          <w:shd w:val="clear" w:color="auto" w:fill="FFFFFF"/>
          <w:lang w:val="en-US" w:eastAsia="zh-CN"/>
        </w:rPr>
        <w:t>版）》相衔接。各地可结合改革实际和产业发展要求，在符合《浙江省工业等项目建设用地控制指标（</w:t>
      </w:r>
      <w:r>
        <w:rPr>
          <w:rFonts w:hint="default" w:ascii="Times New Roman" w:hAnsi="Times New Roman" w:eastAsia="仿宋_GB2312" w:cs="Times New Roman"/>
          <w:sz w:val="24"/>
          <w:szCs w:val="24"/>
          <w:shd w:val="clear" w:color="auto" w:fill="FFFFFF"/>
          <w:lang w:val="en-US" w:eastAsia="zh-CN"/>
        </w:rPr>
        <w:t>2014</w:t>
      </w:r>
      <w:r>
        <w:rPr>
          <w:rFonts w:hint="eastAsia" w:ascii="Times New Roman" w:hAnsi="Times New Roman" w:eastAsia="仿宋_GB2312" w:cs="Times New Roman"/>
          <w:sz w:val="24"/>
          <w:szCs w:val="24"/>
          <w:shd w:val="clear" w:color="auto" w:fill="FFFFFF"/>
          <w:lang w:val="en-US" w:eastAsia="zh-CN"/>
        </w:rPr>
        <w:t>）》的基础上，参照《浙江省制造业行业新增项目产出效益规范指南（</w:t>
      </w:r>
      <w:r>
        <w:rPr>
          <w:rFonts w:hint="default" w:ascii="Times New Roman" w:hAnsi="Times New Roman" w:eastAsia="仿宋_GB2312" w:cs="Times New Roman"/>
          <w:sz w:val="24"/>
          <w:szCs w:val="24"/>
          <w:shd w:val="clear" w:color="auto" w:fill="FFFFFF"/>
          <w:lang w:val="en-US" w:eastAsia="zh-CN"/>
        </w:rPr>
        <w:t>2021</w:t>
      </w:r>
      <w:r>
        <w:rPr>
          <w:rFonts w:hint="eastAsia" w:ascii="Times New Roman" w:hAnsi="Times New Roman" w:eastAsia="仿宋_GB2312" w:cs="Times New Roman"/>
          <w:sz w:val="24"/>
          <w:szCs w:val="24"/>
          <w:shd w:val="clear" w:color="auto" w:fill="FFFFFF"/>
          <w:lang w:val="en-US" w:eastAsia="zh-CN"/>
        </w:rPr>
        <w:t>版）》修改完善</w:t>
      </w:r>
      <w:r>
        <w:rPr>
          <w:rFonts w:hint="default" w:ascii="Times New Roman" w:hAnsi="Times New Roman" w:eastAsia="仿宋_GB2312" w:cs="Times New Roman"/>
          <w:sz w:val="24"/>
          <w:szCs w:val="24"/>
          <w:shd w:val="clear" w:color="auto" w:fill="FFFFFF"/>
          <w:lang w:val="en-US" w:eastAsia="zh-CN"/>
        </w:rPr>
        <w:t>“</w:t>
      </w:r>
      <w:r>
        <w:rPr>
          <w:rFonts w:hint="eastAsia" w:ascii="Times New Roman" w:hAnsi="Times New Roman" w:eastAsia="仿宋_GB2312" w:cs="Times New Roman"/>
          <w:sz w:val="24"/>
          <w:szCs w:val="24"/>
          <w:shd w:val="clear" w:color="auto" w:fill="FFFFFF"/>
          <w:lang w:val="en-US" w:eastAsia="zh-CN"/>
        </w:rPr>
        <w:t>标准地</w:t>
      </w:r>
      <w:r>
        <w:rPr>
          <w:rFonts w:hint="default" w:ascii="Times New Roman" w:hAnsi="Times New Roman" w:eastAsia="仿宋_GB2312" w:cs="Times New Roman"/>
          <w:sz w:val="24"/>
          <w:szCs w:val="24"/>
          <w:shd w:val="clear" w:color="auto" w:fill="FFFFFF"/>
          <w:lang w:val="en-US" w:eastAsia="zh-CN"/>
        </w:rPr>
        <w:t>”</w:t>
      </w:r>
      <w:r>
        <w:rPr>
          <w:rFonts w:hint="eastAsia" w:ascii="Times New Roman" w:hAnsi="Times New Roman" w:eastAsia="仿宋_GB2312" w:cs="Times New Roman"/>
          <w:sz w:val="24"/>
          <w:szCs w:val="24"/>
          <w:shd w:val="clear" w:color="auto" w:fill="FFFFFF"/>
          <w:lang w:val="en-US" w:eastAsia="zh-CN"/>
        </w:rPr>
        <w:t>控制性指标。</w:t>
      </w:r>
    </w:p>
    <w:p>
      <w:pPr>
        <w:pStyle w:val="4"/>
        <w:keepNext w:val="0"/>
        <w:keepLines w:val="0"/>
        <w:pageBreakBefore w:val="0"/>
        <w:shd w:val="clear" w:color="auto" w:fill="FFFFFF"/>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shd w:val="clear" w:color="auto" w:fill="FFFFFF"/>
        </w:rPr>
      </w:pPr>
      <w:r>
        <w:rPr>
          <w:rFonts w:hint="default" w:ascii="Times New Roman" w:hAnsi="Times New Roman" w:cs="Times New Roman"/>
          <w:sz w:val="24"/>
          <w:szCs w:val="24"/>
          <w:shd w:val="clear" w:color="auto" w:fill="FFFFFF"/>
        </w:rPr>
        <w:t>3.</w:t>
      </w:r>
      <w:r>
        <w:rPr>
          <w:rFonts w:hint="default" w:ascii="Times New Roman" w:hAnsi="Times New Roman" w:eastAsia="仿宋_GB2312" w:cs="Times New Roman"/>
          <w:sz w:val="24"/>
          <w:szCs w:val="24"/>
          <w:shd w:val="clear" w:color="auto" w:fill="FFFFFF"/>
        </w:rPr>
        <w:t>单位能耗增加值：与《浙江省制造业行业新增项目产出效益规范指南（2021版）》相衔接。</w:t>
      </w:r>
    </w:p>
    <w:p>
      <w:pPr>
        <w:pStyle w:val="4"/>
        <w:keepNext w:val="0"/>
        <w:keepLines w:val="0"/>
        <w:pageBreakBefore w:val="0"/>
        <w:shd w:val="clear" w:color="auto" w:fill="FFFFFF"/>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shd w:val="clear" w:color="auto" w:fill="FFFFFF"/>
        </w:rPr>
      </w:pPr>
      <w:r>
        <w:rPr>
          <w:rFonts w:hint="default" w:ascii="Times New Roman" w:hAnsi="Times New Roman" w:cs="Times New Roman"/>
          <w:sz w:val="24"/>
          <w:szCs w:val="24"/>
          <w:shd w:val="clear" w:color="auto" w:fill="FFFFFF"/>
        </w:rPr>
        <w:t>4</w:t>
      </w:r>
      <w:r>
        <w:rPr>
          <w:rFonts w:hint="default" w:ascii="Times New Roman" w:hAnsi="Times New Roman" w:eastAsia="仿宋_GB2312" w:cs="Times New Roman"/>
          <w:sz w:val="24"/>
          <w:szCs w:val="24"/>
          <w:shd w:val="clear" w:color="auto" w:fill="FFFFFF"/>
        </w:rPr>
        <w:t>.单位排放增加值：根据各行业2020年每家企业平均工业增加值除以各行业平均每家企业的排污量（为2020年环统中四项主要污染物排放量之和除以企业数）计算所得。</w:t>
      </w:r>
    </w:p>
    <w:p>
      <w:pPr>
        <w:pStyle w:val="4"/>
        <w:keepNext w:val="0"/>
        <w:keepLines w:val="0"/>
        <w:pageBreakBefore w:val="0"/>
        <w:shd w:val="clear" w:color="auto" w:fill="FFFFFF"/>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shd w:val="clear" w:color="auto" w:fill="FFFFFF"/>
        </w:rPr>
      </w:pPr>
      <w:r>
        <w:rPr>
          <w:rFonts w:hint="default" w:ascii="Times New Roman" w:hAnsi="Times New Roman" w:cs="Times New Roman"/>
          <w:sz w:val="24"/>
          <w:szCs w:val="24"/>
          <w:shd w:val="clear" w:color="auto" w:fill="FFFFFF"/>
        </w:rPr>
        <w:t>5</w:t>
      </w:r>
      <w:r>
        <w:rPr>
          <w:rFonts w:hint="default" w:ascii="Times New Roman" w:hAnsi="Times New Roman" w:eastAsia="仿宋_GB2312" w:cs="Times New Roman"/>
          <w:sz w:val="24"/>
          <w:szCs w:val="24"/>
          <w:shd w:val="clear" w:color="auto" w:fill="FFFFFF"/>
        </w:rPr>
        <w:t>.R&amp;D经费支出占营业收入比：根据2019年、2020年全省各行业营业收入和R&amp;D经费计算所得。</w:t>
      </w:r>
    </w:p>
    <w:p>
      <w:pPr>
        <w:pStyle w:val="4"/>
        <w:keepNext w:val="0"/>
        <w:keepLines w:val="0"/>
        <w:pageBreakBefore w:val="0"/>
        <w:widowControl w:val="0"/>
        <w:shd w:val="clear" w:color="auto" w:fill="FFFFFF"/>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shd w:val="clear" w:color="auto" w:fill="FFFFFF"/>
        </w:rPr>
      </w:pPr>
      <w:r>
        <w:rPr>
          <w:rFonts w:hint="default" w:ascii="Times New Roman" w:hAnsi="Times New Roman" w:cs="Times New Roman"/>
          <w:sz w:val="24"/>
          <w:szCs w:val="24"/>
          <w:shd w:val="clear" w:color="auto" w:fill="FFFFFF"/>
        </w:rPr>
        <w:t>6</w:t>
      </w:r>
      <w:r>
        <w:rPr>
          <w:rFonts w:hint="default" w:ascii="Times New Roman" w:hAnsi="Times New Roman" w:eastAsia="仿宋_GB2312" w:cs="Times New Roman"/>
          <w:sz w:val="24"/>
          <w:szCs w:val="24"/>
          <w:shd w:val="clear" w:color="auto" w:fill="FFFFFF"/>
        </w:rPr>
        <w:t>.容积率：与《浙江省工业等项目建设用地控制指标（2014）》相衔接，行业中类的指标数值参考大类标准确定。</w:t>
      </w:r>
    </w:p>
    <w:p>
      <w:pPr>
        <w:pStyle w:val="4"/>
        <w:keepNext w:val="0"/>
        <w:keepLines w:val="0"/>
        <w:pageBreakBefore w:val="0"/>
        <w:widowControl w:val="0"/>
        <w:shd w:val="clear" w:color="auto" w:fill="FFFFFF"/>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Cs/>
          <w:sz w:val="24"/>
          <w:szCs w:val="24"/>
          <w:shd w:val="clear" w:color="auto" w:fill="FFFFFF"/>
        </w:rPr>
      </w:pPr>
      <w:r>
        <w:rPr>
          <w:rFonts w:hint="default" w:ascii="Times New Roman" w:hAnsi="Times New Roman" w:cs="Times New Roman"/>
          <w:sz w:val="24"/>
          <w:szCs w:val="24"/>
          <w:shd w:val="clear" w:color="auto" w:fill="FFFFFF"/>
        </w:rPr>
        <w:t>7</w:t>
      </w:r>
      <w:r>
        <w:rPr>
          <w:rFonts w:hint="default" w:ascii="Times New Roman" w:hAnsi="Times New Roman" w:eastAsia="仿宋_GB2312" w:cs="Times New Roman"/>
          <w:sz w:val="24"/>
          <w:szCs w:val="24"/>
          <w:shd w:val="clear" w:color="auto" w:fill="FFFFFF"/>
        </w:rPr>
        <w:t>.地区修正系数：</w:t>
      </w:r>
      <w:bookmarkEnd w:id="1"/>
    </w:p>
    <w:tbl>
      <w:tblPr>
        <w:tblStyle w:val="7"/>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748"/>
        <w:gridCol w:w="7106"/>
        <w:gridCol w:w="1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0" w:hRule="atLeast"/>
          <w:tblHeader/>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4"/>
              </w:rPr>
            </w:pPr>
            <w:bookmarkStart w:id="2" w:name="_Hlk91147997"/>
            <w:r>
              <w:rPr>
                <w:rFonts w:hint="default" w:ascii="Times New Roman" w:hAnsi="Times New Roman" w:eastAsia="黑体" w:cs="Times New Roman"/>
                <w:b w:val="0"/>
                <w:bCs w:val="0"/>
                <w:kern w:val="0"/>
                <w:sz w:val="24"/>
              </w:rPr>
              <w:t>分类</w:t>
            </w:r>
          </w:p>
        </w:tc>
        <w:tc>
          <w:tcPr>
            <w:tcW w:w="71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4"/>
              </w:rPr>
            </w:pPr>
            <w:r>
              <w:rPr>
                <w:rFonts w:hint="default" w:ascii="Times New Roman" w:hAnsi="Times New Roman" w:eastAsia="黑体" w:cs="Times New Roman"/>
                <w:b w:val="0"/>
                <w:bCs w:val="0"/>
                <w:kern w:val="0"/>
                <w:sz w:val="24"/>
              </w:rPr>
              <w:t>市、县（市、区）</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4"/>
              </w:rPr>
            </w:pPr>
            <w:r>
              <w:rPr>
                <w:rFonts w:hint="default" w:ascii="Times New Roman" w:hAnsi="Times New Roman" w:eastAsia="黑体" w:cs="Times New Roman"/>
                <w:b w:val="0"/>
                <w:bCs w:val="0"/>
                <w:kern w:val="0"/>
                <w:sz w:val="24"/>
              </w:rPr>
              <w:t>修正系数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0"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一</w:t>
            </w:r>
          </w:p>
        </w:tc>
        <w:tc>
          <w:tcPr>
            <w:tcW w:w="710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杭州市区、宁波市区、温州市区</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12" w:hRule="atLeast"/>
          <w:jc w:val="center"/>
        </w:trPr>
        <w:tc>
          <w:tcPr>
            <w:tcW w:w="7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二</w:t>
            </w:r>
          </w:p>
        </w:tc>
        <w:tc>
          <w:tcPr>
            <w:tcW w:w="7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湖州市区、嘉兴市区、绍兴市区、金华市区、舟山市区、台州市区、余姚市、慈溪市、乐清市、瑞安市、平湖市、嘉善县、海宁市、桐乡市、诸暨市、东阳市、义乌市、温岭市、玉环市</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12" w:hRule="atLeast"/>
          <w:jc w:val="center"/>
        </w:trPr>
        <w:tc>
          <w:tcPr>
            <w:tcW w:w="7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p>
        </w:tc>
        <w:tc>
          <w:tcPr>
            <w:tcW w:w="7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hd w:val="clear" w:color="auto" w:fill="FFFFFF"/>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12" w:hRule="atLeast"/>
          <w:jc w:val="center"/>
        </w:trPr>
        <w:tc>
          <w:tcPr>
            <w:tcW w:w="7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三</w:t>
            </w:r>
          </w:p>
        </w:tc>
        <w:tc>
          <w:tcPr>
            <w:tcW w:w="7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桐庐县、建德市、宁海县、象山县、德清县、长兴县、安吉县、海盐县、嵊州市、新昌县、兰溪市、永康市、浦江县、岱山县、嵊泗县、临海市</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12" w:hRule="atLeast"/>
          <w:jc w:val="center"/>
        </w:trPr>
        <w:tc>
          <w:tcPr>
            <w:tcW w:w="74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p>
        </w:tc>
        <w:tc>
          <w:tcPr>
            <w:tcW w:w="7106"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hd w:val="clear" w:color="auto" w:fill="FFFFFF"/>
              </w:rPr>
            </w:pPr>
          </w:p>
        </w:tc>
        <w:tc>
          <w:tcPr>
            <w:tcW w:w="121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12" w:hRule="atLeast"/>
          <w:jc w:val="center"/>
        </w:trPr>
        <w:tc>
          <w:tcPr>
            <w:tcW w:w="748" w:type="dxa"/>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四</w:t>
            </w:r>
          </w:p>
        </w:tc>
        <w:tc>
          <w:tcPr>
            <w:tcW w:w="7106"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淳安县、永嘉县、文成县、平阳县、泰顺县、苍南县、龙港市、武义县、磐安县、柯城区、衢江区、龙游县、江山市、常山县、开化县、天台县、仙居县、三门县、莲都区、龙泉市、青田县、云和县、庆元县、缙云县、遂昌县、松阳县、景宁县</w:t>
            </w:r>
          </w:p>
        </w:tc>
        <w:tc>
          <w:tcPr>
            <w:tcW w:w="1217"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12" w:hRule="atLeast"/>
          <w:jc w:val="center"/>
        </w:trPr>
        <w:tc>
          <w:tcPr>
            <w:tcW w:w="748"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p>
        </w:tc>
        <w:tc>
          <w:tcPr>
            <w:tcW w:w="7106"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p>
        </w:tc>
        <w:tc>
          <w:tcPr>
            <w:tcW w:w="121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0" w:hRule="atLeast"/>
          <w:jc w:val="center"/>
        </w:trPr>
        <w:tc>
          <w:tcPr>
            <w:tcW w:w="9071"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说明：修正系数针对固定资产投资强度、亩均税收两个指标，其他指标不作区域修正</w:t>
            </w:r>
          </w:p>
        </w:tc>
      </w:tr>
      <w:bookmarkEnd w:id="2"/>
    </w:tbl>
    <w:p>
      <w:pPr>
        <w:overflowPunct w:val="0"/>
        <w:rPr>
          <w:rFonts w:hint="default" w:ascii="Times New Roman" w:hAnsi="Times New Roman" w:cs="Times New Roman"/>
        </w:rPr>
      </w:pPr>
    </w:p>
    <w:p>
      <w:pPr>
        <w:overflowPunct w:val="0"/>
        <w:rPr>
          <w:rFonts w:hint="default" w:ascii="Times New Roman" w:hAnsi="Times New Roman" w:cs="Times New Roman"/>
        </w:rPr>
      </w:pPr>
    </w:p>
    <w:p>
      <w:pPr>
        <w:overflowPunct w:val="0"/>
        <w:rPr>
          <w:rFonts w:hint="default" w:ascii="Times New Roman" w:hAnsi="Times New Roman" w:cs="Times New Roman"/>
        </w:rPr>
      </w:pPr>
    </w:p>
    <w:p>
      <w:pPr>
        <w:keepNext w:val="0"/>
        <w:keepLines w:val="0"/>
        <w:pageBreakBefore w:val="0"/>
        <w:widowControl w:val="0"/>
        <w:kinsoku/>
        <w:wordWrap/>
        <w:overflowPunct/>
        <w:topLinePunct w:val="0"/>
        <w:autoSpaceDE/>
        <w:bidi w:val="0"/>
        <w:adjustRightInd/>
        <w:snapToGrid/>
        <w:spacing w:before="0" w:after="0" w:line="559" w:lineRule="exact"/>
        <w:ind w:right="0" w:rightChars="0" w:firstLine="0" w:firstLineChars="0"/>
        <w:jc w:val="both"/>
        <w:textAlignment w:val="auto"/>
        <w:outlineLvl w:val="9"/>
        <w:rPr>
          <w:rFonts w:hint="default" w:ascii="Times New Roman" w:hAnsi="Times New Roman" w:cs="Times New Roman"/>
          <w:snapToGrid/>
          <w:spacing w:val="0"/>
          <w:w w:val="100"/>
          <w:kern w:val="2"/>
          <w:sz w:val="28"/>
          <w:szCs w:val="28"/>
          <w:lang w:val="en-US" w:eastAsia="zh-CN"/>
        </w:rPr>
      </w:pPr>
    </w:p>
    <w:p>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587" w:gutter="0"/>
      <w:pgBorders>
        <w:top w:val="none" w:sz="0" w:space="0"/>
        <w:left w:val="none" w:sz="0" w:space="0"/>
        <w:bottom w:val="none" w:sz="0" w:space="0"/>
        <w:right w:val="none" w:sz="0" w:space="0"/>
      </w:pgBorders>
      <w:pgNumType w:fmt="decimal" w:start="1"/>
      <w:cols w:space="720" w:num="1"/>
      <w:rtlGutter w:val="0"/>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90204"/>
    <w:charset w:val="00"/>
    <w:family w:val="auto"/>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汉仪楷体KW"/>
    <w:panose1 w:val="02010609030101010101"/>
    <w:charset w:val="00"/>
    <w:family w:val="modern"/>
    <w:pitch w:val="default"/>
    <w:sig w:usb0="00000000" w:usb1="00000000" w:usb2="00000000"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val="0"/>
      <w:topLinePunct w:val="0"/>
      <w:autoSpaceDE w:val="0"/>
      <w:autoSpaceDN w:val="0"/>
      <w:bidi w:val="0"/>
      <w:adjustRightInd w:val="0"/>
      <w:snapToGrid/>
      <w:spacing w:line="400" w:lineRule="exact"/>
      <w:jc w:val="right"/>
      <w:textAlignment w:val="baseline"/>
      <w:outlineLvl w:val="9"/>
    </w:pPr>
    <w:r>
      <w:rPr>
        <w:sz w:val="20"/>
      </w:rPr>
      <mc:AlternateContent>
        <mc:Choice Requires="wps">
          <w:drawing>
            <wp:anchor distT="0" distB="0" distL="114300" distR="114300" simplePos="0" relativeHeight="251658240" behindDoc="0" locked="0" layoutInCell="1" allowOverlap="1">
              <wp:simplePos x="0" y="0"/>
              <wp:positionH relativeFrom="margin">
                <wp:posOffset>4866005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Fonts w:hint="default" w:ascii="Times New Roman" w:hAnsi="Times New Roman" w:eastAsia="宋体" w:cs="Times New Roman"/>
                              <w:sz w:val="28"/>
                              <w:szCs w:val="28"/>
                              <w:lang w:val="en-US" w:eastAsia="zh-CN"/>
                            </w:rPr>
                          </w:pPr>
                          <w:r>
                            <w:rPr>
                              <w:rStyle w:val="6"/>
                              <w:rFonts w:hint="default" w:ascii="Times New Roman" w:hAnsi="Times New Roman" w:eastAsia="宋体" w:cs="Times New Roman"/>
                              <w:sz w:val="28"/>
                              <w:szCs w:val="28"/>
                            </w:rPr>
                            <w:t xml:space="preserve">— </w:t>
                          </w:r>
                          <w:r>
                            <w:rPr>
                              <w:rStyle w:val="6"/>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6"/>
                              <w:rFonts w:hint="default" w:ascii="Times New Roman" w:hAnsi="Times New Roman" w:eastAsia="宋体"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3.15pt;margin-top:0pt;height:144pt;width:144pt;mso-position-horizontal-relative:margin;mso-wrap-style:none;z-index:251658240;mso-width-relative:page;mso-height-relative:page;" filled="f" stroked="f" coordsize="21600,21600" o:gfxdata="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3B+hM2AAAAAkBAAAPAAAAAAAAAAEAIAAAADgAAABk&#10;cnMvZG93bnJldi54bWxQSwECFAAUAAAACACHTuJAxGInwbcBAABVAwAADgAAAAAAAAABACAAAAA9&#10;AQAAZHJzL2Uyb0RvYy54bWxQSwUGAAAAAAYABgBZAQAAZgUAAAAA&#10;">
              <v:path/>
              <v:fill on="f" focussize="0,0"/>
              <v:stroke on="f" weight="1.25pt"/>
              <v:imagedata o:title=""/>
              <o:lock v:ext="edit" aspectratio="f"/>
              <v:textbox inset="0mm,0mm,0mm,0mm" style="mso-fit-shape-to-text:t;">
                <w:txbxContent>
                  <w:p>
                    <w:pPr>
                      <w:pStyle w:val="2"/>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Fonts w:hint="default" w:ascii="Times New Roman" w:hAnsi="Times New Roman" w:eastAsia="宋体" w:cs="Times New Roman"/>
                        <w:sz w:val="28"/>
                        <w:szCs w:val="28"/>
                        <w:lang w:val="en-US" w:eastAsia="zh-CN"/>
                      </w:rPr>
                    </w:pPr>
                    <w:r>
                      <w:rPr>
                        <w:rStyle w:val="6"/>
                        <w:rFonts w:hint="default" w:ascii="Times New Roman" w:hAnsi="Times New Roman" w:eastAsia="宋体" w:cs="Times New Roman"/>
                        <w:sz w:val="28"/>
                        <w:szCs w:val="28"/>
                      </w:rPr>
                      <w:t xml:space="preserve">— </w:t>
                    </w:r>
                    <w:r>
                      <w:rPr>
                        <w:rStyle w:val="6"/>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6"/>
                        <w:rFonts w:hint="default" w:ascii="Times New Roman" w:hAnsi="Times New Roman" w:eastAsia="宋体"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val="0"/>
      <w:topLinePunct w:val="0"/>
      <w:autoSpaceDE w:val="0"/>
      <w:autoSpaceDN w:val="0"/>
      <w:bidi w:val="0"/>
      <w:adjustRightInd w:val="0"/>
      <w:snapToGrid/>
      <w:spacing w:line="400" w:lineRule="exact"/>
      <w:jc w:val="right"/>
      <w:textAlignment w:val="baseline"/>
      <w:outlineLvl w:val="9"/>
    </w:pPr>
    <w:r>
      <w:rPr>
        <w:sz w:val="20"/>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320" w:rightChars="100" w:firstLine="0" w:firstLineChars="0"/>
                            <w:jc w:val="right"/>
                            <w:textAlignment w:val="baseline"/>
                            <w:outlineLvl w:val="9"/>
                            <w:rPr>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rPr>
                            <w:t xml:space="preserve">— </w:t>
                          </w:r>
                          <w:r>
                            <w:rPr>
                              <w:rStyle w:val="6"/>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6"/>
                              <w:rFonts w:hint="default" w:ascii="Times New Roman" w:hAnsi="Times New Roman" w:eastAsia="宋体"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GmCS9MAAAAFAQAADwAAAAAAAAABACAAAAA4AAAAZHJzL2Rv&#10;d25yZXYueG1sUEsBAhQAFAAAAAgAh07iQBFS5U+3AQAAVQMAAA4AAAAAAAAAAQAgAAAAOAEAAGRy&#10;cy9lMm9Eb2MueG1sUEsFBgAAAAAGAAYAWQEAAGEFAAAAAA==&#10;">
              <v:path/>
              <v:fill on="f" focussize="0,0"/>
              <v:stroke on="f" weight="1.25pt"/>
              <v:imagedata o:title=""/>
              <o:lock v:ext="edit" aspectratio="f"/>
              <v:textbox inset="0mm,0mm,0mm,0mm" style="mso-fit-shape-to-text:t;">
                <w:txbxContent>
                  <w:p>
                    <w:pPr>
                      <w:pStyle w:val="2"/>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320" w:rightChars="100" w:firstLine="0" w:firstLineChars="0"/>
                      <w:jc w:val="right"/>
                      <w:textAlignment w:val="baseline"/>
                      <w:outlineLvl w:val="9"/>
                      <w:rPr>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rPr>
                      <w:t xml:space="preserve">— </w:t>
                    </w:r>
                    <w:r>
                      <w:rPr>
                        <w:rStyle w:val="6"/>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6"/>
                        <w:rFonts w:hint="default" w:ascii="Times New Roman" w:hAnsi="Times New Roman" w:eastAsia="宋体"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0" w:lineRule="exac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GmCS9MAAAAFAQAADwAAAAAAAAABACAAAAA4AAAAZHJzL2Rv&#10;d25yZXYueG1sUEsBAhQAFAAAAAgAh07iQPo1EIm3AQAAVQMAAA4AAAAAAAAAAQAgAAAAOAEAAGRy&#10;cy9lMm9Eb2MueG1sUEsFBgAAAAAGAAYAWQEAAGEFAAAAAA==&#10;">
              <v:path/>
              <v:fill on="f" focussize="0,0"/>
              <v:stroke on="f" weight="1.2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p>
  <w:p>
    <w:pPr>
      <w:pBdr>
        <w:bottom w:val="none" w:color="auto" w:sz="0" w:space="0"/>
      </w:pBdr>
      <w:rPr>
        <w:rFonts w:hint="eastAsia"/>
      </w:rPr>
    </w:pPr>
  </w:p>
  <w:p>
    <w:pPr>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szCs w:val="32"/>
      </w:rPr>
    </w:pPr>
  </w:p>
  <w:p>
    <w:pPr>
      <w:pBdr>
        <w:bottom w:val="none" w:color="auto" w:sz="0" w:space="0"/>
      </w:pBdr>
      <w:rPr>
        <w:rFonts w:hint="eastAsia"/>
        <w:szCs w:val="32"/>
      </w:rPr>
    </w:pPr>
  </w:p>
  <w:p>
    <w:pPr>
      <w:pStyle w:val="3"/>
      <w:pBdr>
        <w:bottom w:val="none" w:color="auto" w:sz="0" w:space="0"/>
      </w:pBdr>
      <w:rPr>
        <w:sz w:val="38"/>
        <w:szCs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3F0025"/>
    <w:rsid w:val="9D3F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szCs w:val="22"/>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Normal (Web)"/>
    <w:basedOn w:val="1"/>
    <w:uiPriority w:val="0"/>
    <w:pPr>
      <w:widowControl/>
      <w:jc w:val="left"/>
    </w:pPr>
    <w:rPr>
      <w:rFonts w:ascii="宋体" w:hAnsi="宋体"/>
      <w:kern w:val="0"/>
      <w:sz w:val="24"/>
    </w:rPr>
  </w:style>
  <w:style w:type="character" w:styleId="6">
    <w:name w:val="page number"/>
    <w:basedOn w:val="5"/>
    <w:uiPriority w:val="0"/>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2022-02-28T15:07:00Z</dcterms:created>
  <dc:creator>chanvictor</dc:creator>
  <cp:lastModifiedBy>chanvictor</cp:lastModifiedBy>
  <dcterms:modified xsi:type="dcterms:W3CDTF">2022-02-28T15:07:37Z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ies>
</file>