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40" w:lineRule="exact"/>
        <w:jc w:val="left"/>
        <w:rPr>
          <w:rFonts w:ascii="黑体" w:hAnsi="黑体" w:eastAsia="黑体" w:cs="Times New Roman"/>
          <w:bCs/>
          <w:snapToGrid w:val="0"/>
          <w:kern w:val="0"/>
          <w:sz w:val="32"/>
          <w:szCs w:val="32"/>
        </w:rPr>
      </w:pPr>
      <w:r>
        <w:rPr>
          <w:rFonts w:ascii="黑体" w:hAnsi="黑体" w:eastAsia="黑体" w:cs="Times New Roman"/>
          <w:bCs/>
          <w:snapToGrid w:val="0"/>
          <w:kern w:val="0"/>
          <w:sz w:val="32"/>
          <w:szCs w:val="32"/>
        </w:rPr>
        <w:t>附件3</w:t>
      </w:r>
    </w:p>
    <w:p>
      <w:pPr>
        <w:overflowPunct w:val="0"/>
        <w:adjustRightInd w:val="0"/>
        <w:snapToGrid w:val="0"/>
        <w:spacing w:line="540" w:lineRule="exact"/>
        <w:jc w:val="left"/>
        <w:rPr>
          <w:bCs/>
          <w:snapToGrid w:val="0"/>
          <w:kern w:val="0"/>
          <w:sz w:val="32"/>
          <w:szCs w:val="32"/>
        </w:rPr>
      </w:pPr>
    </w:p>
    <w:p>
      <w:pPr>
        <w:overflowPunct w:val="0"/>
        <w:adjustRightInd w:val="0"/>
        <w:snapToGrid w:val="0"/>
        <w:spacing w:line="540" w:lineRule="exact"/>
        <w:jc w:val="center"/>
        <w:rPr>
          <w:rFonts w:ascii="方正小标宋简体" w:hAnsi="方正小标宋简体" w:eastAsia="方正小标宋简体" w:cs="方正小标宋简体"/>
          <w:bCs/>
          <w:snapToGrid w:val="0"/>
          <w:kern w:val="0"/>
          <w:sz w:val="44"/>
          <w:szCs w:val="32"/>
        </w:rPr>
      </w:pPr>
      <w:r>
        <w:rPr>
          <w:rFonts w:hint="eastAsia" w:ascii="方正小标宋简体" w:hAnsi="方正小标宋简体" w:eastAsia="方正小标宋简体" w:cs="方正小标宋简体"/>
          <w:bCs/>
          <w:snapToGrid w:val="0"/>
          <w:kern w:val="0"/>
          <w:sz w:val="44"/>
          <w:szCs w:val="32"/>
        </w:rPr>
        <w:t>山东省煤炭资源合理开发利用“三率”</w:t>
      </w:r>
    </w:p>
    <w:p>
      <w:pPr>
        <w:overflowPunct w:val="0"/>
        <w:adjustRightInd w:val="0"/>
        <w:snapToGrid w:val="0"/>
        <w:spacing w:line="540" w:lineRule="exact"/>
        <w:jc w:val="center"/>
        <w:rPr>
          <w:rFonts w:ascii="方正小标宋简体" w:hAnsi="方正小标宋简体" w:eastAsia="方正小标宋简体" w:cs="方正小标宋简体"/>
          <w:bCs/>
          <w:snapToGrid w:val="0"/>
          <w:kern w:val="0"/>
          <w:sz w:val="44"/>
          <w:szCs w:val="32"/>
        </w:rPr>
      </w:pPr>
      <w:r>
        <w:rPr>
          <w:rFonts w:hint="eastAsia" w:ascii="方正小标宋简体" w:hAnsi="方正小标宋简体" w:eastAsia="方正小标宋简体" w:cs="方正小标宋简体"/>
          <w:bCs/>
          <w:snapToGrid w:val="0"/>
          <w:kern w:val="0"/>
          <w:sz w:val="44"/>
          <w:szCs w:val="32"/>
        </w:rPr>
        <w:t>最低指标要求（修订版）</w:t>
      </w:r>
    </w:p>
    <w:p>
      <w:pPr>
        <w:overflowPunct w:val="0"/>
        <w:adjustRightInd w:val="0"/>
        <w:snapToGrid w:val="0"/>
        <w:spacing w:line="540" w:lineRule="exact"/>
        <w:ind w:firstLine="850" w:firstLineChars="200"/>
        <w:rPr>
          <w:rFonts w:ascii="仿宋_GB2312" w:hAnsi="楷体" w:eastAsia="仿宋_GB2312" w:cs="Times New Roman"/>
          <w:bCs/>
          <w:snapToGrid w:val="0"/>
          <w:kern w:val="0"/>
          <w:sz w:val="32"/>
          <w:szCs w:val="32"/>
        </w:rPr>
      </w:pPr>
    </w:p>
    <w:p>
      <w:pPr>
        <w:overflowPunct w:val="0"/>
        <w:adjustRightInd w:val="0"/>
        <w:snapToGrid w:val="0"/>
        <w:spacing w:line="540" w:lineRule="exact"/>
        <w:ind w:firstLine="637" w:firstLineChars="150"/>
        <w:rPr>
          <w:rFonts w:ascii="仿宋_GB2312" w:hAnsi="楷体" w:eastAsia="仿宋_GB2312" w:cs="Times New Roman"/>
          <w:bCs/>
          <w:snapToGrid w:val="0"/>
          <w:kern w:val="0"/>
          <w:sz w:val="32"/>
          <w:szCs w:val="32"/>
        </w:rPr>
      </w:pPr>
      <w:r>
        <w:rPr>
          <w:rFonts w:hint="eastAsia" w:ascii="仿宋_GB2312" w:hAnsi="楷体" w:eastAsia="仿宋_GB2312" w:cs="Times New Roman"/>
          <w:bCs/>
          <w:snapToGrid w:val="0"/>
          <w:kern w:val="0"/>
          <w:sz w:val="32"/>
          <w:szCs w:val="32"/>
        </w:rPr>
        <w:t>煤炭资源合理开发利用“三率”是指煤矿采区回采率、原煤入选率、煤矸石与共伴生矿产资源综合利用率等三项指标，是评价煤炭企业开发利用煤炭资源效果的主要指标。</w:t>
      </w:r>
      <w:r>
        <w:rPr>
          <w:rFonts w:hint="eastAsia" w:ascii="仿宋_GB2312" w:hAnsi="华文中宋" w:eastAsia="仿宋_GB2312" w:cs="Times New Roman"/>
          <w:bCs/>
          <w:snapToGrid w:val="0"/>
          <w:kern w:val="0"/>
          <w:sz w:val="32"/>
          <w:szCs w:val="32"/>
        </w:rPr>
        <w:t>根据《山东省国土资源厅关于金铁煤等矿产资源合理开发利用“三率”最低指标要求的公告》（鲁国土资规〔2017〕5号）等有关文件要求，</w:t>
      </w:r>
      <w:r>
        <w:rPr>
          <w:rFonts w:hint="eastAsia" w:ascii="仿宋_GB2312" w:hAnsi="楷体" w:eastAsia="仿宋_GB2312" w:cs="Times New Roman"/>
          <w:bCs/>
          <w:snapToGrid w:val="0"/>
          <w:kern w:val="0"/>
          <w:sz w:val="32"/>
          <w:szCs w:val="32"/>
        </w:rPr>
        <w:t>为进一步全面贯彻落实能源资源安全战略，提高我省煤炭资源合理开发利用水平，经调查研究，确定井工煤矿“三率”指标（修订）要求如下：</w:t>
      </w:r>
    </w:p>
    <w:p>
      <w:pPr>
        <w:overflowPunct w:val="0"/>
        <w:adjustRightInd w:val="0"/>
        <w:snapToGrid w:val="0"/>
        <w:spacing w:line="540" w:lineRule="exact"/>
        <w:ind w:firstLine="637" w:firstLineChars="150"/>
        <w:rPr>
          <w:rFonts w:ascii="黑体" w:hAnsi="黑体" w:eastAsia="黑体" w:cs="Times New Roman"/>
          <w:bCs/>
          <w:snapToGrid w:val="0"/>
          <w:kern w:val="0"/>
          <w:sz w:val="32"/>
          <w:szCs w:val="32"/>
        </w:rPr>
      </w:pPr>
      <w:r>
        <w:rPr>
          <w:rFonts w:hint="eastAsia" w:ascii="黑体" w:hAnsi="黑体" w:eastAsia="黑体" w:cs="Times New Roman"/>
          <w:bCs/>
          <w:snapToGrid w:val="0"/>
          <w:kern w:val="0"/>
          <w:sz w:val="32"/>
          <w:szCs w:val="32"/>
        </w:rPr>
        <w:t>一、“三率”指标要求</w:t>
      </w:r>
    </w:p>
    <w:p>
      <w:pPr>
        <w:overflowPunct w:val="0"/>
        <w:adjustRightInd w:val="0"/>
        <w:snapToGrid w:val="0"/>
        <w:spacing w:line="540" w:lineRule="exact"/>
        <w:ind w:firstLine="637" w:firstLineChars="150"/>
        <w:rPr>
          <w:rFonts w:ascii="楷体_GB2312" w:hAnsi="楷体" w:eastAsia="楷体_GB2312" w:cs="Times New Roman"/>
          <w:bCs/>
          <w:snapToGrid w:val="0"/>
          <w:kern w:val="0"/>
          <w:sz w:val="32"/>
          <w:szCs w:val="32"/>
        </w:rPr>
      </w:pPr>
      <w:r>
        <w:rPr>
          <w:rFonts w:hint="eastAsia" w:ascii="楷体_GB2312" w:hAnsi="楷体" w:eastAsia="楷体_GB2312" w:cs="Times New Roman"/>
          <w:bCs/>
          <w:snapToGrid w:val="0"/>
          <w:kern w:val="0"/>
          <w:sz w:val="32"/>
          <w:szCs w:val="32"/>
        </w:rPr>
        <w:t>（一）采区回采率</w:t>
      </w:r>
    </w:p>
    <w:p>
      <w:pPr>
        <w:overflowPunct w:val="0"/>
        <w:adjustRightInd w:val="0"/>
        <w:snapToGrid w:val="0"/>
        <w:spacing w:line="540" w:lineRule="exact"/>
        <w:ind w:firstLine="637" w:firstLineChars="150"/>
        <w:rPr>
          <w:rFonts w:ascii="仿宋_GB2312" w:hAnsi="楷体" w:eastAsia="仿宋_GB2312" w:cs="Times New Roman"/>
          <w:bCs/>
          <w:snapToGrid w:val="0"/>
          <w:kern w:val="0"/>
          <w:sz w:val="32"/>
          <w:szCs w:val="32"/>
        </w:rPr>
      </w:pPr>
      <w:r>
        <w:rPr>
          <w:rFonts w:hint="eastAsia" w:ascii="仿宋_GB2312" w:hAnsi="楷体" w:eastAsia="仿宋_GB2312" w:cs="Times New Roman"/>
          <w:bCs/>
          <w:snapToGrid w:val="0"/>
          <w:kern w:val="0"/>
          <w:sz w:val="32"/>
          <w:szCs w:val="32"/>
        </w:rPr>
        <w:t>薄煤层（</w:t>
      </w:r>
      <w:r>
        <w:rPr>
          <w:rFonts w:hint="eastAsia" w:ascii="仿宋_GB2312" w:hAnsi="仿宋_GB2312" w:eastAsia="仿宋_GB2312" w:cs="Times New Roman"/>
          <w:bCs/>
          <w:snapToGrid w:val="0"/>
          <w:kern w:val="0"/>
          <w:sz w:val="32"/>
          <w:szCs w:val="32"/>
        </w:rPr>
        <w:t>&lt;</w:t>
      </w:r>
      <w:r>
        <w:rPr>
          <w:rFonts w:hint="eastAsia" w:ascii="仿宋_GB2312" w:hAnsi="楷体" w:eastAsia="仿宋_GB2312" w:cs="Times New Roman"/>
          <w:bCs/>
          <w:snapToGrid w:val="0"/>
          <w:kern w:val="0"/>
          <w:sz w:val="32"/>
          <w:szCs w:val="32"/>
        </w:rPr>
        <w:t>1.3m）不低于88%；中厚煤层（1.3～3.5m）不低于83%；厚煤层（≥3.5m）不低于78%。</w:t>
      </w:r>
    </w:p>
    <w:p>
      <w:pPr>
        <w:overflowPunct w:val="0"/>
        <w:adjustRightInd w:val="0"/>
        <w:snapToGrid w:val="0"/>
        <w:spacing w:line="540" w:lineRule="exact"/>
        <w:ind w:firstLine="637" w:firstLineChars="150"/>
        <w:rPr>
          <w:rFonts w:ascii="楷体_GB2312" w:hAnsi="楷体" w:eastAsia="楷体_GB2312" w:cs="Times New Roman"/>
          <w:bCs/>
          <w:snapToGrid w:val="0"/>
          <w:kern w:val="0"/>
          <w:sz w:val="32"/>
          <w:szCs w:val="32"/>
        </w:rPr>
      </w:pPr>
      <w:r>
        <w:rPr>
          <w:rFonts w:hint="eastAsia" w:ascii="楷体_GB2312" w:hAnsi="楷体" w:eastAsia="楷体_GB2312" w:cs="Times New Roman"/>
          <w:bCs/>
          <w:snapToGrid w:val="0"/>
          <w:kern w:val="0"/>
          <w:sz w:val="32"/>
          <w:szCs w:val="32"/>
        </w:rPr>
        <w:t>（二）原煤入选率</w:t>
      </w:r>
    </w:p>
    <w:p>
      <w:pPr>
        <w:overflowPunct w:val="0"/>
        <w:adjustRightInd w:val="0"/>
        <w:snapToGrid w:val="0"/>
        <w:spacing w:line="540" w:lineRule="exact"/>
        <w:ind w:firstLine="619" w:firstLineChars="150"/>
        <w:rPr>
          <w:rFonts w:ascii="仿宋_GB2312" w:hAnsi="楷体" w:eastAsia="仿宋_GB2312" w:cs="Times New Roman"/>
          <w:bCs/>
          <w:snapToGrid w:val="0"/>
          <w:spacing w:val="-6"/>
          <w:kern w:val="0"/>
          <w:sz w:val="32"/>
          <w:szCs w:val="32"/>
        </w:rPr>
      </w:pPr>
      <w:r>
        <w:rPr>
          <w:rFonts w:hint="eastAsia" w:ascii="仿宋_GB2312" w:hAnsi="楷体" w:eastAsia="仿宋_GB2312" w:cs="Times New Roman"/>
          <w:bCs/>
          <w:snapToGrid w:val="0"/>
          <w:spacing w:val="-6"/>
          <w:kern w:val="0"/>
          <w:sz w:val="32"/>
          <w:szCs w:val="32"/>
        </w:rPr>
        <w:t>煤炭矿山企业的原煤入选率原则上应达到80%以上。</w:t>
      </w:r>
    </w:p>
    <w:p>
      <w:pPr>
        <w:overflowPunct w:val="0"/>
        <w:adjustRightInd w:val="0"/>
        <w:snapToGrid w:val="0"/>
        <w:spacing w:line="540" w:lineRule="exact"/>
        <w:ind w:firstLine="637" w:firstLineChars="150"/>
        <w:rPr>
          <w:rFonts w:ascii="楷体_GB2312" w:hAnsi="楷体" w:eastAsia="楷体_GB2312" w:cs="Times New Roman"/>
          <w:bCs/>
          <w:snapToGrid w:val="0"/>
          <w:kern w:val="0"/>
          <w:sz w:val="32"/>
          <w:szCs w:val="32"/>
        </w:rPr>
      </w:pPr>
      <w:r>
        <w:rPr>
          <w:rFonts w:hint="eastAsia" w:ascii="楷体_GB2312" w:hAnsi="楷体" w:eastAsia="楷体_GB2312" w:cs="Times New Roman"/>
          <w:bCs/>
          <w:snapToGrid w:val="0"/>
          <w:kern w:val="0"/>
          <w:sz w:val="32"/>
          <w:szCs w:val="32"/>
        </w:rPr>
        <w:t>（三）煤矸石与共伴生矿产资源综合利用率</w:t>
      </w:r>
    </w:p>
    <w:p>
      <w:pPr>
        <w:overflowPunct w:val="0"/>
        <w:adjustRightInd w:val="0"/>
        <w:snapToGrid w:val="0"/>
        <w:spacing w:line="540" w:lineRule="exact"/>
        <w:ind w:firstLine="637" w:firstLineChars="150"/>
        <w:rPr>
          <w:rFonts w:ascii="仿宋_GB2312" w:hAnsi="楷体" w:eastAsia="仿宋_GB2312" w:cs="Times New Roman"/>
          <w:bCs/>
          <w:snapToGrid w:val="0"/>
          <w:kern w:val="0"/>
          <w:sz w:val="32"/>
          <w:szCs w:val="32"/>
        </w:rPr>
      </w:pPr>
      <w:r>
        <w:rPr>
          <w:rFonts w:hint="eastAsia" w:ascii="仿宋_GB2312" w:hAnsi="楷体" w:eastAsia="仿宋_GB2312" w:cs="Times New Roman"/>
          <w:bCs/>
          <w:snapToGrid w:val="0"/>
          <w:kern w:val="0"/>
          <w:sz w:val="32"/>
          <w:szCs w:val="32"/>
        </w:rPr>
        <w:t>鼓励煤炭矿山企业合理开发与综合利用煤矸石以及与煤共伴生矿产资源。开采设计或开发利用方案也要对煤层气、油页岩、黄铁矿、高岭土等矿产资源开发利用提出指标要求。其中煤矸石应达到88</w:t>
      </w:r>
      <w:r>
        <w:rPr>
          <w:rFonts w:ascii="仿宋_GB2312" w:hAnsi="楷体" w:eastAsia="仿宋_GB2312" w:cs="Times New Roman"/>
          <w:bCs/>
          <w:snapToGrid w:val="0"/>
          <w:kern w:val="0"/>
          <w:sz w:val="32"/>
          <w:szCs w:val="32"/>
        </w:rPr>
        <w:t>%</w:t>
      </w:r>
      <w:r>
        <w:rPr>
          <w:rFonts w:hint="eastAsia" w:ascii="仿宋_GB2312" w:hAnsi="楷体" w:eastAsia="仿宋_GB2312" w:cs="Times New Roman"/>
          <w:bCs/>
          <w:snapToGrid w:val="0"/>
          <w:kern w:val="0"/>
          <w:sz w:val="32"/>
          <w:szCs w:val="32"/>
        </w:rPr>
        <w:t>以上，矿井水综合利用率应达到80%以上，选矿用水循环利用、废水零排放。</w:t>
      </w:r>
    </w:p>
    <w:p>
      <w:pPr>
        <w:overflowPunct w:val="0"/>
        <w:adjustRightInd w:val="0"/>
        <w:snapToGrid w:val="0"/>
        <w:spacing w:line="540" w:lineRule="exact"/>
        <w:ind w:firstLine="637" w:firstLineChars="150"/>
        <w:rPr>
          <w:rFonts w:ascii="黑体" w:hAnsi="黑体" w:eastAsia="黑体" w:cs="Times New Roman"/>
          <w:bCs/>
          <w:snapToGrid w:val="0"/>
          <w:kern w:val="0"/>
          <w:sz w:val="32"/>
          <w:szCs w:val="32"/>
        </w:rPr>
      </w:pPr>
      <w:r>
        <w:rPr>
          <w:rFonts w:hint="eastAsia" w:ascii="黑体" w:hAnsi="黑体" w:eastAsia="黑体" w:cs="Times New Roman"/>
          <w:bCs/>
          <w:snapToGrid w:val="0"/>
          <w:kern w:val="0"/>
          <w:sz w:val="32"/>
          <w:szCs w:val="32"/>
        </w:rPr>
        <w:t>二、监督管理</w:t>
      </w:r>
    </w:p>
    <w:p>
      <w:pPr>
        <w:overflowPunct w:val="0"/>
        <w:adjustRightInd w:val="0"/>
        <w:snapToGrid w:val="0"/>
        <w:spacing w:line="540" w:lineRule="exact"/>
        <w:ind w:firstLine="637" w:firstLineChars="150"/>
        <w:rPr>
          <w:rFonts w:ascii="仿宋_GB2312" w:hAnsi="楷体" w:eastAsia="仿宋_GB2312" w:cs="Times New Roman"/>
          <w:bCs/>
          <w:snapToGrid w:val="0"/>
          <w:kern w:val="0"/>
          <w:sz w:val="32"/>
          <w:szCs w:val="32"/>
        </w:rPr>
      </w:pPr>
      <w:r>
        <w:rPr>
          <w:rFonts w:hint="eastAsia" w:ascii="仿宋_GB2312" w:hAnsi="楷体" w:eastAsia="仿宋_GB2312" w:cs="Times New Roman"/>
          <w:bCs/>
          <w:snapToGrid w:val="0"/>
          <w:kern w:val="0"/>
          <w:sz w:val="32"/>
          <w:szCs w:val="32"/>
        </w:rPr>
        <w:t>（一）本指标要求是自然资源主管部门监督管理煤炭矿山企业合理开发利用矿产资源的重要依据。</w:t>
      </w:r>
    </w:p>
    <w:p>
      <w:pPr>
        <w:overflowPunct w:val="0"/>
        <w:adjustRightInd w:val="0"/>
        <w:snapToGrid w:val="0"/>
        <w:spacing w:line="540" w:lineRule="exact"/>
        <w:ind w:firstLine="637" w:firstLineChars="150"/>
        <w:rPr>
          <w:rFonts w:ascii="仿宋_GB2312" w:hAnsi="楷体" w:eastAsia="仿宋_GB2312" w:cs="Times New Roman"/>
          <w:bCs/>
          <w:snapToGrid w:val="0"/>
          <w:kern w:val="0"/>
          <w:sz w:val="32"/>
          <w:szCs w:val="32"/>
        </w:rPr>
      </w:pPr>
      <w:r>
        <w:rPr>
          <w:rFonts w:hint="eastAsia" w:ascii="仿宋_GB2312" w:hAnsi="楷体" w:eastAsia="仿宋_GB2312" w:cs="Times New Roman"/>
          <w:bCs/>
          <w:snapToGrid w:val="0"/>
          <w:kern w:val="0"/>
          <w:sz w:val="32"/>
          <w:szCs w:val="32"/>
        </w:rPr>
        <w:t>（二）本指标要求是编制和审查煤炭资源开发利用方案、矿山设计的依据，新建或改扩建的煤炭矿山企业的“三率”指标应达到本指标要求。</w:t>
      </w:r>
    </w:p>
    <w:p>
      <w:pPr>
        <w:overflowPunct w:val="0"/>
        <w:adjustRightInd w:val="0"/>
        <w:snapToGrid w:val="0"/>
        <w:spacing w:line="540" w:lineRule="exact"/>
        <w:ind w:firstLine="637" w:firstLineChars="150"/>
        <w:rPr>
          <w:rFonts w:ascii="仿宋_GB2312" w:hAnsi="楷体" w:eastAsia="仿宋_GB2312" w:cs="Times New Roman"/>
          <w:bCs/>
          <w:snapToGrid w:val="0"/>
          <w:kern w:val="0"/>
          <w:sz w:val="32"/>
          <w:szCs w:val="32"/>
        </w:rPr>
      </w:pPr>
      <w:r>
        <w:rPr>
          <w:rFonts w:hint="eastAsia" w:ascii="仿宋_GB2312" w:hAnsi="楷体" w:eastAsia="仿宋_GB2312" w:cs="Times New Roman"/>
          <w:bCs/>
          <w:snapToGrid w:val="0"/>
          <w:kern w:val="0"/>
          <w:sz w:val="32"/>
          <w:szCs w:val="32"/>
        </w:rPr>
        <w:t>（三）现有生产矿山要在本指标要求发布之日后当年达到本指标要求。对达不到本指标要求的矿山企业，市县级自然资源主管部门应组织督促其限期整改。</w:t>
      </w:r>
    </w:p>
    <w:p>
      <w:pPr>
        <w:overflowPunct w:val="0"/>
        <w:adjustRightInd w:val="0"/>
        <w:snapToGrid w:val="0"/>
        <w:spacing w:line="540" w:lineRule="exact"/>
        <w:ind w:firstLine="637" w:firstLineChars="150"/>
        <w:rPr>
          <w:rFonts w:ascii="仿宋_GB2312" w:hAnsi="楷体" w:eastAsia="仿宋_GB2312" w:cs="Times New Roman"/>
          <w:bCs/>
          <w:snapToGrid w:val="0"/>
          <w:kern w:val="0"/>
          <w:sz w:val="32"/>
          <w:szCs w:val="32"/>
        </w:rPr>
      </w:pPr>
      <w:r>
        <w:rPr>
          <w:rFonts w:hint="eastAsia" w:ascii="仿宋_GB2312" w:hAnsi="楷体" w:eastAsia="仿宋_GB2312" w:cs="Times New Roman"/>
          <w:bCs/>
          <w:snapToGrid w:val="0"/>
          <w:kern w:val="0"/>
          <w:sz w:val="32"/>
          <w:szCs w:val="32"/>
        </w:rPr>
        <w:t>受地区煤层、构造、水文等开采客观条件限制达不到本指标要求的，矿山企业应说明原因，并提交具备设计资质的单位出具的论证报告，提出改进措施。省自然资源厅组织专家对矿山企业提交的报告进行论证、社会公示，核定其“三率”指标。</w:t>
      </w:r>
    </w:p>
    <w:p>
      <w:pPr>
        <w:overflowPunct w:val="0"/>
        <w:adjustRightInd w:val="0"/>
        <w:snapToGrid w:val="0"/>
        <w:spacing w:line="540" w:lineRule="exact"/>
        <w:ind w:firstLine="637" w:firstLineChars="150"/>
        <w:rPr>
          <w:rFonts w:ascii="仿宋_GB2312" w:hAnsi="楷体" w:eastAsia="仿宋_GB2312" w:cs="Times New Roman"/>
          <w:bCs/>
          <w:snapToGrid w:val="0"/>
          <w:kern w:val="0"/>
          <w:sz w:val="32"/>
          <w:szCs w:val="32"/>
        </w:rPr>
      </w:pPr>
      <w:r>
        <w:rPr>
          <w:rFonts w:hint="eastAsia" w:ascii="仿宋_GB2312" w:hAnsi="楷体" w:eastAsia="仿宋_GB2312" w:cs="Times New Roman"/>
          <w:bCs/>
          <w:snapToGrid w:val="0"/>
          <w:kern w:val="0"/>
          <w:sz w:val="32"/>
          <w:szCs w:val="32"/>
        </w:rPr>
        <w:t>（四）市、县级自然资源主管部门负责对辖区煤炭矿山企业执行本指标要求情况进行监督管理，不定期开展抽查和检查；定期公告符合本指标要求的煤炭矿山企业名单，实行社会监督，动态管理。</w:t>
      </w:r>
    </w:p>
    <w:p>
      <w:pPr>
        <w:overflowPunct w:val="0"/>
        <w:adjustRightInd w:val="0"/>
        <w:snapToGrid w:val="0"/>
        <w:spacing w:line="540" w:lineRule="exact"/>
        <w:ind w:firstLine="637" w:firstLineChars="150"/>
        <w:rPr>
          <w:rFonts w:ascii="黑体" w:hAnsi="黑体" w:eastAsia="黑体" w:cs="Times New Roman"/>
          <w:bCs/>
          <w:snapToGrid w:val="0"/>
          <w:kern w:val="0"/>
          <w:sz w:val="32"/>
          <w:szCs w:val="32"/>
        </w:rPr>
      </w:pPr>
      <w:r>
        <w:rPr>
          <w:rFonts w:hint="eastAsia" w:ascii="黑体" w:hAnsi="黑体" w:eastAsia="黑体" w:cs="Times New Roman"/>
          <w:bCs/>
          <w:snapToGrid w:val="0"/>
          <w:kern w:val="0"/>
          <w:sz w:val="32"/>
          <w:szCs w:val="32"/>
        </w:rPr>
        <w:t>三、指标定义与计算方法</w:t>
      </w:r>
    </w:p>
    <w:p>
      <w:pPr>
        <w:overflowPunct w:val="0"/>
        <w:adjustRightInd w:val="0"/>
        <w:snapToGrid w:val="0"/>
        <w:spacing w:line="540" w:lineRule="exact"/>
        <w:ind w:firstLine="637" w:firstLineChars="150"/>
        <w:rPr>
          <w:rFonts w:ascii="楷体_GB2312" w:hAnsi="楷体" w:eastAsia="楷体_GB2312" w:cs="Times New Roman"/>
          <w:bCs/>
          <w:snapToGrid w:val="0"/>
          <w:kern w:val="0"/>
          <w:sz w:val="32"/>
          <w:szCs w:val="32"/>
        </w:rPr>
      </w:pPr>
      <w:r>
        <w:rPr>
          <w:rFonts w:hint="eastAsia" w:ascii="楷体_GB2312" w:hAnsi="楷体" w:eastAsia="楷体_GB2312" w:cs="Times New Roman"/>
          <w:bCs/>
          <w:snapToGrid w:val="0"/>
          <w:kern w:val="0"/>
          <w:sz w:val="32"/>
          <w:szCs w:val="32"/>
        </w:rPr>
        <w:t>（一）煤矿采区回采率</w:t>
      </w:r>
    </w:p>
    <w:p>
      <w:pPr>
        <w:overflowPunct w:val="0"/>
        <w:adjustRightInd w:val="0"/>
        <w:snapToGrid w:val="0"/>
        <w:spacing w:line="540" w:lineRule="exact"/>
        <w:ind w:firstLine="637" w:firstLineChars="150"/>
        <w:rPr>
          <w:rFonts w:ascii="仿宋_GB2312" w:hAnsi="楷体" w:eastAsia="仿宋_GB2312" w:cs="Times New Roman"/>
          <w:bCs/>
          <w:snapToGrid w:val="0"/>
          <w:kern w:val="0"/>
          <w:sz w:val="32"/>
          <w:szCs w:val="32"/>
        </w:rPr>
      </w:pPr>
      <w:r>
        <w:rPr>
          <w:rFonts w:hint="eastAsia" w:ascii="仿宋_GB2312" w:hAnsi="楷体" w:eastAsia="仿宋_GB2312" w:cs="Times New Roman"/>
          <w:bCs/>
          <w:snapToGrid w:val="0"/>
          <w:kern w:val="0"/>
          <w:sz w:val="32"/>
          <w:szCs w:val="32"/>
        </w:rPr>
        <w:t>1.定义</w:t>
      </w:r>
    </w:p>
    <w:p>
      <w:pPr>
        <w:overflowPunct w:val="0"/>
        <w:adjustRightInd w:val="0"/>
        <w:snapToGrid w:val="0"/>
        <w:spacing w:line="540" w:lineRule="exact"/>
        <w:ind w:firstLine="637" w:firstLineChars="150"/>
        <w:rPr>
          <w:rFonts w:ascii="仿宋_GB2312" w:hAnsi="楷体" w:eastAsia="仿宋_GB2312" w:cs="Times New Roman"/>
          <w:bCs/>
          <w:snapToGrid w:val="0"/>
          <w:kern w:val="0"/>
          <w:sz w:val="32"/>
          <w:szCs w:val="32"/>
        </w:rPr>
      </w:pPr>
      <w:r>
        <w:rPr>
          <w:rFonts w:hint="eastAsia" w:ascii="仿宋_GB2312" w:hAnsi="楷体" w:eastAsia="仿宋_GB2312" w:cs="Times New Roman"/>
          <w:bCs/>
          <w:snapToGrid w:val="0"/>
          <w:kern w:val="0"/>
          <w:sz w:val="32"/>
          <w:szCs w:val="32"/>
        </w:rPr>
        <w:t>煤矿采区回采率：是指采区实际采出煤量与采区动用资源量的百分比。</w:t>
      </w:r>
    </w:p>
    <w:p>
      <w:pPr>
        <w:overflowPunct w:val="0"/>
        <w:adjustRightInd w:val="0"/>
        <w:snapToGrid w:val="0"/>
        <w:spacing w:line="540" w:lineRule="exact"/>
        <w:ind w:firstLine="619" w:firstLineChars="150"/>
        <w:rPr>
          <w:rFonts w:ascii="仿宋_GB2312" w:hAnsi="楷体" w:eastAsia="仿宋_GB2312" w:cs="Times New Roman"/>
          <w:bCs/>
          <w:snapToGrid w:val="0"/>
          <w:spacing w:val="-6"/>
          <w:kern w:val="0"/>
          <w:sz w:val="32"/>
          <w:szCs w:val="32"/>
        </w:rPr>
      </w:pPr>
      <w:r>
        <w:rPr>
          <w:rFonts w:hint="eastAsia" w:ascii="仿宋_GB2312" w:hAnsi="楷体" w:eastAsia="仿宋_GB2312" w:cs="Times New Roman"/>
          <w:bCs/>
          <w:snapToGrid w:val="0"/>
          <w:spacing w:val="-6"/>
          <w:kern w:val="0"/>
          <w:sz w:val="32"/>
          <w:szCs w:val="32"/>
        </w:rPr>
        <w:t>采出煤量：是指采区内所有工作面采出煤量与掘进煤量之和。</w:t>
      </w:r>
    </w:p>
    <w:p>
      <w:pPr>
        <w:overflowPunct w:val="0"/>
        <w:adjustRightInd w:val="0"/>
        <w:snapToGrid w:val="0"/>
        <w:spacing w:line="540" w:lineRule="exact"/>
        <w:ind w:firstLine="637" w:firstLineChars="150"/>
        <w:rPr>
          <w:rFonts w:ascii="仿宋_GB2312" w:hAnsi="楷体" w:eastAsia="仿宋_GB2312" w:cs="Times New Roman"/>
          <w:bCs/>
          <w:snapToGrid w:val="0"/>
          <w:kern w:val="0"/>
          <w:sz w:val="32"/>
          <w:szCs w:val="32"/>
        </w:rPr>
      </w:pPr>
      <w:r>
        <w:rPr>
          <w:rFonts w:hint="eastAsia" w:ascii="仿宋_GB2312" w:hAnsi="楷体" w:eastAsia="仿宋_GB2312" w:cs="Times New Roman"/>
          <w:bCs/>
          <w:snapToGrid w:val="0"/>
          <w:kern w:val="0"/>
          <w:sz w:val="32"/>
          <w:szCs w:val="32"/>
        </w:rPr>
        <w:t>采区动用资源量：是指采区采出煤量与开采损失煤量之和。</w:t>
      </w:r>
    </w:p>
    <w:p>
      <w:pPr>
        <w:overflowPunct w:val="0"/>
        <w:adjustRightInd w:val="0"/>
        <w:snapToGrid w:val="0"/>
        <w:spacing w:line="540" w:lineRule="exact"/>
        <w:ind w:firstLine="637" w:firstLineChars="150"/>
        <w:rPr>
          <w:rFonts w:ascii="仿宋_GB2312" w:hAnsi="楷体" w:eastAsia="仿宋_GB2312" w:cs="Times New Roman"/>
          <w:bCs/>
          <w:snapToGrid w:val="0"/>
          <w:kern w:val="0"/>
          <w:sz w:val="32"/>
          <w:szCs w:val="32"/>
        </w:rPr>
      </w:pPr>
      <w:r>
        <w:rPr>
          <w:rFonts w:hint="eastAsia" w:ascii="仿宋_GB2312" w:hAnsi="楷体" w:eastAsia="仿宋_GB2312" w:cs="Times New Roman"/>
          <w:bCs/>
          <w:snapToGrid w:val="0"/>
          <w:kern w:val="0"/>
          <w:sz w:val="32"/>
          <w:szCs w:val="32"/>
        </w:rPr>
        <w:t>2.计算方法</w:t>
      </w:r>
    </w:p>
    <w:p>
      <w:pPr>
        <w:overflowPunct w:val="0"/>
        <w:adjustRightInd w:val="0"/>
        <w:snapToGrid w:val="0"/>
        <w:spacing w:line="540" w:lineRule="exact"/>
        <w:ind w:firstLine="637" w:firstLineChars="150"/>
        <w:rPr>
          <w:rFonts w:ascii="仿宋_GB2312" w:hAnsi="楷体" w:eastAsia="仿宋_GB2312" w:cs="Times New Roman"/>
          <w:bCs/>
          <w:snapToGrid w:val="0"/>
          <w:kern w:val="0"/>
          <w:sz w:val="32"/>
          <w:szCs w:val="32"/>
        </w:rPr>
      </w:pPr>
      <w:r>
        <w:rPr>
          <w:rFonts w:hint="eastAsia" w:ascii="仿宋_GB2312" w:hAnsi="楷体" w:eastAsia="仿宋_GB2312" w:cs="Times New Roman"/>
          <w:bCs/>
          <w:snapToGrid w:val="0"/>
          <w:kern w:val="0"/>
          <w:sz w:val="32"/>
          <w:szCs w:val="32"/>
        </w:rPr>
        <w:t>采区回采率（K）＝采区采出煤量/采区动用资源量×</w:t>
      </w:r>
      <w:r>
        <w:rPr>
          <w:rFonts w:ascii="仿宋_GB2312" w:hAnsi="楷体" w:eastAsia="仿宋_GB2312" w:cs="Times New Roman"/>
          <w:bCs/>
          <w:snapToGrid w:val="0"/>
          <w:kern w:val="0"/>
          <w:sz w:val="32"/>
          <w:szCs w:val="32"/>
        </w:rPr>
        <w:t>100%</w:t>
      </w:r>
    </w:p>
    <w:p>
      <w:pPr>
        <w:overflowPunct w:val="0"/>
        <w:adjustRightInd w:val="0"/>
        <w:snapToGrid w:val="0"/>
        <w:spacing w:line="540" w:lineRule="exact"/>
        <w:ind w:firstLine="637" w:firstLineChars="150"/>
        <w:rPr>
          <w:rFonts w:ascii="楷体_GB2312" w:hAnsi="楷体" w:eastAsia="楷体_GB2312" w:cs="Times New Roman"/>
          <w:bCs/>
          <w:snapToGrid w:val="0"/>
          <w:kern w:val="0"/>
          <w:sz w:val="32"/>
          <w:szCs w:val="32"/>
        </w:rPr>
      </w:pPr>
      <w:r>
        <w:rPr>
          <w:rFonts w:hint="eastAsia" w:ascii="楷体_GB2312" w:hAnsi="楷体" w:eastAsia="楷体_GB2312" w:cs="Times New Roman"/>
          <w:bCs/>
          <w:snapToGrid w:val="0"/>
          <w:kern w:val="0"/>
          <w:sz w:val="32"/>
          <w:szCs w:val="32"/>
        </w:rPr>
        <w:t>（二）原煤入选率</w:t>
      </w:r>
    </w:p>
    <w:p>
      <w:pPr>
        <w:overflowPunct w:val="0"/>
        <w:adjustRightInd w:val="0"/>
        <w:snapToGrid w:val="0"/>
        <w:spacing w:line="540" w:lineRule="exact"/>
        <w:ind w:firstLine="637" w:firstLineChars="150"/>
        <w:rPr>
          <w:rFonts w:ascii="仿宋_GB2312" w:hAnsi="楷体" w:eastAsia="仿宋_GB2312" w:cs="Times New Roman"/>
          <w:bCs/>
          <w:snapToGrid w:val="0"/>
          <w:kern w:val="0"/>
          <w:sz w:val="32"/>
          <w:szCs w:val="32"/>
        </w:rPr>
      </w:pPr>
      <w:r>
        <w:rPr>
          <w:rFonts w:hint="eastAsia" w:ascii="仿宋_GB2312" w:hAnsi="楷体" w:eastAsia="仿宋_GB2312" w:cs="Times New Roman"/>
          <w:bCs/>
          <w:snapToGrid w:val="0"/>
          <w:kern w:val="0"/>
          <w:sz w:val="32"/>
          <w:szCs w:val="32"/>
        </w:rPr>
        <w:t>1.定义</w:t>
      </w:r>
    </w:p>
    <w:p>
      <w:pPr>
        <w:overflowPunct w:val="0"/>
        <w:adjustRightInd w:val="0"/>
        <w:snapToGrid w:val="0"/>
        <w:spacing w:line="540" w:lineRule="exact"/>
        <w:ind w:firstLine="637" w:firstLineChars="150"/>
        <w:rPr>
          <w:rFonts w:ascii="仿宋_GB2312" w:hAnsi="楷体" w:eastAsia="仿宋_GB2312" w:cs="Times New Roman"/>
          <w:bCs/>
          <w:snapToGrid w:val="0"/>
          <w:kern w:val="0"/>
          <w:sz w:val="32"/>
          <w:szCs w:val="32"/>
        </w:rPr>
      </w:pPr>
      <w:r>
        <w:rPr>
          <w:rFonts w:hint="eastAsia" w:ascii="仿宋_GB2312" w:hAnsi="楷体" w:eastAsia="仿宋_GB2312" w:cs="Times New Roman"/>
          <w:bCs/>
          <w:snapToGrid w:val="0"/>
          <w:kern w:val="0"/>
          <w:sz w:val="32"/>
          <w:szCs w:val="32"/>
        </w:rPr>
        <w:t>原煤入选率：是指选煤厂年度入选原煤量与矿山年度生产原煤量的百分比。</w:t>
      </w:r>
    </w:p>
    <w:p>
      <w:pPr>
        <w:overflowPunct w:val="0"/>
        <w:adjustRightInd w:val="0"/>
        <w:snapToGrid w:val="0"/>
        <w:spacing w:line="540" w:lineRule="exact"/>
        <w:ind w:firstLine="637" w:firstLineChars="150"/>
        <w:rPr>
          <w:rFonts w:ascii="仿宋_GB2312" w:hAnsi="楷体" w:eastAsia="仿宋_GB2312" w:cs="Times New Roman"/>
          <w:bCs/>
          <w:snapToGrid w:val="0"/>
          <w:kern w:val="0"/>
          <w:sz w:val="32"/>
          <w:szCs w:val="32"/>
        </w:rPr>
      </w:pPr>
      <w:r>
        <w:rPr>
          <w:rFonts w:hint="eastAsia" w:ascii="仿宋_GB2312" w:hAnsi="楷体" w:eastAsia="仿宋_GB2312" w:cs="Times New Roman"/>
          <w:bCs/>
          <w:snapToGrid w:val="0"/>
          <w:kern w:val="0"/>
          <w:sz w:val="32"/>
          <w:szCs w:val="32"/>
        </w:rPr>
        <w:t>入选原煤量：指从毛煤中拣出大块矸石后进入选煤厂供选煤设备分选的原煤。对于变质程度低，风化、泥化严重的褐煤（不包括老年褐煤）和质量较好的动力用煤（灰分低于12%、硫分低于1%、经简单加工处理就可以达到用户对产品质量要求），可以不入选，其煤炭加工量计入原煤入选量。</w:t>
      </w:r>
    </w:p>
    <w:p>
      <w:pPr>
        <w:overflowPunct w:val="0"/>
        <w:adjustRightInd w:val="0"/>
        <w:snapToGrid w:val="0"/>
        <w:spacing w:line="540" w:lineRule="exact"/>
        <w:ind w:firstLine="619" w:firstLineChars="150"/>
        <w:rPr>
          <w:rFonts w:ascii="仿宋_GB2312" w:hAnsi="楷体" w:eastAsia="仿宋_GB2312" w:cs="Times New Roman"/>
          <w:bCs/>
          <w:snapToGrid w:val="0"/>
          <w:spacing w:val="-6"/>
          <w:kern w:val="0"/>
          <w:sz w:val="32"/>
          <w:szCs w:val="32"/>
        </w:rPr>
      </w:pPr>
      <w:r>
        <w:rPr>
          <w:rFonts w:hint="eastAsia" w:ascii="仿宋_GB2312" w:hAnsi="楷体" w:eastAsia="仿宋_GB2312" w:cs="Times New Roman"/>
          <w:bCs/>
          <w:snapToGrid w:val="0"/>
          <w:spacing w:val="-6"/>
          <w:kern w:val="0"/>
          <w:sz w:val="32"/>
          <w:szCs w:val="32"/>
        </w:rPr>
        <w:t>生产原煤量：指所有进入选煤厂与直接外销原煤数量的总和。</w:t>
      </w:r>
    </w:p>
    <w:p>
      <w:pPr>
        <w:overflowPunct w:val="0"/>
        <w:adjustRightInd w:val="0"/>
        <w:snapToGrid w:val="0"/>
        <w:spacing w:line="540" w:lineRule="exact"/>
        <w:ind w:firstLine="637" w:firstLineChars="150"/>
        <w:rPr>
          <w:rFonts w:ascii="仿宋_GB2312" w:hAnsi="楷体" w:eastAsia="仿宋_GB2312" w:cs="Times New Roman"/>
          <w:bCs/>
          <w:snapToGrid w:val="0"/>
          <w:kern w:val="0"/>
          <w:sz w:val="32"/>
          <w:szCs w:val="32"/>
        </w:rPr>
      </w:pPr>
      <w:r>
        <w:rPr>
          <w:rFonts w:hint="eastAsia" w:ascii="仿宋_GB2312" w:hAnsi="楷体" w:eastAsia="仿宋_GB2312" w:cs="Times New Roman"/>
          <w:bCs/>
          <w:snapToGrid w:val="0"/>
          <w:kern w:val="0"/>
          <w:sz w:val="32"/>
          <w:szCs w:val="32"/>
        </w:rPr>
        <w:t>2.计算方法</w:t>
      </w:r>
    </w:p>
    <w:p>
      <w:pPr>
        <w:overflowPunct w:val="0"/>
        <w:adjustRightInd w:val="0"/>
        <w:snapToGrid w:val="0"/>
        <w:spacing w:line="540" w:lineRule="exact"/>
        <w:ind w:firstLine="637" w:firstLineChars="150"/>
        <w:rPr>
          <w:rFonts w:ascii="仿宋_GB2312" w:hAnsi="楷体" w:eastAsia="仿宋_GB2312" w:cs="Times New Roman"/>
          <w:bCs/>
          <w:snapToGrid w:val="0"/>
          <w:kern w:val="0"/>
          <w:sz w:val="32"/>
          <w:szCs w:val="32"/>
        </w:rPr>
      </w:pPr>
      <w:r>
        <w:rPr>
          <w:rFonts w:hint="eastAsia" w:ascii="仿宋_GB2312" w:hAnsi="楷体" w:eastAsia="仿宋_GB2312" w:cs="Times New Roman"/>
          <w:bCs/>
          <w:snapToGrid w:val="0"/>
          <w:kern w:val="0"/>
          <w:sz w:val="32"/>
          <w:szCs w:val="32"/>
        </w:rPr>
        <w:t>原煤入选率（P）=入选原煤量/生产原煤量×</w:t>
      </w:r>
      <w:r>
        <w:rPr>
          <w:rFonts w:ascii="仿宋_GB2312" w:hAnsi="楷体" w:eastAsia="仿宋_GB2312" w:cs="Times New Roman"/>
          <w:bCs/>
          <w:snapToGrid w:val="0"/>
          <w:kern w:val="0"/>
          <w:sz w:val="32"/>
          <w:szCs w:val="32"/>
        </w:rPr>
        <w:t>100%</w:t>
      </w:r>
    </w:p>
    <w:p>
      <w:pPr>
        <w:overflowPunct w:val="0"/>
        <w:adjustRightInd w:val="0"/>
        <w:snapToGrid w:val="0"/>
        <w:spacing w:line="540" w:lineRule="exact"/>
        <w:ind w:firstLine="637" w:firstLineChars="150"/>
        <w:rPr>
          <w:rFonts w:ascii="楷体_GB2312" w:hAnsi="楷体" w:eastAsia="楷体_GB2312" w:cs="Times New Roman"/>
          <w:bCs/>
          <w:snapToGrid w:val="0"/>
          <w:kern w:val="0"/>
          <w:sz w:val="32"/>
          <w:szCs w:val="32"/>
        </w:rPr>
      </w:pPr>
      <w:r>
        <w:rPr>
          <w:rFonts w:hint="eastAsia" w:ascii="楷体_GB2312" w:hAnsi="楷体" w:eastAsia="楷体_GB2312" w:cs="Times New Roman"/>
          <w:bCs/>
          <w:snapToGrid w:val="0"/>
          <w:kern w:val="0"/>
          <w:sz w:val="32"/>
          <w:szCs w:val="32"/>
        </w:rPr>
        <w:t>（三）煤矸石与共伴生矿产资源综合利用率</w:t>
      </w:r>
    </w:p>
    <w:p>
      <w:pPr>
        <w:overflowPunct w:val="0"/>
        <w:adjustRightInd w:val="0"/>
        <w:snapToGrid w:val="0"/>
        <w:spacing w:line="540" w:lineRule="exact"/>
        <w:ind w:firstLine="637" w:firstLineChars="150"/>
        <w:rPr>
          <w:rFonts w:ascii="仿宋_GB2312" w:hAnsi="楷体" w:eastAsia="仿宋_GB2312" w:cs="Times New Roman"/>
          <w:bCs/>
          <w:snapToGrid w:val="0"/>
          <w:kern w:val="0"/>
          <w:sz w:val="32"/>
          <w:szCs w:val="32"/>
        </w:rPr>
      </w:pPr>
      <w:r>
        <w:rPr>
          <w:rFonts w:hint="eastAsia" w:ascii="仿宋_GB2312" w:hAnsi="楷体" w:eastAsia="仿宋_GB2312" w:cs="Times New Roman"/>
          <w:bCs/>
          <w:snapToGrid w:val="0"/>
          <w:kern w:val="0"/>
          <w:sz w:val="32"/>
          <w:szCs w:val="32"/>
        </w:rPr>
        <w:t>1.定义</w:t>
      </w:r>
    </w:p>
    <w:p>
      <w:pPr>
        <w:overflowPunct w:val="0"/>
        <w:adjustRightInd w:val="0"/>
        <w:snapToGrid w:val="0"/>
        <w:spacing w:line="540" w:lineRule="exact"/>
        <w:ind w:firstLine="637" w:firstLineChars="150"/>
        <w:rPr>
          <w:rFonts w:ascii="仿宋_GB2312" w:hAnsi="楷体" w:eastAsia="仿宋_GB2312" w:cs="Times New Roman"/>
          <w:bCs/>
          <w:snapToGrid w:val="0"/>
          <w:kern w:val="0"/>
          <w:sz w:val="32"/>
          <w:szCs w:val="32"/>
        </w:rPr>
      </w:pPr>
      <w:r>
        <w:rPr>
          <w:rFonts w:hint="eastAsia" w:ascii="仿宋_GB2312" w:hAnsi="楷体" w:eastAsia="仿宋_GB2312" w:cs="Times New Roman"/>
          <w:bCs/>
          <w:snapToGrid w:val="0"/>
          <w:kern w:val="0"/>
          <w:sz w:val="32"/>
          <w:szCs w:val="32"/>
        </w:rPr>
        <w:t>①煤矸石综合利用率：是指煤矿年度生产过程中，利用的煤矸石量与产生的煤矸石量的百分比。</w:t>
      </w:r>
    </w:p>
    <w:p>
      <w:pPr>
        <w:overflowPunct w:val="0"/>
        <w:adjustRightInd w:val="0"/>
        <w:snapToGrid w:val="0"/>
        <w:spacing w:line="540" w:lineRule="exact"/>
        <w:ind w:firstLine="637" w:firstLineChars="150"/>
        <w:rPr>
          <w:rFonts w:ascii="仿宋_GB2312" w:hAnsi="楷体" w:eastAsia="仿宋_GB2312" w:cs="Times New Roman"/>
          <w:bCs/>
          <w:snapToGrid w:val="0"/>
          <w:kern w:val="0"/>
          <w:sz w:val="32"/>
          <w:szCs w:val="32"/>
        </w:rPr>
      </w:pPr>
      <w:r>
        <w:rPr>
          <w:rFonts w:hint="eastAsia" w:ascii="仿宋_GB2312" w:hAnsi="楷体" w:eastAsia="仿宋_GB2312" w:cs="Times New Roman"/>
          <w:bCs/>
          <w:snapToGrid w:val="0"/>
          <w:kern w:val="0"/>
          <w:sz w:val="32"/>
          <w:szCs w:val="32"/>
        </w:rPr>
        <w:t>②矿井水综合利用率：是指煤矿年度生产过程中，产生的矿井水减去排放的矿井水与产生的矿井水之间的百分比。</w:t>
      </w:r>
    </w:p>
    <w:p>
      <w:pPr>
        <w:overflowPunct w:val="0"/>
        <w:adjustRightInd w:val="0"/>
        <w:snapToGrid w:val="0"/>
        <w:spacing w:line="540" w:lineRule="exact"/>
        <w:ind w:firstLine="637" w:firstLineChars="150"/>
        <w:rPr>
          <w:rFonts w:ascii="仿宋_GB2312" w:hAnsi="楷体" w:eastAsia="仿宋_GB2312" w:cs="Times New Roman"/>
          <w:bCs/>
          <w:snapToGrid w:val="0"/>
          <w:kern w:val="0"/>
          <w:sz w:val="32"/>
          <w:szCs w:val="32"/>
        </w:rPr>
      </w:pPr>
      <w:r>
        <w:rPr>
          <w:rFonts w:hint="eastAsia" w:ascii="仿宋_GB2312" w:hAnsi="楷体" w:eastAsia="仿宋_GB2312" w:cs="Times New Roman"/>
          <w:bCs/>
          <w:snapToGrid w:val="0"/>
          <w:kern w:val="0"/>
          <w:sz w:val="32"/>
          <w:szCs w:val="32"/>
        </w:rPr>
        <w:t>③共伴生矿产资源综合利用率：是指煤矿年度生产过程中，所有共伴生矿产的开发利用量与其开采动用的资源量的百分比之平均值。</w:t>
      </w:r>
    </w:p>
    <w:p>
      <w:pPr>
        <w:overflowPunct w:val="0"/>
        <w:adjustRightInd w:val="0"/>
        <w:snapToGrid w:val="0"/>
        <w:spacing w:line="540" w:lineRule="exact"/>
        <w:ind w:firstLine="637" w:firstLineChars="150"/>
        <w:rPr>
          <w:rFonts w:ascii="仿宋_GB2312" w:hAnsi="楷体" w:eastAsia="仿宋_GB2312" w:cs="Times New Roman"/>
          <w:bCs/>
          <w:snapToGrid w:val="0"/>
          <w:kern w:val="0"/>
          <w:sz w:val="32"/>
          <w:szCs w:val="32"/>
        </w:rPr>
      </w:pPr>
      <w:r>
        <w:rPr>
          <w:rFonts w:hint="eastAsia" w:ascii="仿宋_GB2312" w:hAnsi="楷体" w:eastAsia="仿宋_GB2312" w:cs="Times New Roman"/>
          <w:bCs/>
          <w:snapToGrid w:val="0"/>
          <w:kern w:val="0"/>
          <w:sz w:val="32"/>
          <w:szCs w:val="32"/>
        </w:rPr>
        <w:t>2.计算方法</w:t>
      </w:r>
    </w:p>
    <w:p>
      <w:pPr>
        <w:overflowPunct w:val="0"/>
        <w:adjustRightInd w:val="0"/>
        <w:snapToGrid w:val="0"/>
        <w:spacing w:line="540" w:lineRule="exact"/>
        <w:ind w:firstLine="637" w:firstLineChars="150"/>
        <w:rPr>
          <w:rFonts w:ascii="仿宋_GB2312" w:hAnsi="楷体" w:eastAsia="仿宋_GB2312" w:cs="Times New Roman"/>
          <w:bCs/>
          <w:snapToGrid w:val="0"/>
          <w:kern w:val="0"/>
          <w:sz w:val="32"/>
          <w:szCs w:val="32"/>
        </w:rPr>
      </w:pPr>
      <w:r>
        <w:rPr>
          <w:rFonts w:hint="eastAsia" w:ascii="仿宋_GB2312" w:hAnsi="楷体" w:eastAsia="仿宋_GB2312" w:cs="Times New Roman"/>
          <w:bCs/>
          <w:snapToGrid w:val="0"/>
          <w:kern w:val="0"/>
          <w:sz w:val="32"/>
          <w:szCs w:val="32"/>
        </w:rPr>
        <w:t>①煤矸石综合利用率（R煤矸石）=年度利用的煤矸石量/年度产生的煤矸石量×</w:t>
      </w:r>
      <w:r>
        <w:rPr>
          <w:rFonts w:ascii="仿宋_GB2312" w:hAnsi="楷体" w:eastAsia="仿宋_GB2312" w:cs="Times New Roman"/>
          <w:bCs/>
          <w:snapToGrid w:val="0"/>
          <w:kern w:val="0"/>
          <w:sz w:val="32"/>
          <w:szCs w:val="32"/>
        </w:rPr>
        <w:t>100%</w:t>
      </w:r>
    </w:p>
    <w:p>
      <w:pPr>
        <w:overflowPunct w:val="0"/>
        <w:adjustRightInd w:val="0"/>
        <w:snapToGrid w:val="0"/>
        <w:spacing w:line="540" w:lineRule="exact"/>
        <w:ind w:firstLine="637" w:firstLineChars="150"/>
        <w:rPr>
          <w:rFonts w:ascii="仿宋_GB2312" w:hAnsi="楷体" w:eastAsia="仿宋_GB2312" w:cs="Times New Roman"/>
          <w:bCs/>
          <w:snapToGrid w:val="0"/>
          <w:kern w:val="0"/>
          <w:sz w:val="32"/>
          <w:szCs w:val="32"/>
        </w:rPr>
      </w:pPr>
      <w:r>
        <w:rPr>
          <w:rFonts w:hint="eastAsia" w:ascii="仿宋_GB2312" w:hAnsi="楷体" w:eastAsia="仿宋_GB2312" w:cs="Times New Roman"/>
          <w:bCs/>
          <w:snapToGrid w:val="0"/>
          <w:kern w:val="0"/>
          <w:sz w:val="32"/>
          <w:szCs w:val="32"/>
        </w:rPr>
        <w:t>②矿井水综合利用率（R矿井水）=（年度产生的矿井水-年度排放的矿井水）/年度产生的矿井水×</w:t>
      </w:r>
      <w:r>
        <w:rPr>
          <w:rFonts w:ascii="仿宋_GB2312" w:hAnsi="楷体" w:eastAsia="仿宋_GB2312" w:cs="Times New Roman"/>
          <w:bCs/>
          <w:snapToGrid w:val="0"/>
          <w:kern w:val="0"/>
          <w:sz w:val="32"/>
          <w:szCs w:val="32"/>
        </w:rPr>
        <w:t>100%</w:t>
      </w:r>
    </w:p>
    <w:p>
      <w:pPr>
        <w:overflowPunct w:val="0"/>
        <w:adjustRightInd w:val="0"/>
        <w:snapToGrid w:val="0"/>
        <w:spacing w:before="579" w:beforeLines="100" w:line="540" w:lineRule="exact"/>
        <w:ind w:firstLine="637" w:firstLineChars="150"/>
        <w:rPr>
          <w:rFonts w:ascii="仿宋_GB2312" w:hAnsi="楷体" w:eastAsia="仿宋_GB2312" w:cs="Times New Roman"/>
          <w:bCs/>
          <w:snapToGrid w:val="0"/>
          <w:kern w:val="0"/>
          <w:sz w:val="32"/>
          <w:szCs w:val="32"/>
        </w:rPr>
      </w:pPr>
      <w:r>
        <w:rPr>
          <w:rFonts w:hint="eastAsia" w:ascii="仿宋_GB2312" w:hAnsi="楷体" w:eastAsia="仿宋_GB2312" w:cs="Times New Roman"/>
          <w:bCs/>
          <w:snapToGrid w:val="0"/>
          <w:kern w:val="0"/>
          <w:sz w:val="32"/>
          <w:szCs w:val="32"/>
        </w:rPr>
        <w:t xml:space="preserve">③共伴生矿产资源综合利用率（R）= </w:t>
      </w:r>
      <w:r>
        <w:rPr>
          <w:rFonts w:ascii="仿宋_GB2312" w:hAnsi="楷体" w:eastAsia="仿宋_GB2312" w:cs="Times New Roman"/>
          <w:bCs/>
          <w:snapToGrid w:val="0"/>
          <w:kern w:val="0"/>
          <w:sz w:val="32"/>
          <w:szCs w:val="32"/>
        </w:rPr>
        <w:object>
          <v:shape id="_x0000_i1025" o:spt="75" type="#_x0000_t75" style="height:55.85pt;width:72.25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p>
    <w:p>
      <w:pPr>
        <w:overflowPunct w:val="0"/>
        <w:adjustRightInd w:val="0"/>
        <w:snapToGrid w:val="0"/>
        <w:spacing w:line="540" w:lineRule="exact"/>
        <w:ind w:firstLine="637" w:firstLineChars="150"/>
        <w:rPr>
          <w:rFonts w:ascii="仿宋_GB2312" w:hAnsi="楷体" w:eastAsia="仿宋_GB2312" w:cs="Times New Roman"/>
          <w:bCs/>
          <w:snapToGrid w:val="0"/>
          <w:kern w:val="0"/>
          <w:sz w:val="32"/>
          <w:szCs w:val="32"/>
        </w:rPr>
      </w:pPr>
      <w:r>
        <w:rPr>
          <w:rFonts w:ascii="仿宋_GB2312" w:hAnsi="楷体" w:eastAsia="仿宋_GB2312" w:cs="Times New Roman"/>
          <w:bCs/>
          <w:snapToGrid w:val="0"/>
          <w:kern w:val="0"/>
          <w:sz w:val="32"/>
          <w:szCs w:val="32"/>
        </w:rPr>
        <w:t>ri</w:t>
      </w:r>
      <w:r>
        <w:rPr>
          <w:rFonts w:ascii="仿宋_GB2312" w:hAnsi="楷体" w:eastAsia="仿宋_GB2312" w:cs="Times New Roman"/>
          <w:bCs/>
          <w:snapToGrid w:val="0"/>
          <w:kern w:val="0"/>
          <w:sz w:val="32"/>
          <w:szCs w:val="32"/>
        </w:rPr>
        <w:fldChar w:fldCharType="begin"/>
      </w:r>
      <w:r>
        <w:rPr>
          <w:rFonts w:ascii="仿宋_GB2312" w:hAnsi="楷体" w:eastAsia="仿宋_GB2312" w:cs="Times New Roman"/>
          <w:bCs/>
          <w:snapToGrid w:val="0"/>
          <w:kern w:val="0"/>
          <w:sz w:val="32"/>
          <w:szCs w:val="32"/>
        </w:rPr>
        <w:instrText xml:space="preserve"> eqf(3,4) </w:instrText>
      </w:r>
      <w:r>
        <w:rPr>
          <w:rFonts w:ascii="仿宋_GB2312" w:hAnsi="楷体" w:eastAsia="仿宋_GB2312" w:cs="Times New Roman"/>
          <w:bCs/>
          <w:snapToGrid w:val="0"/>
          <w:kern w:val="0"/>
          <w:sz w:val="32"/>
          <w:szCs w:val="32"/>
        </w:rPr>
        <w:fldChar w:fldCharType="end"/>
      </w:r>
      <w:r>
        <w:rPr>
          <w:rFonts w:ascii="仿宋_GB2312" w:hAnsi="楷体" w:eastAsia="仿宋_GB2312" w:cs="Times New Roman"/>
          <w:bCs/>
          <w:snapToGrid w:val="0"/>
          <w:kern w:val="0"/>
          <w:sz w:val="32"/>
          <w:szCs w:val="32"/>
        </w:rPr>
        <w:fldChar w:fldCharType="begin"/>
      </w:r>
      <w:r>
        <w:rPr>
          <w:rFonts w:ascii="仿宋_GB2312" w:hAnsi="楷体" w:eastAsia="仿宋_GB2312" w:cs="Times New Roman"/>
          <w:bCs/>
          <w:snapToGrid w:val="0"/>
          <w:kern w:val="0"/>
          <w:sz w:val="32"/>
          <w:szCs w:val="32"/>
        </w:rPr>
        <w:instrText xml:space="preserve"> eqf() </w:instrText>
      </w:r>
      <w:r>
        <w:rPr>
          <w:rFonts w:ascii="仿宋_GB2312" w:hAnsi="楷体" w:eastAsia="仿宋_GB2312" w:cs="Times New Roman"/>
          <w:bCs/>
          <w:snapToGrid w:val="0"/>
          <w:kern w:val="0"/>
          <w:sz w:val="32"/>
          <w:szCs w:val="32"/>
        </w:rPr>
        <w:fldChar w:fldCharType="end"/>
      </w:r>
      <w:r>
        <w:rPr>
          <w:rFonts w:hint="eastAsia" w:ascii="仿宋_GB2312" w:hAnsi="楷体" w:eastAsia="仿宋_GB2312" w:cs="Times New Roman"/>
          <w:bCs/>
          <w:snapToGrid w:val="0"/>
          <w:kern w:val="0"/>
          <w:sz w:val="32"/>
          <w:szCs w:val="32"/>
        </w:rPr>
        <w:t>第</w:t>
      </w:r>
      <w:r>
        <w:rPr>
          <w:rFonts w:ascii="仿宋_GB2312" w:hAnsi="楷体" w:eastAsia="仿宋_GB2312" w:cs="Times New Roman"/>
          <w:bCs/>
          <w:snapToGrid w:val="0"/>
          <w:kern w:val="0"/>
          <w:sz w:val="32"/>
          <w:szCs w:val="32"/>
        </w:rPr>
        <w:t>i</w:t>
      </w:r>
      <w:r>
        <w:rPr>
          <w:rFonts w:hint="eastAsia" w:ascii="仿宋_GB2312" w:hAnsi="楷体" w:eastAsia="仿宋_GB2312" w:cs="Times New Roman"/>
          <w:bCs/>
          <w:snapToGrid w:val="0"/>
          <w:kern w:val="0"/>
          <w:sz w:val="32"/>
          <w:szCs w:val="32"/>
        </w:rPr>
        <w:t>个共伴生矿产利用率</w:t>
      </w:r>
      <w:r>
        <w:rPr>
          <w:rFonts w:ascii="仿宋_GB2312" w:hAnsi="楷体" w:eastAsia="仿宋_GB2312" w:cs="Times New Roman"/>
          <w:bCs/>
          <w:snapToGrid w:val="0"/>
          <w:kern w:val="0"/>
          <w:sz w:val="32"/>
          <w:szCs w:val="32"/>
        </w:rPr>
        <w:t>,</w:t>
      </w:r>
      <w:r>
        <w:rPr>
          <w:rFonts w:hint="eastAsia" w:ascii="仿宋_GB2312" w:hAnsi="楷体" w:eastAsia="仿宋_GB2312" w:cs="Times New Roman"/>
          <w:bCs/>
          <w:snapToGrid w:val="0"/>
          <w:kern w:val="0"/>
          <w:sz w:val="32"/>
          <w:szCs w:val="32"/>
        </w:rPr>
        <w:t>是指第</w:t>
      </w:r>
      <w:r>
        <w:rPr>
          <w:rFonts w:ascii="仿宋_GB2312" w:hAnsi="楷体" w:eastAsia="仿宋_GB2312" w:cs="Times New Roman"/>
          <w:bCs/>
          <w:snapToGrid w:val="0"/>
          <w:kern w:val="0"/>
          <w:sz w:val="32"/>
          <w:szCs w:val="32"/>
        </w:rPr>
        <w:t>i</w:t>
      </w:r>
      <w:r>
        <w:rPr>
          <w:rFonts w:hint="eastAsia" w:ascii="仿宋_GB2312" w:hAnsi="楷体" w:eastAsia="仿宋_GB2312" w:cs="Times New Roman"/>
          <w:bCs/>
          <w:snapToGrid w:val="0"/>
          <w:kern w:val="0"/>
          <w:sz w:val="32"/>
          <w:szCs w:val="32"/>
        </w:rPr>
        <w:t>个共伴生矿产年度利用量与该矿产年度开采动用资源量的百分比。</w:t>
      </w:r>
    </w:p>
    <w:p>
      <w:pPr>
        <w:overflowPunct w:val="0"/>
        <w:adjustRightInd w:val="0"/>
        <w:snapToGrid w:val="0"/>
        <w:spacing w:line="540" w:lineRule="exact"/>
        <w:ind w:firstLine="637" w:firstLineChars="150"/>
        <w:rPr>
          <w:rFonts w:hint="eastAsia" w:ascii="仿宋_GB2312" w:hAnsi="楷体" w:eastAsia="仿宋_GB2312" w:cs="Times New Roman"/>
          <w:bCs/>
          <w:snapToGrid w:val="0"/>
          <w:kern w:val="0"/>
          <w:sz w:val="32"/>
          <w:szCs w:val="32"/>
        </w:rPr>
      </w:pPr>
      <w:r>
        <w:rPr>
          <w:rFonts w:ascii="仿宋_GB2312" w:hAnsi="楷体" w:eastAsia="仿宋_GB2312" w:cs="Times New Roman"/>
          <w:bCs/>
          <w:snapToGrid w:val="0"/>
          <w:kern w:val="0"/>
          <w:sz w:val="32"/>
          <w:szCs w:val="32"/>
        </w:rPr>
        <w:t>n</w:t>
      </w:r>
      <w:r>
        <w:rPr>
          <w:rFonts w:hint="eastAsia" w:ascii="仿宋_GB2312" w:hAnsi="楷体" w:eastAsia="仿宋_GB2312" w:cs="Times New Roman"/>
          <w:bCs/>
          <w:snapToGrid w:val="0"/>
          <w:kern w:val="0"/>
          <w:sz w:val="32"/>
          <w:szCs w:val="32"/>
        </w:rPr>
        <w:t>与煤共伴生矿产个数</w:t>
      </w:r>
    </w:p>
    <w:p>
      <w:pPr>
        <w:overflowPunct w:val="0"/>
        <w:adjustRightInd w:val="0"/>
        <w:snapToGrid w:val="0"/>
        <w:spacing w:line="540" w:lineRule="exact"/>
        <w:ind w:firstLine="637" w:firstLineChars="150"/>
        <w:rPr>
          <w:rFonts w:ascii="仿宋_GB2312" w:hAnsi="楷体" w:eastAsia="仿宋_GB2312" w:cs="Times New Roman"/>
          <w:bCs/>
          <w:snapToGrid w:val="0"/>
          <w:kern w:val="0"/>
          <w:sz w:val="32"/>
          <w:szCs w:val="32"/>
          <w:highlight w:val="yellow"/>
        </w:rPr>
      </w:pPr>
      <w:r>
        <w:rPr>
          <w:rFonts w:hint="eastAsia" w:ascii="仿宋_GB2312" w:hAnsi="楷体" w:eastAsia="仿宋_GB2312" w:cs="Times New Roman"/>
          <w:bCs/>
          <w:snapToGrid w:val="0"/>
          <w:kern w:val="0"/>
          <w:sz w:val="32"/>
          <w:szCs w:val="32"/>
        </w:rPr>
        <w:t>本指标要求自2023年6月</w:t>
      </w:r>
      <w:r>
        <w:rPr>
          <w:rFonts w:ascii="仿宋_GB2312" w:hAnsi="楷体" w:eastAsia="仿宋_GB2312" w:cs="Times New Roman"/>
          <w:bCs/>
          <w:snapToGrid w:val="0"/>
          <w:kern w:val="0"/>
          <w:sz w:val="32"/>
          <w:szCs w:val="32"/>
        </w:rPr>
        <w:t>13</w:t>
      </w:r>
      <w:r>
        <w:rPr>
          <w:rFonts w:hint="eastAsia" w:ascii="仿宋_GB2312" w:hAnsi="楷体" w:eastAsia="仿宋_GB2312" w:cs="Times New Roman"/>
          <w:bCs/>
          <w:snapToGrid w:val="0"/>
          <w:kern w:val="0"/>
          <w:sz w:val="32"/>
          <w:szCs w:val="32"/>
        </w:rPr>
        <w:t>日起施行，有效期至2028年6月</w:t>
      </w:r>
      <w:r>
        <w:rPr>
          <w:rFonts w:ascii="仿宋_GB2312" w:hAnsi="楷体" w:eastAsia="仿宋_GB2312" w:cs="Times New Roman"/>
          <w:bCs/>
          <w:snapToGrid w:val="0"/>
          <w:kern w:val="0"/>
          <w:sz w:val="32"/>
          <w:szCs w:val="32"/>
        </w:rPr>
        <w:t>12</w:t>
      </w:r>
      <w:r>
        <w:rPr>
          <w:rFonts w:hint="eastAsia" w:ascii="仿宋_GB2312" w:hAnsi="楷体" w:eastAsia="仿宋_GB2312" w:cs="Times New Roman"/>
          <w:bCs/>
          <w:snapToGrid w:val="0"/>
          <w:kern w:val="0"/>
          <w:sz w:val="32"/>
          <w:szCs w:val="32"/>
        </w:rPr>
        <w:t>日。</w:t>
      </w:r>
    </w:p>
    <w:p>
      <w:pPr>
        <w:overflowPunct w:val="0"/>
        <w:adjustRightInd w:val="0"/>
        <w:snapToGrid w:val="0"/>
        <w:spacing w:line="560" w:lineRule="exact"/>
        <w:ind w:firstLine="0" w:firstLineChars="0"/>
        <w:rPr>
          <w:rFonts w:hint="eastAsia"/>
          <w:bCs/>
          <w:snapToGrid w:val="0"/>
          <w:kern w:val="0"/>
          <w:sz w:val="32"/>
          <w:szCs w:val="32"/>
        </w:rPr>
      </w:pPr>
    </w:p>
    <w:p>
      <w:pPr>
        <w:overflowPunct w:val="0"/>
        <w:adjustRightInd w:val="0"/>
        <w:snapToGrid w:val="0"/>
        <w:spacing w:line="560" w:lineRule="exact"/>
        <w:ind w:firstLine="637" w:firstLineChars="150"/>
        <w:rPr>
          <w:rFonts w:hint="eastAsia"/>
          <w:bCs/>
          <w:snapToGrid w:val="0"/>
          <w:kern w:val="0"/>
          <w:sz w:val="32"/>
          <w:szCs w:val="32"/>
        </w:rPr>
      </w:pPr>
    </w:p>
    <w:sectPr>
      <w:headerReference r:id="rId3" w:type="default"/>
      <w:footerReference r:id="rId5" w:type="default"/>
      <w:headerReference r:id="rId4" w:type="even"/>
      <w:footerReference r:id="rId6" w:type="even"/>
      <w:pgSz w:w="11906" w:h="16838"/>
      <w:pgMar w:top="2098" w:right="1474" w:bottom="1985" w:left="1588" w:header="851" w:footer="1418" w:gutter="0"/>
      <w:pgNumType w:fmt="numberInDash" w:start="17"/>
      <w:cols w:space="425" w:num="1"/>
      <w:docGrid w:type="linesAndChar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560" w:lineRule="exact"/>
      <w:ind w:left="210" w:leftChars="100" w:right="210" w:rightChars="100"/>
      <w:rPr>
        <w:rFonts w:hint="eastAsia" w:ascii="宋体" w:hAnsi="宋体"/>
        <w:sz w:val="28"/>
        <w:szCs w:val="28"/>
      </w:rPr>
    </w:pPr>
    <w:r>
      <w:rPr>
        <w:sz w:val="2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spacing w:line="560" w:lineRule="exact"/>
                  <w:ind w:left="210" w:leftChars="100" w:right="210" w:rightChars="100"/>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M3MmM5YWY1ZmU0NTMyOWU1OTk2YjM0MjFlYWJhNDcifQ=="/>
  </w:docVars>
  <w:rsids>
    <w:rsidRoot w:val="00E72EE6"/>
    <w:rsid w:val="000926C5"/>
    <w:rsid w:val="000E027D"/>
    <w:rsid w:val="00170721"/>
    <w:rsid w:val="001D55A3"/>
    <w:rsid w:val="00216A8F"/>
    <w:rsid w:val="0023738F"/>
    <w:rsid w:val="00297D4F"/>
    <w:rsid w:val="002A3800"/>
    <w:rsid w:val="00335008"/>
    <w:rsid w:val="003361A8"/>
    <w:rsid w:val="00340ED8"/>
    <w:rsid w:val="00351CC0"/>
    <w:rsid w:val="00362A2E"/>
    <w:rsid w:val="003D4D13"/>
    <w:rsid w:val="004177B5"/>
    <w:rsid w:val="004407FC"/>
    <w:rsid w:val="00501FDE"/>
    <w:rsid w:val="0052641B"/>
    <w:rsid w:val="005A7A14"/>
    <w:rsid w:val="00603806"/>
    <w:rsid w:val="00637BA3"/>
    <w:rsid w:val="00647565"/>
    <w:rsid w:val="00651CAA"/>
    <w:rsid w:val="006C00AE"/>
    <w:rsid w:val="006E624F"/>
    <w:rsid w:val="006E7983"/>
    <w:rsid w:val="00783BC9"/>
    <w:rsid w:val="00783D61"/>
    <w:rsid w:val="0085144B"/>
    <w:rsid w:val="008571F2"/>
    <w:rsid w:val="00887EC4"/>
    <w:rsid w:val="00915AD2"/>
    <w:rsid w:val="009F0A82"/>
    <w:rsid w:val="00A02646"/>
    <w:rsid w:val="00A14010"/>
    <w:rsid w:val="00AD1C3F"/>
    <w:rsid w:val="00B959E0"/>
    <w:rsid w:val="00CA0700"/>
    <w:rsid w:val="00CA319D"/>
    <w:rsid w:val="00CE4A6F"/>
    <w:rsid w:val="00CF7AB9"/>
    <w:rsid w:val="00D2603F"/>
    <w:rsid w:val="00DB1EAF"/>
    <w:rsid w:val="00E0323F"/>
    <w:rsid w:val="00E11539"/>
    <w:rsid w:val="00E148BD"/>
    <w:rsid w:val="00E72EE6"/>
    <w:rsid w:val="00E75D12"/>
    <w:rsid w:val="00E946C2"/>
    <w:rsid w:val="00EB4360"/>
    <w:rsid w:val="00EC3984"/>
    <w:rsid w:val="00EC3EB0"/>
    <w:rsid w:val="00F057FC"/>
    <w:rsid w:val="00F31508"/>
    <w:rsid w:val="00FE44D3"/>
    <w:rsid w:val="07E92598"/>
    <w:rsid w:val="0C473086"/>
    <w:rsid w:val="13B23F56"/>
    <w:rsid w:val="39052692"/>
    <w:rsid w:val="3DFFFBFC"/>
    <w:rsid w:val="3FCF5146"/>
    <w:rsid w:val="5DBED967"/>
    <w:rsid w:val="79B308AC"/>
    <w:rsid w:val="8B7D8DA3"/>
    <w:rsid w:val="BFFB9373"/>
    <w:rsid w:val="EE70B2E5"/>
    <w:rsid w:val="F7CA51C3"/>
  </w:rsids>
  <m:mathPr>
    <m:mathFont m:val="Cambria Math"/>
    <m:brkBin m:val="before"/>
    <m:brkBinSub m:val="--"/>
    <m:smallFrac m:val="0"/>
    <m:dispDef/>
    <m:lMargin m:val="0"/>
    <m:rMargin m:val="0"/>
    <m:defJc m:val="centerGroup"/>
    <m:wrapRight m:val="1"/>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2"/>
    <w:qFormat/>
    <w:uiPriority w:val="0"/>
    <w:pPr>
      <w:keepNext/>
      <w:keepLines/>
      <w:spacing w:before="340" w:after="330" w:line="576" w:lineRule="auto"/>
      <w:outlineLvl w:val="0"/>
    </w:pPr>
    <w:rPr>
      <w:b/>
      <w:kern w:val="44"/>
      <w:sz w:val="44"/>
    </w:rPr>
  </w:style>
  <w:style w:type="paragraph" w:styleId="3">
    <w:name w:val="heading 2"/>
    <w:basedOn w:val="1"/>
    <w:next w:val="1"/>
    <w:link w:val="13"/>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toc 3"/>
    <w:basedOn w:val="1"/>
    <w:next w:val="1"/>
    <w:qFormat/>
    <w:uiPriority w:val="39"/>
    <w:pPr>
      <w:widowControl/>
      <w:spacing w:after="100" w:line="276" w:lineRule="auto"/>
      <w:ind w:left="440"/>
      <w:jc w:val="left"/>
    </w:pPr>
    <w:rPr>
      <w:rFonts w:cs="宋体"/>
      <w:kern w:val="0"/>
      <w:sz w:val="22"/>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2"/>
    <w:basedOn w:val="1"/>
    <w:next w:val="1"/>
    <w:qFormat/>
    <w:uiPriority w:val="39"/>
    <w:pPr>
      <w:widowControl/>
      <w:tabs>
        <w:tab w:val="right" w:leader="dot" w:pos="8296"/>
      </w:tabs>
      <w:spacing w:after="100" w:line="276" w:lineRule="auto"/>
      <w:jc w:val="left"/>
    </w:pPr>
    <w:rPr>
      <w:rFonts w:cs="宋体"/>
      <w:kern w:val="0"/>
      <w:sz w:val="22"/>
    </w:rPr>
  </w:style>
  <w:style w:type="paragraph" w:styleId="9">
    <w:name w:val="Title"/>
    <w:basedOn w:val="1"/>
    <w:next w:val="1"/>
    <w:link w:val="14"/>
    <w:qFormat/>
    <w:uiPriority w:val="0"/>
    <w:pPr>
      <w:spacing w:before="240" w:after="60"/>
      <w:jc w:val="center"/>
      <w:outlineLvl w:val="0"/>
    </w:pPr>
    <w:rPr>
      <w:rFonts w:ascii="Cambria" w:hAnsi="Cambria" w:cs="Times New Roman"/>
      <w:b/>
      <w:bCs/>
      <w:sz w:val="32"/>
      <w:szCs w:val="32"/>
    </w:rPr>
  </w:style>
  <w:style w:type="character" w:customStyle="1" w:styleId="12">
    <w:name w:val="标题 1 字符"/>
    <w:link w:val="2"/>
    <w:qFormat/>
    <w:uiPriority w:val="0"/>
    <w:rPr>
      <w:rFonts w:cs="黑体"/>
      <w:b/>
      <w:kern w:val="44"/>
      <w:sz w:val="44"/>
      <w:szCs w:val="22"/>
    </w:rPr>
  </w:style>
  <w:style w:type="character" w:customStyle="1" w:styleId="13">
    <w:name w:val="标题 2 字符"/>
    <w:link w:val="3"/>
    <w:qFormat/>
    <w:uiPriority w:val="0"/>
    <w:rPr>
      <w:rFonts w:ascii="Arial" w:hAnsi="Arial" w:eastAsia="黑体" w:cs="黑体"/>
      <w:b/>
      <w:kern w:val="2"/>
      <w:sz w:val="32"/>
      <w:szCs w:val="22"/>
    </w:rPr>
  </w:style>
  <w:style w:type="character" w:customStyle="1" w:styleId="14">
    <w:name w:val="标题 字符"/>
    <w:link w:val="9"/>
    <w:qFormat/>
    <w:uiPriority w:val="0"/>
    <w:rPr>
      <w:rFonts w:ascii="Cambria" w:hAnsi="Cambria" w:cs="Times New Roman"/>
      <w:b/>
      <w:bCs/>
      <w:kern w:val="2"/>
      <w:sz w:val="32"/>
      <w:szCs w:val="32"/>
    </w:rPr>
  </w:style>
  <w:style w:type="character" w:customStyle="1" w:styleId="15">
    <w:name w:val="页眉 字符"/>
    <w:link w:val="7"/>
    <w:qFormat/>
    <w:uiPriority w:val="99"/>
    <w:rPr>
      <w:rFonts w:cs="黑体"/>
      <w:kern w:val="2"/>
      <w:sz w:val="18"/>
      <w:szCs w:val="18"/>
    </w:rPr>
  </w:style>
  <w:style w:type="character" w:customStyle="1" w:styleId="16">
    <w:name w:val="页脚 字符"/>
    <w:link w:val="6"/>
    <w:qFormat/>
    <w:uiPriority w:val="99"/>
    <w:rPr>
      <w:rFonts w:cs="黑体"/>
      <w:kern w:val="2"/>
      <w:sz w:val="18"/>
      <w:szCs w:val="18"/>
    </w:rPr>
  </w:style>
  <w:style w:type="character" w:customStyle="1" w:styleId="17">
    <w:name w:val="批注框文本 字符"/>
    <w:link w:val="5"/>
    <w:semiHidden/>
    <w:qFormat/>
    <w:uiPriority w:val="99"/>
    <w:rPr>
      <w:rFonts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1548</Words>
  <Characters>1605</Characters>
  <Lines>12</Lines>
  <Paragraphs>3</Paragraphs>
  <TotalTime>0</TotalTime>
  <ScaleCrop>false</ScaleCrop>
  <LinksUpToDate>false</LinksUpToDate>
  <CharactersWithSpaces>1606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2023-05-11T02:04:00Z</dcterms:created>
  <dc:creator>AutoBVT</dc:creator>
  <cp:lastModifiedBy>风雨彩虹</cp:lastModifiedBy>
  <cp:lastPrinted>2023-06-03T03:28:00Z</cp:lastPrinted>
  <dcterms:modified xsi:type="dcterms:W3CDTF">2023-06-19T07:11:48Z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769629CA9FDF488B8FCBCFD0AF4D33D4_12</vt:lpwstr>
  </property>
  <property fmtid="{D5CDD505-2E9C-101B-9397-08002B2CF9AE}" pid="3" name="KSOProductBuildVer">
    <vt:lpwstr>2052-11.1.0.13703</vt:lpwstr>
  </property>
</Properties>
</file>