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ascii="黑体" w:hAnsi="黑体" w:eastAsia="黑体"/>
          <w:bCs/>
          <w:snapToGrid w:val="0"/>
          <w:kern w:val="0"/>
          <w:sz w:val="32"/>
          <w:szCs w:val="32"/>
        </w:rPr>
      </w:pPr>
      <w:r>
        <w:rPr>
          <w:rFonts w:hint="eastAsia" w:ascii="黑体" w:hAnsi="黑体" w:eastAsia="黑体"/>
          <w:bCs/>
          <w:snapToGrid w:val="0"/>
          <w:kern w:val="0"/>
          <w:sz w:val="32"/>
          <w:szCs w:val="32"/>
        </w:rPr>
        <w:t xml:space="preserve">附件1 </w:t>
      </w:r>
    </w:p>
    <w:p>
      <w:pPr>
        <w:overflowPunct w:val="0"/>
        <w:adjustRightInd w:val="0"/>
        <w:snapToGrid w:val="0"/>
        <w:spacing w:line="600" w:lineRule="exact"/>
        <w:rPr>
          <w:rFonts w:ascii="黑体" w:hAnsi="黑体" w:eastAsia="黑体"/>
          <w:bCs/>
          <w:snapToGrid w:val="0"/>
          <w:kern w:val="0"/>
          <w:sz w:val="32"/>
          <w:szCs w:val="32"/>
        </w:rPr>
      </w:pPr>
    </w:p>
    <w:p>
      <w:pPr>
        <w:overflowPunct w:val="0"/>
        <w:adjustRightInd w:val="0"/>
        <w:snapToGrid w:val="0"/>
        <w:spacing w:line="600" w:lineRule="exact"/>
        <w:jc w:val="center"/>
        <w:rPr>
          <w:rFonts w:ascii="方正小标宋简体" w:hAnsi="方正小标宋简体" w:eastAsia="方正小标宋简体" w:cs="方正小标宋简体"/>
          <w:bCs/>
          <w:snapToGrid w:val="0"/>
          <w:kern w:val="0"/>
          <w:sz w:val="44"/>
          <w:szCs w:val="32"/>
        </w:rPr>
      </w:pPr>
      <w:r>
        <w:rPr>
          <w:rFonts w:hint="eastAsia" w:ascii="方正小标宋简体" w:hAnsi="方正小标宋简体" w:eastAsia="方正小标宋简体" w:cs="方正小标宋简体"/>
          <w:bCs/>
          <w:snapToGrid w:val="0"/>
          <w:kern w:val="0"/>
          <w:sz w:val="44"/>
          <w:szCs w:val="32"/>
        </w:rPr>
        <w:t>山东省金矿资源合理开发利用“三率”</w:t>
      </w:r>
    </w:p>
    <w:p>
      <w:pPr>
        <w:overflowPunct w:val="0"/>
        <w:adjustRightInd w:val="0"/>
        <w:snapToGrid w:val="0"/>
        <w:spacing w:line="600" w:lineRule="exact"/>
        <w:jc w:val="center"/>
        <w:rPr>
          <w:rFonts w:ascii="方正小标宋简体" w:hAnsi="方正小标宋简体" w:eastAsia="方正小标宋简体" w:cs="方正小标宋简体"/>
          <w:bCs/>
          <w:snapToGrid w:val="0"/>
          <w:kern w:val="0"/>
          <w:sz w:val="44"/>
          <w:szCs w:val="32"/>
        </w:rPr>
      </w:pPr>
      <w:r>
        <w:rPr>
          <w:rFonts w:hint="eastAsia" w:ascii="方正小标宋简体" w:hAnsi="方正小标宋简体" w:eastAsia="方正小标宋简体" w:cs="方正小标宋简体"/>
          <w:bCs/>
          <w:snapToGrid w:val="0"/>
          <w:kern w:val="0"/>
          <w:sz w:val="44"/>
          <w:szCs w:val="32"/>
        </w:rPr>
        <w:t>最低指标要求</w:t>
      </w:r>
      <w:r>
        <w:rPr>
          <w:rFonts w:hint="eastAsia" w:ascii="方正小标宋简体" w:hAnsi="Times New Roman" w:eastAsia="方正小标宋简体"/>
          <w:bCs/>
          <w:snapToGrid w:val="0"/>
          <w:kern w:val="0"/>
          <w:sz w:val="44"/>
          <w:szCs w:val="32"/>
        </w:rPr>
        <w:t>（</w:t>
      </w:r>
      <w:r>
        <w:rPr>
          <w:rFonts w:hint="eastAsia" w:ascii="方正小标宋简体" w:hAnsi="方正小标宋简体" w:eastAsia="方正小标宋简体" w:cs="方正小标宋简体"/>
          <w:bCs/>
          <w:snapToGrid w:val="0"/>
          <w:kern w:val="0"/>
          <w:sz w:val="44"/>
          <w:szCs w:val="32"/>
        </w:rPr>
        <w:t>修订版</w:t>
      </w:r>
      <w:r>
        <w:rPr>
          <w:rFonts w:hint="eastAsia" w:ascii="方正小标宋简体" w:hAnsi="Times New Roman" w:eastAsia="方正小标宋简体"/>
          <w:bCs/>
          <w:snapToGrid w:val="0"/>
          <w:kern w:val="0"/>
          <w:sz w:val="44"/>
          <w:szCs w:val="32"/>
        </w:rPr>
        <w:t>）</w:t>
      </w:r>
    </w:p>
    <w:p>
      <w:pPr>
        <w:overflowPunct w:val="0"/>
        <w:adjustRightInd w:val="0"/>
        <w:snapToGrid w:val="0"/>
        <w:spacing w:line="600" w:lineRule="exact"/>
        <w:rPr>
          <w:rFonts w:ascii="Times New Roman" w:hAnsi="Times New Roman" w:eastAsia="仿宋_GB2312"/>
          <w:bCs/>
          <w:snapToGrid w:val="0"/>
          <w:kern w:val="0"/>
          <w:sz w:val="32"/>
          <w:szCs w:val="32"/>
        </w:rPr>
      </w:pPr>
    </w:p>
    <w:p>
      <w:pPr>
        <w:overflowPunct w:val="0"/>
        <w:adjustRightInd w:val="0"/>
        <w:snapToGrid w:val="0"/>
        <w:spacing w:line="600" w:lineRule="exact"/>
        <w:ind w:firstLine="637" w:firstLineChars="150"/>
        <w:rPr>
          <w:rFonts w:ascii="仿宋_GB2312" w:hAnsi="Times New Roman" w:eastAsia="仿宋_GB2312"/>
          <w:bCs/>
          <w:snapToGrid w:val="0"/>
          <w:color w:val="FF0000"/>
          <w:kern w:val="0"/>
          <w:sz w:val="32"/>
          <w:szCs w:val="32"/>
        </w:rPr>
      </w:pPr>
      <w:r>
        <w:rPr>
          <w:rFonts w:hint="eastAsia" w:ascii="仿宋_GB2312" w:hAnsi="Times New Roman" w:eastAsia="仿宋_GB2312"/>
          <w:bCs/>
          <w:snapToGrid w:val="0"/>
          <w:kern w:val="0"/>
          <w:sz w:val="32"/>
          <w:szCs w:val="32"/>
        </w:rPr>
        <w:t>金矿资源合理开发利用“三率”是指金矿开采回采率、选矿（冶）回收率和综合利用率等三项指标，是评价金矿企业开发利用矿产资源效果的主要指标。根据原山东省国土资源厅《关于金铁煤等矿产资源合理开发利用“三率”最低指标要求的公告》（鲁国土资规〔2017〕5号）等有关文件要求，为进一步全面贯彻落实</w:t>
      </w:r>
      <w:r>
        <w:rPr>
          <w:rFonts w:hint="eastAsia" w:ascii="仿宋_GB2312" w:eastAsia="仿宋_GB2312"/>
          <w:bCs/>
          <w:snapToGrid w:val="0"/>
          <w:kern w:val="0"/>
          <w:sz w:val="32"/>
          <w:szCs w:val="32"/>
        </w:rPr>
        <w:t>能源资源安全</w:t>
      </w:r>
      <w:r>
        <w:rPr>
          <w:rFonts w:hint="eastAsia" w:ascii="仿宋_GB2312" w:hAnsi="Times New Roman" w:eastAsia="仿宋_GB2312"/>
          <w:bCs/>
          <w:snapToGrid w:val="0"/>
          <w:kern w:val="0"/>
          <w:sz w:val="32"/>
          <w:szCs w:val="32"/>
        </w:rPr>
        <w:t>战略，提高我省金矿资源合理开发利用水平，适应我省金矿开发利用行业目前技术发展基础和现状，经调查研究，确定金矿“三率”最低指标要求如下：</w:t>
      </w:r>
    </w:p>
    <w:p>
      <w:pPr>
        <w:overflowPunct w:val="0"/>
        <w:adjustRightInd w:val="0"/>
        <w:snapToGrid w:val="0"/>
        <w:spacing w:line="600" w:lineRule="exact"/>
        <w:ind w:firstLine="637" w:firstLineChars="150"/>
        <w:outlineLvl w:val="0"/>
        <w:rPr>
          <w:rFonts w:ascii="黑体" w:hAnsi="黑体" w:eastAsia="黑体"/>
          <w:bCs/>
          <w:snapToGrid w:val="0"/>
          <w:kern w:val="0"/>
          <w:sz w:val="32"/>
          <w:szCs w:val="32"/>
        </w:rPr>
      </w:pPr>
      <w:r>
        <w:rPr>
          <w:rFonts w:ascii="黑体" w:hAnsi="黑体" w:eastAsia="黑体"/>
          <w:bCs/>
          <w:snapToGrid w:val="0"/>
          <w:kern w:val="0"/>
          <w:sz w:val="32"/>
          <w:szCs w:val="32"/>
        </w:rPr>
        <w:t>一、“三率”指标要求</w:t>
      </w:r>
    </w:p>
    <w:p>
      <w:pPr>
        <w:overflowPunct w:val="0"/>
        <w:adjustRightInd w:val="0"/>
        <w:snapToGrid w:val="0"/>
        <w:spacing w:line="600" w:lineRule="exact"/>
        <w:ind w:firstLine="637" w:firstLineChars="150"/>
        <w:outlineLvl w:val="0"/>
        <w:rPr>
          <w:rFonts w:ascii="Times New Roman" w:hAnsi="Times New Roman" w:eastAsia="楷体_GB2312"/>
          <w:bCs/>
          <w:snapToGrid w:val="0"/>
          <w:kern w:val="0"/>
          <w:sz w:val="32"/>
          <w:szCs w:val="32"/>
        </w:rPr>
      </w:pPr>
      <w:r>
        <w:rPr>
          <w:rFonts w:ascii="Times New Roman" w:hAnsi="Times New Roman" w:eastAsia="楷体_GB2312"/>
          <w:bCs/>
          <w:snapToGrid w:val="0"/>
          <w:kern w:val="0"/>
          <w:sz w:val="32"/>
          <w:szCs w:val="32"/>
        </w:rPr>
        <w:t>（一）开采回采率</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1.露天开采</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露天开采矿山的开采回收率在矿石贫化率不超过20%的前提下达到95%以上。</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2.地下开采</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按照金矿不同的赋存条件，地下开采矿山的开采回采率要在设计矿石贫化率范围内达到以下指标要求（详见表1）。</w:t>
      </w:r>
    </w:p>
    <w:p>
      <w:pPr>
        <w:overflowPunct w:val="0"/>
        <w:adjustRightInd w:val="0"/>
        <w:snapToGrid w:val="0"/>
        <w:spacing w:line="600" w:lineRule="exact"/>
        <w:ind w:firstLine="0" w:firstLineChars="0"/>
        <w:jc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表1  地下矿山开采回采率指标要求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102"/>
        <w:gridCol w:w="176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43" w:type="pct"/>
            <w:shd w:val="clear" w:color="auto" w:fill="auto"/>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围岩稳固性</w:t>
            </w:r>
            <w:r>
              <w:rPr>
                <w:rFonts w:ascii="黑体" w:hAnsi="黑体" w:eastAsia="黑体"/>
                <w:bCs/>
                <w:snapToGrid w:val="0"/>
                <w:kern w:val="0"/>
                <w:sz w:val="32"/>
                <w:szCs w:val="32"/>
                <w:vertAlign w:val="superscript"/>
              </w:rPr>
              <w:t>①</w:t>
            </w:r>
          </w:p>
        </w:tc>
        <w:tc>
          <w:tcPr>
            <w:tcW w:w="1712" w:type="pct"/>
            <w:shd w:val="clear" w:color="auto" w:fill="auto"/>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矿体倾斜度</w:t>
            </w:r>
            <w:r>
              <w:rPr>
                <w:rFonts w:ascii="黑体" w:hAnsi="黑体" w:eastAsia="黑体"/>
                <w:bCs/>
                <w:snapToGrid w:val="0"/>
                <w:kern w:val="0"/>
                <w:sz w:val="32"/>
                <w:szCs w:val="32"/>
                <w:vertAlign w:val="superscript"/>
              </w:rPr>
              <w:t>②</w:t>
            </w:r>
          </w:p>
        </w:tc>
        <w:tc>
          <w:tcPr>
            <w:tcW w:w="973" w:type="pct"/>
            <w:shd w:val="clear" w:color="auto" w:fill="auto"/>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矿体厚度</w:t>
            </w:r>
            <w:r>
              <w:rPr>
                <w:rFonts w:ascii="黑体" w:hAnsi="黑体" w:eastAsia="黑体"/>
                <w:bCs/>
                <w:snapToGrid w:val="0"/>
                <w:kern w:val="0"/>
                <w:sz w:val="32"/>
                <w:szCs w:val="32"/>
                <w:vertAlign w:val="superscript"/>
              </w:rPr>
              <w:t>③</w:t>
            </w:r>
          </w:p>
        </w:tc>
        <w:tc>
          <w:tcPr>
            <w:tcW w:w="1172" w:type="pct"/>
            <w:shd w:val="clear" w:color="auto" w:fill="auto"/>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回采率（%）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稳固</w:t>
            </w: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缓倾斜矿体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急倾斜矿体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不稳固</w:t>
            </w: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缓倾斜与急倾斜矿体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val="0"/>
                <w:snapToGrid/>
                <w:kern w:val="2"/>
                <w:sz w:val="32"/>
                <w:szCs w:val="32"/>
              </w:rPr>
            </w:pPr>
            <w:r>
              <w:rPr>
                <w:rFonts w:hint="eastAsia" w:ascii="仿宋_GB2312" w:hAnsi="Times New Roman" w:eastAsia="仿宋_GB2312"/>
                <w:bCs/>
                <w:snapToGrid w:val="0"/>
                <w:kern w:val="0"/>
                <w:sz w:val="32"/>
                <w:szCs w:val="32"/>
              </w:rPr>
              <w:t>极不稳固</w:t>
            </w: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缓倾斜与急倾斜矿体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restar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倾斜矿体</w:t>
            </w: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薄矿体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中厚矿体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43"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712" w:type="pct"/>
            <w:vMerge w:val="continue"/>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973"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厚矿体</w:t>
            </w:r>
          </w:p>
        </w:tc>
        <w:tc>
          <w:tcPr>
            <w:tcW w:w="1172" w:type="pct"/>
            <w:shd w:val="clear" w:color="auto" w:fill="auto"/>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75</w:t>
            </w:r>
          </w:p>
        </w:tc>
      </w:tr>
    </w:tbl>
    <w:p>
      <w:pPr>
        <w:pStyle w:val="5"/>
        <w:overflowPunct w:val="0"/>
        <w:adjustRightInd w:val="0"/>
        <w:spacing w:line="560" w:lineRule="exact"/>
        <w:ind w:firstLine="637" w:firstLineChars="150"/>
        <w:jc w:val="both"/>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①根据《工程岩体分级标准/GB50218－94》，将矿体围岩稳固性划分为稳固（Ⅰ级、Ⅱ级、Ⅲ级）、不稳固（Ⅳ级）和极不稳固（Ⅴ级）三类；</w:t>
      </w:r>
    </w:p>
    <w:p>
      <w:pPr>
        <w:pStyle w:val="5"/>
        <w:overflowPunct w:val="0"/>
        <w:adjustRightInd w:val="0"/>
        <w:spacing w:line="560" w:lineRule="exact"/>
        <w:ind w:firstLine="637" w:firstLineChars="150"/>
        <w:jc w:val="both"/>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②根据《有色金属矿山地下开采生产技术规程》和黄金行业特点，将矿体倾斜度按倾角划分为缓倾斜矿体（α＜30°）、倾斜矿体（30°≤α≤55°）和急倾斜矿体（α＞55°）三类；</w:t>
      </w:r>
    </w:p>
    <w:p>
      <w:pPr>
        <w:pStyle w:val="5"/>
        <w:overflowPunct w:val="0"/>
        <w:adjustRightInd w:val="0"/>
        <w:spacing w:line="560" w:lineRule="exact"/>
        <w:ind w:firstLine="637" w:firstLineChars="150"/>
        <w:jc w:val="both"/>
        <w:rPr>
          <w:rFonts w:ascii="Times New Roman" w:hAnsi="Times New Roman"/>
          <w:bCs/>
          <w:snapToGrid w:val="0"/>
          <w:kern w:val="0"/>
          <w:sz w:val="32"/>
          <w:szCs w:val="32"/>
        </w:rPr>
      </w:pPr>
      <w:r>
        <w:rPr>
          <w:rFonts w:hint="eastAsia" w:ascii="仿宋_GB2312" w:hAnsi="Times New Roman" w:eastAsia="仿宋_GB2312"/>
          <w:bCs/>
          <w:snapToGrid w:val="0"/>
          <w:kern w:val="0"/>
          <w:sz w:val="32"/>
          <w:szCs w:val="32"/>
        </w:rPr>
        <w:t>③矿体厚度划分为薄矿体（h≤0.8m）、中厚矿体（0.8m＜h≤4m）和厚矿体（h＞4m）三类。</w:t>
      </w:r>
    </w:p>
    <w:p>
      <w:pPr>
        <w:overflowPunct w:val="0"/>
        <w:adjustRightInd w:val="0"/>
        <w:snapToGrid w:val="0"/>
        <w:spacing w:line="560" w:lineRule="exact"/>
        <w:ind w:firstLine="637" w:firstLineChars="150"/>
        <w:outlineLvl w:val="0"/>
        <w:rPr>
          <w:rFonts w:ascii="Times New Roman" w:hAnsi="Times New Roman" w:eastAsia="楷体_GB2312"/>
          <w:bCs/>
          <w:snapToGrid w:val="0"/>
          <w:kern w:val="0"/>
          <w:sz w:val="32"/>
          <w:szCs w:val="32"/>
        </w:rPr>
      </w:pPr>
      <w:r>
        <w:rPr>
          <w:rFonts w:ascii="Times New Roman" w:hAnsi="Times New Roman" w:eastAsia="楷体_GB2312"/>
          <w:bCs/>
          <w:snapToGrid w:val="0"/>
          <w:kern w:val="0"/>
          <w:sz w:val="32"/>
          <w:szCs w:val="32"/>
        </w:rPr>
        <w:t>（二）选矿（冶）回收率</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根据矿石加工处理的难易程度，金矿企业的选（冶）回收率应达到以下指标要求（详见表2）。</w:t>
      </w:r>
    </w:p>
    <w:p>
      <w:pPr>
        <w:overflowPunct w:val="0"/>
        <w:adjustRightInd w:val="0"/>
        <w:snapToGrid w:val="0"/>
        <w:spacing w:line="560" w:lineRule="exact"/>
        <w:ind w:firstLine="637" w:firstLineChars="150"/>
        <w:jc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表2  选矿（冶）回收率指标要求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720"/>
        <w:gridCol w:w="2977"/>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pct"/>
            <w:gridSpan w:val="2"/>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类型</w:t>
            </w:r>
            <w:r>
              <w:rPr>
                <w:rFonts w:ascii="黑体" w:hAnsi="黑体" w:eastAsia="黑体"/>
                <w:bCs/>
                <w:snapToGrid w:val="0"/>
                <w:kern w:val="0"/>
                <w:sz w:val="32"/>
                <w:szCs w:val="32"/>
                <w:vertAlign w:val="superscript"/>
              </w:rPr>
              <w:t>①</w:t>
            </w:r>
          </w:p>
        </w:tc>
        <w:tc>
          <w:tcPr>
            <w:tcW w:w="1643" w:type="pct"/>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选矿（冶）回收率</w:t>
            </w:r>
            <w:r>
              <w:rPr>
                <w:rFonts w:ascii="黑体" w:hAnsi="黑体" w:eastAsia="黑体"/>
                <w:bCs/>
                <w:snapToGrid w:val="0"/>
                <w:kern w:val="0"/>
                <w:sz w:val="32"/>
                <w:szCs w:val="32"/>
                <w:vertAlign w:val="superscript"/>
              </w:rPr>
              <w:t>②</w:t>
            </w:r>
            <w:r>
              <w:rPr>
                <w:rFonts w:ascii="黑体" w:hAnsi="黑体" w:eastAsia="黑体"/>
                <w:bCs/>
                <w:snapToGrid w:val="0"/>
                <w:kern w:val="0"/>
                <w:sz w:val="32"/>
                <w:szCs w:val="32"/>
              </w:rPr>
              <w:t xml:space="preserve"> %</w:t>
            </w:r>
          </w:p>
        </w:tc>
        <w:tc>
          <w:tcPr>
            <w:tcW w:w="1513" w:type="pct"/>
            <w:vAlign w:val="center"/>
          </w:tcPr>
          <w:p>
            <w:pPr>
              <w:overflowPunct w:val="0"/>
              <w:adjustRightInd w:val="0"/>
              <w:snapToGrid w:val="0"/>
              <w:spacing w:line="560" w:lineRule="exact"/>
              <w:jc w:val="center"/>
              <w:rPr>
                <w:rFonts w:ascii="黑体" w:hAnsi="黑体" w:eastAsia="黑体"/>
                <w:bCs/>
                <w:snapToGrid w:val="0"/>
                <w:kern w:val="0"/>
                <w:sz w:val="32"/>
                <w:szCs w:val="32"/>
              </w:rPr>
            </w:pPr>
            <w:r>
              <w:rPr>
                <w:rFonts w:ascii="黑体" w:hAnsi="黑体" w:eastAsia="黑体"/>
                <w:bCs/>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44" w:type="pct"/>
            <w:gridSpan w:val="2"/>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易处理矿石</w:t>
            </w:r>
          </w:p>
        </w:tc>
        <w:tc>
          <w:tcPr>
            <w:tcW w:w="164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88（83）</w:t>
            </w:r>
          </w:p>
        </w:tc>
        <w:tc>
          <w:tcPr>
            <w:tcW w:w="151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5" w:type="pct"/>
            <w:vMerge w:val="restart"/>
            <w:vAlign w:val="center"/>
          </w:tcPr>
          <w:p>
            <w:pPr>
              <w:overflowPunct w:val="0"/>
              <w:adjustRightInd w:val="0"/>
              <w:snapToGrid w:val="0"/>
              <w:spacing w:line="560" w:lineRule="exact"/>
              <w:jc w:val="center"/>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难处理矿石</w:t>
            </w:r>
          </w:p>
        </w:tc>
        <w:tc>
          <w:tcPr>
            <w:tcW w:w="949"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易选难冶矿石</w:t>
            </w:r>
          </w:p>
        </w:tc>
        <w:tc>
          <w:tcPr>
            <w:tcW w:w="164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85（75）</w:t>
            </w:r>
          </w:p>
        </w:tc>
        <w:tc>
          <w:tcPr>
            <w:tcW w:w="1513" w:type="pct"/>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5" w:type="pct"/>
            <w:vMerge w:val="continue"/>
            <w:vAlign w:val="center"/>
          </w:tcPr>
          <w:p>
            <w:pPr>
              <w:overflowPunct w:val="0"/>
              <w:adjustRightInd w:val="0"/>
              <w:snapToGrid w:val="0"/>
              <w:spacing w:line="560" w:lineRule="exact"/>
              <w:jc w:val="center"/>
              <w:rPr>
                <w:rFonts w:ascii="Times New Roman" w:hAnsi="Times New Roman" w:eastAsia="仿宋_GB2312"/>
                <w:bCs/>
                <w:snapToGrid w:val="0"/>
                <w:kern w:val="0"/>
                <w:sz w:val="32"/>
                <w:szCs w:val="32"/>
              </w:rPr>
            </w:pPr>
          </w:p>
        </w:tc>
        <w:tc>
          <w:tcPr>
            <w:tcW w:w="949"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难选难冶矿石</w:t>
            </w:r>
          </w:p>
        </w:tc>
        <w:tc>
          <w:tcPr>
            <w:tcW w:w="164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（70）</w:t>
            </w:r>
          </w:p>
        </w:tc>
        <w:tc>
          <w:tcPr>
            <w:tcW w:w="1513" w:type="pct"/>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44" w:type="pct"/>
            <w:gridSpan w:val="2"/>
            <w:vMerge w:val="restar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低品位矿石</w:t>
            </w:r>
          </w:p>
        </w:tc>
        <w:tc>
          <w:tcPr>
            <w:tcW w:w="164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80（75）</w:t>
            </w:r>
          </w:p>
        </w:tc>
        <w:tc>
          <w:tcPr>
            <w:tcW w:w="151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常规浮选、氰化工艺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44" w:type="pct"/>
            <w:gridSpan w:val="2"/>
            <w:vMerge w:val="continue"/>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p>
        </w:tc>
        <w:tc>
          <w:tcPr>
            <w:tcW w:w="164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（50）</w:t>
            </w:r>
          </w:p>
        </w:tc>
        <w:tc>
          <w:tcPr>
            <w:tcW w:w="1513" w:type="pct"/>
            <w:vAlign w:val="center"/>
          </w:tcPr>
          <w:p>
            <w:pPr>
              <w:overflowPunct w:val="0"/>
              <w:adjustRightInd w:val="0"/>
              <w:snapToGrid w:val="0"/>
              <w:spacing w:line="500" w:lineRule="exact"/>
              <w:jc w:val="center"/>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堆浸</w:t>
            </w:r>
          </w:p>
        </w:tc>
      </w:tr>
    </w:tbl>
    <w:p>
      <w:pPr>
        <w:pStyle w:val="5"/>
        <w:overflowPunct w:val="0"/>
        <w:adjustRightInd w:val="0"/>
        <w:spacing w:line="540" w:lineRule="exact"/>
        <w:ind w:firstLine="637" w:firstLineChars="150"/>
        <w:jc w:val="both"/>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①采用常规氰化工艺可获得较好回收率为易处理矿石；需采用焙烧、细菌氧化、热压氧化等预处理工艺为难处理矿石；低于矿山现行工业指标而圈定的矿化体为低品位矿石。矿石类型划分可参考矿山的选矿试验研究报告或设计报告；</w:t>
      </w:r>
    </w:p>
    <w:p>
      <w:pPr>
        <w:pStyle w:val="5"/>
        <w:overflowPunct w:val="0"/>
        <w:adjustRightInd w:val="0"/>
        <w:spacing w:line="540" w:lineRule="exact"/>
        <w:ind w:firstLine="637" w:firstLineChars="150"/>
        <w:jc w:val="both"/>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②按照生产金精矿或合质金产品的不同，回收率可分别称为选矿回收率或选冶回收率，括号外为选矿回收率，括号内为选冶回收率。</w:t>
      </w:r>
    </w:p>
    <w:p>
      <w:pPr>
        <w:overflowPunct w:val="0"/>
        <w:adjustRightInd w:val="0"/>
        <w:snapToGrid w:val="0"/>
        <w:spacing w:line="540" w:lineRule="exact"/>
        <w:ind w:firstLine="637" w:firstLineChars="150"/>
        <w:outlineLvl w:val="0"/>
        <w:rPr>
          <w:rFonts w:ascii="Times New Roman" w:hAnsi="Times New Roman" w:eastAsia="楷体_GB2312"/>
          <w:bCs/>
          <w:snapToGrid w:val="0"/>
          <w:kern w:val="0"/>
          <w:sz w:val="32"/>
          <w:szCs w:val="32"/>
        </w:rPr>
      </w:pPr>
      <w:r>
        <w:rPr>
          <w:rFonts w:ascii="Times New Roman" w:hAnsi="Times New Roman" w:eastAsia="楷体_GB2312"/>
          <w:bCs/>
          <w:snapToGrid w:val="0"/>
          <w:kern w:val="0"/>
          <w:sz w:val="32"/>
          <w:szCs w:val="32"/>
        </w:rPr>
        <w:t>（三）</w:t>
      </w:r>
      <w:r>
        <w:rPr>
          <w:rFonts w:hint="eastAsia" w:ascii="Times New Roman" w:hAnsi="Times New Roman" w:eastAsia="楷体_GB2312"/>
          <w:bCs/>
          <w:snapToGrid w:val="0"/>
          <w:kern w:val="0"/>
          <w:sz w:val="32"/>
          <w:szCs w:val="32"/>
        </w:rPr>
        <w:t>共伴生矿产资源</w:t>
      </w:r>
      <w:r>
        <w:rPr>
          <w:rFonts w:ascii="Times New Roman" w:hAnsi="Times New Roman" w:eastAsia="楷体_GB2312"/>
          <w:bCs/>
          <w:snapToGrid w:val="0"/>
          <w:kern w:val="0"/>
          <w:sz w:val="32"/>
          <w:szCs w:val="32"/>
        </w:rPr>
        <w:t>综合利用率</w:t>
      </w:r>
    </w:p>
    <w:p>
      <w:pPr>
        <w:tabs>
          <w:tab w:val="left" w:pos="1080"/>
        </w:tabs>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鼓励金矿企业合理开发与综合利用银、硫、铜、铅、锌等共伴生矿产资源。当金矿与其它有用组分共生时，综合利用率不低于60%；当金矿与其它有用组分伴生时，综合利用率不低于40%。选矿用水循环利用，废水零排放。</w:t>
      </w:r>
    </w:p>
    <w:p>
      <w:pPr>
        <w:overflowPunct w:val="0"/>
        <w:adjustRightInd w:val="0"/>
        <w:snapToGrid w:val="0"/>
        <w:spacing w:line="540" w:lineRule="exact"/>
        <w:ind w:firstLine="637" w:firstLineChars="150"/>
        <w:jc w:val="left"/>
        <w:rPr>
          <w:rFonts w:ascii="Times New Roman" w:hAnsi="Times New Roman" w:eastAsia="黑体"/>
          <w:bCs/>
          <w:snapToGrid w:val="0"/>
          <w:kern w:val="0"/>
          <w:sz w:val="32"/>
          <w:szCs w:val="32"/>
        </w:rPr>
      </w:pPr>
      <w:r>
        <w:rPr>
          <w:rFonts w:ascii="Times New Roman" w:hAnsi="Times New Roman" w:eastAsia="黑体"/>
          <w:bCs/>
          <w:snapToGrid w:val="0"/>
          <w:kern w:val="0"/>
          <w:sz w:val="32"/>
          <w:szCs w:val="32"/>
        </w:rPr>
        <w:t>二、监督管理</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（一）本指标要求是自然资源主管部门监督管理金矿合理开发利用矿产资源的重要依据。</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（二）本指标要求是编制和审查黄金矿产资源开发利用方案、矿山设计的依据，新建或改扩建的金矿“三率”指标应达到本指标要求。</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（三）现有生产矿山要在本指标要求发布实施之日起两年内达到本指标要求。对达不到本指标要求的</w:t>
      </w:r>
      <w:r>
        <w:rPr>
          <w:rFonts w:hint="eastAsia" w:ascii="仿宋_GB2312" w:hAnsi="Times New Roman" w:eastAsia="仿宋_GB2312"/>
          <w:bCs/>
          <w:snapToGrid w:val="0"/>
          <w:spacing w:val="-6"/>
          <w:kern w:val="0"/>
          <w:sz w:val="32"/>
          <w:szCs w:val="32"/>
        </w:rPr>
        <w:t>矿山企业，市、县级自然资源主管部门督促其限期整改。</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受矿体赋存特征、矿石质量等客观条件限制达不到本指标要求的，矿山企业应说明原因，并提交论证报告，提出改进措施。采矿权登记管理机关组织专家对矿山企业提交的报告进行论证并进行社会公示，核定其“三率”指标。</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（四）市、县级自然资源主管部门负责对辖区内矿山企业执行指标要求情况进行监督管理，不定期开展抽查和检查；定期公告符合和不符合指标要求的矿山企业名单，实行社会监督，动态管理。</w:t>
      </w:r>
    </w:p>
    <w:p>
      <w:pPr>
        <w:overflowPunct w:val="0"/>
        <w:adjustRightInd w:val="0"/>
        <w:snapToGrid w:val="0"/>
        <w:spacing w:line="540" w:lineRule="exact"/>
        <w:ind w:firstLine="637" w:firstLineChars="150"/>
        <w:rPr>
          <w:rFonts w:ascii="Times New Roman" w:hAnsi="Times New Roman" w:eastAsia="黑体"/>
          <w:bCs/>
          <w:snapToGrid w:val="0"/>
          <w:kern w:val="0"/>
          <w:sz w:val="32"/>
          <w:szCs w:val="32"/>
        </w:rPr>
      </w:pPr>
      <w:r>
        <w:rPr>
          <w:rFonts w:ascii="Times New Roman" w:hAnsi="Times New Roman" w:eastAsia="黑体"/>
          <w:bCs/>
          <w:snapToGrid w:val="0"/>
          <w:kern w:val="0"/>
          <w:sz w:val="32"/>
          <w:szCs w:val="32"/>
        </w:rPr>
        <w:t>三、指标定义与计算方法</w:t>
      </w:r>
    </w:p>
    <w:p>
      <w:pPr>
        <w:overflowPunct w:val="0"/>
        <w:adjustRightInd w:val="0"/>
        <w:snapToGrid w:val="0"/>
        <w:spacing w:line="540" w:lineRule="exact"/>
        <w:ind w:firstLine="637" w:firstLineChars="150"/>
        <w:rPr>
          <w:rFonts w:ascii="Times New Roman" w:hAnsi="Times New Roman" w:eastAsia="楷体_GB2312"/>
          <w:bCs/>
          <w:snapToGrid w:val="0"/>
          <w:kern w:val="0"/>
          <w:sz w:val="32"/>
          <w:szCs w:val="32"/>
        </w:rPr>
      </w:pPr>
      <w:r>
        <w:rPr>
          <w:rFonts w:ascii="Times New Roman" w:hAnsi="Times New Roman" w:eastAsia="楷体_GB2312"/>
          <w:bCs/>
          <w:snapToGrid w:val="0"/>
          <w:kern w:val="0"/>
          <w:sz w:val="32"/>
          <w:szCs w:val="32"/>
        </w:rPr>
        <w:t>（一）开采回采率</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1.定义</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开采回采率：在一定开采范围内，实际金矿采出资源量占动用资源量的百分比。其中动用资源量是指该开采范围内采出金矿资源量与开采损失金矿资源量之和。</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2.计算方法</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开采回采率（K）＝采出金矿资源量/动用资源量×100%</w:t>
      </w:r>
    </w:p>
    <w:p>
      <w:pPr>
        <w:overflowPunct w:val="0"/>
        <w:adjustRightInd w:val="0"/>
        <w:snapToGrid w:val="0"/>
        <w:spacing w:before="0" w:beforeLines="0" w:line="540" w:lineRule="exact"/>
        <w:ind w:right="601" w:firstLine="637" w:firstLineChars="150"/>
        <w:rPr>
          <w:rFonts w:ascii="Times New Roman" w:hAnsi="Times New Roman" w:eastAsia="楷体_GB2312"/>
          <w:bCs/>
          <w:snapToGrid w:val="0"/>
          <w:kern w:val="0"/>
          <w:sz w:val="32"/>
          <w:szCs w:val="32"/>
        </w:rPr>
      </w:pPr>
      <w:r>
        <w:rPr>
          <w:rFonts w:ascii="Times New Roman" w:hAnsi="Times New Roman" w:eastAsia="楷体_GB2312"/>
          <w:bCs/>
          <w:snapToGrid w:val="0"/>
          <w:kern w:val="0"/>
          <w:sz w:val="32"/>
          <w:szCs w:val="32"/>
        </w:rPr>
        <w:t>（二）选矿（冶）回收率</w:t>
      </w:r>
    </w:p>
    <w:p>
      <w:pPr>
        <w:overflowPunct w:val="0"/>
        <w:adjustRightInd w:val="0"/>
        <w:snapToGrid w:val="0"/>
        <w:spacing w:line="540" w:lineRule="exact"/>
        <w:ind w:firstLine="637" w:firstLineChars="150"/>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1.定义</w:t>
      </w:r>
    </w:p>
    <w:p>
      <w:pPr>
        <w:overflowPunct w:val="0"/>
        <w:adjustRightInd w:val="0"/>
        <w:snapToGrid w:val="0"/>
        <w:spacing w:line="540" w:lineRule="exact"/>
        <w:ind w:firstLine="637" w:firstLineChars="150"/>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选矿（冶）回收率：选矿（冶）产品中所含被回收有用组分的质量占入选矿石中该有用组分质量的百分比。</w:t>
      </w:r>
    </w:p>
    <w:p>
      <w:pPr>
        <w:overflowPunct w:val="0"/>
        <w:adjustRightInd w:val="0"/>
        <w:snapToGrid w:val="0"/>
        <w:spacing w:line="540" w:lineRule="exact"/>
        <w:ind w:firstLine="637" w:firstLineChars="150"/>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2.计算方法</w:t>
      </w:r>
    </w:p>
    <w:p>
      <w:pPr>
        <w:overflowPunct w:val="0"/>
        <w:adjustRightInd w:val="0"/>
        <w:snapToGrid w:val="0"/>
        <w:spacing w:line="540" w:lineRule="exact"/>
        <w:ind w:firstLine="637" w:firstLineChars="150"/>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选（冶）矿回收率（</w:t>
      </w:r>
      <w:r>
        <w:rPr>
          <w:rFonts w:eastAsia="仿宋_GB2312" w:cs="Calibri"/>
          <w:bCs/>
          <w:snapToGrid w:val="0"/>
          <w:kern w:val="0"/>
          <w:sz w:val="32"/>
          <w:szCs w:val="32"/>
        </w:rPr>
        <w:t>Ɛ</w:t>
      </w:r>
      <w:r>
        <w:rPr>
          <w:rFonts w:hint="eastAsia" w:ascii="仿宋_GB2312" w:hAnsi="楷体_GB2312" w:eastAsia="仿宋_GB2312" w:cs="楷体_GB2312"/>
          <w:bCs/>
          <w:snapToGrid w:val="0"/>
          <w:kern w:val="0"/>
          <w:sz w:val="32"/>
          <w:szCs w:val="32"/>
        </w:rPr>
        <w:t>）</w:t>
      </w:r>
      <w:r>
        <w:rPr>
          <w:rFonts w:hint="eastAsia" w:ascii="仿宋_GB2312" w:hAnsi="Times New Roman" w:eastAsia="仿宋_GB2312"/>
          <w:bCs/>
          <w:snapToGrid w:val="0"/>
          <w:kern w:val="0"/>
          <w:sz w:val="32"/>
          <w:szCs w:val="32"/>
        </w:rPr>
        <w:t>=精矿（冶炼产品）中有用组分质量/入选矿石中有用组分质量×100%</w:t>
      </w:r>
    </w:p>
    <w:p>
      <w:pPr>
        <w:overflowPunct w:val="0"/>
        <w:adjustRightInd w:val="0"/>
        <w:snapToGrid w:val="0"/>
        <w:spacing w:line="540" w:lineRule="exact"/>
        <w:ind w:firstLine="637" w:firstLineChars="150"/>
        <w:rPr>
          <w:rFonts w:ascii="Times New Roman" w:hAnsi="Times New Roman" w:eastAsia="楷体_GB2312"/>
          <w:bCs/>
          <w:snapToGrid w:val="0"/>
          <w:kern w:val="0"/>
          <w:sz w:val="32"/>
          <w:szCs w:val="32"/>
        </w:rPr>
      </w:pPr>
      <w:r>
        <w:rPr>
          <w:rFonts w:ascii="Times New Roman" w:hAnsi="Times New Roman" w:eastAsia="楷体_GB2312"/>
          <w:bCs/>
          <w:snapToGrid w:val="0"/>
          <w:kern w:val="0"/>
          <w:sz w:val="32"/>
          <w:szCs w:val="32"/>
        </w:rPr>
        <w:t>（三）共伴生矿产资源综合利用率</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1.定义</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共伴生矿产资源综合利用率：采矿和选矿（冶）生产过程中</w:t>
      </w:r>
      <w:r>
        <w:rPr>
          <w:rFonts w:hint="eastAsia" w:ascii="仿宋_GB2312" w:hAnsi="Times New Roman" w:eastAsia="仿宋_GB2312"/>
          <w:bCs/>
          <w:snapToGrid w:val="0"/>
          <w:spacing w:val="-6"/>
          <w:kern w:val="0"/>
          <w:sz w:val="32"/>
          <w:szCs w:val="32"/>
        </w:rPr>
        <w:t>回收的共伴生资源当量和占动用资源量中共伴生当量和的百分比。</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2.计算方法</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综合考虑经济、技术因素，采取对共伴生矿种进行当量折合的计算方法。</w:t>
      </w:r>
    </w:p>
    <w:p>
      <w:pPr>
        <w:overflowPunct w:val="0"/>
        <w:adjustRightInd w:val="0"/>
        <w:snapToGrid w:val="0"/>
        <w:rPr>
          <w:rFonts w:ascii="Times New Roman" w:hAnsi="Times New Roman" w:eastAsia="仿宋_GB2312"/>
          <w:bCs/>
          <w:snapToGrid w:val="0"/>
          <w:kern w:val="0"/>
          <w:sz w:val="32"/>
          <w:szCs w:val="32"/>
        </w:rPr>
      </w:pPr>
      <w:r>
        <w:rPr>
          <w:rFonts w:hint="eastAsia" w:ascii="仿宋" w:hAnsi="仿宋" w:eastAsia="仿宋"/>
          <w:bCs/>
          <w:position w:val="-26"/>
          <w:sz w:val="32"/>
          <w:szCs w:val="32"/>
        </w:rPr>
        <w:object>
          <v:shape id="_x0000_i1025" o:spt="75" type="#_x0000_t75" style="height:30.9pt;width:432.9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Times New Roman" w:hAnsi="Times New Roman" w:eastAsia="仿宋_GB2312"/>
          <w:bCs/>
          <w:snapToGrid w:val="0"/>
          <w:kern w:val="0"/>
          <w:sz w:val="32"/>
          <w:szCs w:val="32"/>
        </w:rPr>
        <w:t>经推导计算，最终得出：</w:t>
      </w:r>
    </w:p>
    <w:p>
      <w:pPr>
        <w:overflowPunct w:val="0"/>
        <w:adjustRightInd w:val="0"/>
        <w:snapToGrid w:val="0"/>
        <w:jc w:val="center"/>
        <w:rPr>
          <w:rFonts w:ascii="仿宋" w:hAnsi="仿宋" w:eastAsia="仿宋"/>
          <w:bCs/>
          <w:sz w:val="32"/>
          <w:szCs w:val="32"/>
        </w:rPr>
      </w:pPr>
      <w:r>
        <w:rPr>
          <w:rFonts w:ascii="仿宋" w:hAnsi="仿宋" w:eastAsia="仿宋"/>
          <w:bCs/>
          <w:position w:val="-62"/>
          <w:sz w:val="32"/>
          <w:szCs w:val="32"/>
        </w:rPr>
        <w:object>
          <v:shape id="_x0000_i1026" o:spt="75" type="#_x0000_t75" style="height:63.3pt;width:418.9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pPr>
        <w:overflowPunct w:val="0"/>
        <w:adjustRightInd w:val="0"/>
        <w:snapToGrid w:val="0"/>
        <w:jc w:val="both"/>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pict>
          <v:shape id="_x0000_s1027" o:spid="_x0000_s1027" o:spt="75" type="#_x0000_t75" style="position:absolute;left:0pt;margin-left:-1.5pt;margin-top:1.35pt;height:17.3pt;width:11.3pt;z-index:251659264;mso-width-relative:page;mso-height-relative:page;" o:ole="t" filled="f" o:preferrelative="t" stroked="f" coordsize="21600,21600">
            <v:path/>
            <v:fill on="f" focussize="0,0"/>
            <v:stroke on="f" joinstyle="miter"/>
            <v:imagedata r:id="rId13" o:title=""/>
            <o:lock v:ext="edit" aspectratio="t"/>
          </v:shape>
          <o:OLEObject Type="Embed" ProgID="Equation.3" ShapeID="_x0000_s1027" DrawAspect="Content" ObjectID="_1468075727" r:id="rId12">
            <o:LockedField>false</o:LockedField>
          </o:OLEObject>
        </w:pict>
      </w:r>
      <w:r>
        <w:rPr>
          <w:rFonts w:hint="eastAsia" w:ascii="仿宋_GB2312" w:hAnsi="Times New Roman" w:eastAsia="仿宋_GB2312"/>
          <w:bCs/>
          <w:snapToGrid w:val="0"/>
          <w:kern w:val="0"/>
          <w:sz w:val="32"/>
          <w:szCs w:val="32"/>
        </w:rPr>
        <w:t>式中，i：除主元素以外的第i种有价元素（有用组分），i=1，2，3…n；</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n：矿山企业利用的除主元素以外的有价元素（有用组分）的数量；</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m：矿床内除主元素以外的可利用有价元素（有用组分）的数量，i=1，2，3…m；</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选矿回收率</w:t>
      </w:r>
      <w:r>
        <w:rPr>
          <w:rFonts w:hint="eastAsia" w:ascii="仿宋_GB2312" w:hAnsi="Times New Roman" w:eastAsia="仿宋_GB2312"/>
          <w:bCs/>
          <w:snapToGrid w:val="0"/>
          <w:kern w:val="0"/>
          <w:sz w:val="32"/>
          <w:szCs w:val="32"/>
          <w:vertAlign w:val="subscript"/>
        </w:rPr>
        <w:t>主</w:t>
      </w:r>
      <w:r>
        <w:rPr>
          <w:rFonts w:hint="eastAsia" w:ascii="仿宋_GB2312" w:hAnsi="Times New Roman" w:eastAsia="仿宋_GB2312"/>
          <w:bCs/>
          <w:snapToGrid w:val="0"/>
          <w:kern w:val="0"/>
          <w:sz w:val="32"/>
          <w:szCs w:val="32"/>
        </w:rPr>
        <w:t>：矿床内价值、品位、稳定性最高的元素的选矿（冶）回收率；</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选矿回收率</w:t>
      </w:r>
      <w:r>
        <w:rPr>
          <w:rFonts w:hint="eastAsia" w:ascii="仿宋_GB2312" w:hAnsi="Times New Roman" w:eastAsia="仿宋_GB2312"/>
          <w:bCs/>
          <w:snapToGrid w:val="0"/>
          <w:kern w:val="0"/>
          <w:sz w:val="32"/>
          <w:szCs w:val="32"/>
          <w:vertAlign w:val="subscript"/>
        </w:rPr>
        <w:t>i</w:t>
      </w:r>
      <w:r>
        <w:rPr>
          <w:rFonts w:hint="eastAsia" w:ascii="仿宋_GB2312" w:hAnsi="Times New Roman" w:eastAsia="仿宋_GB2312"/>
          <w:bCs/>
          <w:snapToGrid w:val="0"/>
          <w:kern w:val="0"/>
          <w:sz w:val="32"/>
          <w:szCs w:val="32"/>
        </w:rPr>
        <w:t>：矿床内除主元素以外的第i个元素 （有用组分）的选矿（冶）回收率；</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价格</w:t>
      </w:r>
      <w:r>
        <w:rPr>
          <w:rFonts w:hint="eastAsia" w:ascii="仿宋_GB2312" w:hAnsi="Times New Roman" w:eastAsia="仿宋_GB2312"/>
          <w:bCs/>
          <w:snapToGrid w:val="0"/>
          <w:kern w:val="0"/>
          <w:sz w:val="32"/>
          <w:szCs w:val="32"/>
          <w:vertAlign w:val="subscript"/>
        </w:rPr>
        <w:t>i</w:t>
      </w:r>
      <w:r>
        <w:rPr>
          <w:rFonts w:hint="eastAsia" w:ascii="仿宋_GB2312" w:hAnsi="Times New Roman" w:eastAsia="仿宋_GB2312"/>
          <w:bCs/>
          <w:snapToGrid w:val="0"/>
          <w:kern w:val="0"/>
          <w:sz w:val="32"/>
          <w:szCs w:val="32"/>
        </w:rPr>
        <w:t>：矿床内除主元素以外的第i个元素（有用组分）的价格，一般按五年平均值计算。</w:t>
      </w:r>
    </w:p>
    <w:p>
      <w:pPr>
        <w:overflowPunct w:val="0"/>
        <w:adjustRightInd w:val="0"/>
        <w:snapToGrid w:val="0"/>
        <w:spacing w:line="5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品位</w:t>
      </w:r>
      <w:r>
        <w:rPr>
          <w:rFonts w:hint="eastAsia" w:ascii="仿宋_GB2312" w:hAnsi="Times New Roman" w:eastAsia="仿宋_GB2312"/>
          <w:bCs/>
          <w:snapToGrid w:val="0"/>
          <w:kern w:val="0"/>
          <w:sz w:val="32"/>
          <w:szCs w:val="32"/>
          <w:vertAlign w:val="subscript"/>
        </w:rPr>
        <w:t>i</w:t>
      </w:r>
      <w:r>
        <w:rPr>
          <w:rFonts w:hint="eastAsia" w:ascii="仿宋_GB2312" w:hAnsi="Times New Roman" w:eastAsia="仿宋_GB2312"/>
          <w:bCs/>
          <w:snapToGrid w:val="0"/>
          <w:kern w:val="0"/>
          <w:sz w:val="32"/>
          <w:szCs w:val="32"/>
        </w:rPr>
        <w:t>：原矿中除主元素以外的第i个元素（有用组分）的含量。</w:t>
      </w:r>
    </w:p>
    <w:p>
      <w:pPr>
        <w:overflowPunct w:val="0"/>
        <w:adjustRightInd w:val="0"/>
        <w:snapToGrid w:val="0"/>
        <w:spacing w:line="540" w:lineRule="exact"/>
        <w:ind w:firstLine="637" w:firstLineChars="150"/>
        <w:rPr>
          <w:rFonts w:ascii="Times New Roman" w:hAnsi="Times New Roman" w:eastAsia="仿宋_GB2312"/>
          <w:bCs/>
          <w:snapToGrid w:val="0"/>
          <w:kern w:val="0"/>
          <w:sz w:val="32"/>
          <w:szCs w:val="32"/>
        </w:rPr>
      </w:pPr>
      <w:r>
        <w:rPr>
          <w:rFonts w:hint="eastAsia" w:ascii="仿宋_GB2312" w:hAnsi="Times New Roman" w:eastAsia="仿宋_GB2312"/>
          <w:bCs/>
          <w:snapToGrid w:val="0"/>
          <w:kern w:val="0"/>
          <w:sz w:val="32"/>
          <w:szCs w:val="32"/>
        </w:rPr>
        <w:t>本指标要求自2023年6月</w:t>
      </w:r>
      <w:r>
        <w:rPr>
          <w:rFonts w:ascii="仿宋_GB2312" w:hAnsi="Times New Roman" w:eastAsia="仿宋_GB2312"/>
          <w:bCs/>
          <w:snapToGrid w:val="0"/>
          <w:kern w:val="0"/>
          <w:sz w:val="32"/>
          <w:szCs w:val="32"/>
        </w:rPr>
        <w:t>13</w:t>
      </w:r>
      <w:r>
        <w:rPr>
          <w:rFonts w:hint="eastAsia" w:ascii="仿宋_GB2312" w:hAnsi="Times New Roman" w:eastAsia="仿宋_GB2312"/>
          <w:bCs/>
          <w:snapToGrid w:val="0"/>
          <w:kern w:val="0"/>
          <w:sz w:val="32"/>
          <w:szCs w:val="32"/>
        </w:rPr>
        <w:t>日起施行，有效期至2028年6月</w:t>
      </w:r>
      <w:r>
        <w:rPr>
          <w:rFonts w:ascii="仿宋_GB2312" w:hAnsi="Times New Roman" w:eastAsia="仿宋_GB2312"/>
          <w:bCs/>
          <w:snapToGrid w:val="0"/>
          <w:kern w:val="0"/>
          <w:sz w:val="32"/>
          <w:szCs w:val="32"/>
        </w:rPr>
        <w:t>12</w:t>
      </w:r>
      <w:r>
        <w:rPr>
          <w:rFonts w:hint="eastAsia" w:ascii="仿宋_GB2312" w:hAnsi="Times New Roman" w:eastAsia="仿宋_GB2312"/>
          <w:bCs/>
          <w:snapToGrid w:val="0"/>
          <w:kern w:val="0"/>
          <w:sz w:val="32"/>
          <w:szCs w:val="32"/>
        </w:rPr>
        <w:t>日。</w:t>
      </w:r>
    </w:p>
    <w:sectPr>
      <w:headerReference r:id="rId3" w:type="default"/>
      <w:footerReference r:id="rId5" w:type="default"/>
      <w:headerReference r:id="rId4" w:type="even"/>
      <w:footerReference r:id="rId6" w:type="even"/>
      <w:pgSz w:w="11906" w:h="16838"/>
      <w:pgMar w:top="2098" w:right="1474" w:bottom="1985" w:left="1588" w:header="851" w:footer="1418" w:gutter="0"/>
      <w:pgNumType w:fmt="numberInDash" w:start="3"/>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560" w:lineRule="exact"/>
      <w:ind w:left="210" w:leftChars="100" w:right="210" w:rightChars="100"/>
      <w:rPr>
        <w:rFonts w:ascii="宋体" w:hAnsi="宋体"/>
        <w:sz w:val="28"/>
        <w:szCs w:val="28"/>
      </w:rPr>
    </w:pPr>
    <w:r>
      <w:rPr>
        <w:sz w:val="28"/>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spacing w:line="560" w:lineRule="exact"/>
                  <w:ind w:left="210" w:leftChars="100" w:right="210" w:rightChars="10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3MmM5YWY1ZmU0NTMyOWU1OTk2YjM0MjFlYWJhNDcifQ=="/>
  </w:docVars>
  <w:rsids>
    <w:rsidRoot w:val="00CB3E9C"/>
    <w:rsid w:val="000F534F"/>
    <w:rsid w:val="002C0B41"/>
    <w:rsid w:val="003162F3"/>
    <w:rsid w:val="00503C35"/>
    <w:rsid w:val="005A7312"/>
    <w:rsid w:val="005D5CED"/>
    <w:rsid w:val="00602420"/>
    <w:rsid w:val="006A3C81"/>
    <w:rsid w:val="006B5C6E"/>
    <w:rsid w:val="007262B1"/>
    <w:rsid w:val="007572C1"/>
    <w:rsid w:val="00773925"/>
    <w:rsid w:val="007E411C"/>
    <w:rsid w:val="007F40B4"/>
    <w:rsid w:val="00834732"/>
    <w:rsid w:val="00932506"/>
    <w:rsid w:val="009758B4"/>
    <w:rsid w:val="009B40EF"/>
    <w:rsid w:val="00A824A8"/>
    <w:rsid w:val="00B02AB9"/>
    <w:rsid w:val="00B35C15"/>
    <w:rsid w:val="00CB3E9C"/>
    <w:rsid w:val="00CC3A4E"/>
    <w:rsid w:val="00E02651"/>
    <w:rsid w:val="00EF1D86"/>
    <w:rsid w:val="00FF139E"/>
    <w:rsid w:val="03DB090D"/>
    <w:rsid w:val="05A34823"/>
    <w:rsid w:val="0B2576DC"/>
    <w:rsid w:val="0BC34A7E"/>
    <w:rsid w:val="0DFAFA03"/>
    <w:rsid w:val="16C30CC8"/>
    <w:rsid w:val="21A64A90"/>
    <w:rsid w:val="21BE024B"/>
    <w:rsid w:val="21DC5877"/>
    <w:rsid w:val="23A81AC6"/>
    <w:rsid w:val="276B3359"/>
    <w:rsid w:val="2A4179DA"/>
    <w:rsid w:val="2C612078"/>
    <w:rsid w:val="2C962F0C"/>
    <w:rsid w:val="2FF985EB"/>
    <w:rsid w:val="31BD5170"/>
    <w:rsid w:val="35E46651"/>
    <w:rsid w:val="379C3C1C"/>
    <w:rsid w:val="37D60954"/>
    <w:rsid w:val="3F3F043E"/>
    <w:rsid w:val="3FEFB394"/>
    <w:rsid w:val="443B175A"/>
    <w:rsid w:val="46D110ED"/>
    <w:rsid w:val="4BB11155"/>
    <w:rsid w:val="4C8B2404"/>
    <w:rsid w:val="53F22A93"/>
    <w:rsid w:val="5A2E8FE0"/>
    <w:rsid w:val="5BFBC68C"/>
    <w:rsid w:val="5CF1B19B"/>
    <w:rsid w:val="5CFE6ECC"/>
    <w:rsid w:val="5EFA7CCD"/>
    <w:rsid w:val="64144421"/>
    <w:rsid w:val="64A47475"/>
    <w:rsid w:val="66501B96"/>
    <w:rsid w:val="66C33EDD"/>
    <w:rsid w:val="70CEFDAC"/>
    <w:rsid w:val="714F60B7"/>
    <w:rsid w:val="751B4559"/>
    <w:rsid w:val="754D2F11"/>
    <w:rsid w:val="7AFE5995"/>
    <w:rsid w:val="7BA91D29"/>
    <w:rsid w:val="7C9F90C5"/>
    <w:rsid w:val="7F7D58EC"/>
    <w:rsid w:val="95EDDEFF"/>
    <w:rsid w:val="9D4B5CFF"/>
    <w:rsid w:val="BA7B23C6"/>
    <w:rsid w:val="EEDF9242"/>
    <w:rsid w:val="FE734873"/>
    <w:rsid w:val="FEFF6A02"/>
    <w:rsid w:val="FF7AEE5B"/>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qFormat/>
    <w:uiPriority w:val="0"/>
    <w:pPr>
      <w:snapToGrid w:val="0"/>
      <w:jc w:val="left"/>
    </w:pPr>
    <w:rPr>
      <w:sz w:val="15"/>
      <w:szCs w:val="18"/>
    </w:rPr>
  </w:style>
  <w:style w:type="character" w:styleId="8">
    <w:name w:val="page number"/>
    <w:basedOn w:val="7"/>
    <w:qFormat/>
    <w:uiPriority w:val="0"/>
  </w:style>
  <w:style w:type="character" w:customStyle="1" w:styleId="9">
    <w:name w:val="页眉 字符"/>
    <w:link w:val="4"/>
    <w:qFormat/>
    <w:uiPriority w:val="0"/>
    <w:rPr>
      <w:kern w:val="2"/>
      <w:sz w:val="18"/>
      <w:szCs w:val="18"/>
    </w:rPr>
  </w:style>
  <w:style w:type="character" w:customStyle="1" w:styleId="10">
    <w:name w:val="批注框文本 字符"/>
    <w:link w:val="2"/>
    <w:qFormat/>
    <w:uiPriority w:val="0"/>
    <w:rPr>
      <w:kern w:val="2"/>
      <w:sz w:val="18"/>
      <w:szCs w:val="18"/>
    </w:rPr>
  </w:style>
  <w:style w:type="character" w:customStyle="1" w:styleId="11">
    <w:name w:val="页脚 字符"/>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2097</Words>
  <Characters>2183</Characters>
  <Lines>17</Lines>
  <Paragraphs>4</Paragraphs>
  <TotalTime>1</TotalTime>
  <ScaleCrop>false</ScaleCrop>
  <LinksUpToDate>false</LinksUpToDate>
  <CharactersWithSpaces>2190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2023-01-15T23:57:00Z</dcterms:created>
  <dc:creator>Administrator.PC-20190903ZCTP</dc:creator>
  <cp:lastModifiedBy>风雨彩虹</cp:lastModifiedBy>
  <cp:lastPrinted>2023-06-03T11:59:00Z</cp:lastPrinted>
  <dcterms:modified xsi:type="dcterms:W3CDTF">2023-06-19T07:10:48Z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21944AE5B67F44E2988CC9C4D70AD19D</vt:lpwstr>
  </property>
  <property fmtid="{D5CDD505-2E9C-101B-9397-08002B2CF9AE}" pid="3" name="KSOProductBuildVer">
    <vt:lpwstr>2052-11.1.0.13703</vt:lpwstr>
  </property>
</Properties>
</file>