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00" w:lineRule="exact"/>
        <w:rPr>
          <w:rFonts w:ascii="黑体" w:hAnsi="黑体" w:eastAsia="黑体"/>
          <w:bCs/>
          <w:snapToGrid w:val="0"/>
          <w:kern w:val="0"/>
          <w:sz w:val="32"/>
          <w:szCs w:val="32"/>
        </w:rPr>
      </w:pPr>
      <w:r>
        <w:rPr>
          <w:rFonts w:ascii="黑体" w:hAnsi="黑体" w:eastAsia="黑体"/>
          <w:bCs/>
          <w:snapToGrid w:val="0"/>
          <w:kern w:val="0"/>
          <w:sz w:val="32"/>
          <w:szCs w:val="32"/>
        </w:rPr>
        <w:t>附件2</w:t>
      </w:r>
    </w:p>
    <w:p>
      <w:pPr>
        <w:overflowPunct w:val="0"/>
        <w:adjustRightInd w:val="0"/>
        <w:snapToGrid w:val="0"/>
        <w:spacing w:line="600" w:lineRule="exact"/>
        <w:rPr>
          <w:rFonts w:ascii="Times New Roman" w:hAnsi="Times New Roman"/>
          <w:bCs/>
          <w:snapToGrid w:val="0"/>
          <w:color w:val="FF0000"/>
          <w:kern w:val="0"/>
          <w:sz w:val="32"/>
          <w:szCs w:val="32"/>
        </w:rPr>
      </w:pPr>
    </w:p>
    <w:p>
      <w:pPr>
        <w:overflowPunct w:val="0"/>
        <w:adjustRightInd w:val="0"/>
        <w:snapToGrid w:val="0"/>
        <w:spacing w:line="600" w:lineRule="exact"/>
        <w:jc w:val="center"/>
        <w:rPr>
          <w:rFonts w:ascii="方正小标宋简体" w:hAnsi="方正小标宋简体" w:eastAsia="方正小标宋简体" w:cs="方正小标宋简体"/>
          <w:bCs/>
          <w:snapToGrid w:val="0"/>
          <w:kern w:val="0"/>
          <w:sz w:val="44"/>
          <w:szCs w:val="32"/>
        </w:rPr>
      </w:pPr>
      <w:r>
        <w:rPr>
          <w:rFonts w:hint="eastAsia" w:ascii="方正小标宋简体" w:hAnsi="方正小标宋简体" w:eastAsia="方正小标宋简体" w:cs="方正小标宋简体"/>
          <w:bCs/>
          <w:snapToGrid w:val="0"/>
          <w:kern w:val="0"/>
          <w:sz w:val="44"/>
          <w:szCs w:val="32"/>
        </w:rPr>
        <w:t>山东省铁矿资源合理开发利用“三率”</w:t>
      </w:r>
    </w:p>
    <w:p>
      <w:pPr>
        <w:overflowPunct w:val="0"/>
        <w:adjustRightInd w:val="0"/>
        <w:snapToGrid w:val="0"/>
        <w:spacing w:line="600" w:lineRule="exact"/>
        <w:jc w:val="center"/>
        <w:rPr>
          <w:rFonts w:ascii="方正小标宋简体" w:hAnsi="方正小标宋简体" w:eastAsia="方正小标宋简体" w:cs="方正小标宋简体"/>
          <w:bCs/>
          <w:snapToGrid w:val="0"/>
          <w:kern w:val="0"/>
          <w:sz w:val="44"/>
          <w:szCs w:val="32"/>
        </w:rPr>
      </w:pPr>
      <w:r>
        <w:rPr>
          <w:rFonts w:hint="eastAsia" w:ascii="方正小标宋简体" w:hAnsi="方正小标宋简体" w:eastAsia="方正小标宋简体" w:cs="方正小标宋简体"/>
          <w:bCs/>
          <w:snapToGrid w:val="0"/>
          <w:kern w:val="0"/>
          <w:sz w:val="44"/>
          <w:szCs w:val="32"/>
        </w:rPr>
        <w:t>最低指标要求（修订版）</w:t>
      </w:r>
    </w:p>
    <w:p>
      <w:pPr>
        <w:overflowPunct w:val="0"/>
        <w:adjustRightInd w:val="0"/>
        <w:snapToGrid w:val="0"/>
        <w:spacing w:line="600" w:lineRule="exact"/>
        <w:jc w:val="center"/>
        <w:rPr>
          <w:rFonts w:ascii="Times New Roman" w:hAnsi="Times New Roman" w:eastAsia="华文中宋"/>
          <w:bCs/>
          <w:snapToGrid w:val="0"/>
          <w:kern w:val="0"/>
          <w:sz w:val="32"/>
          <w:szCs w:val="32"/>
          <w:lang w:val="zh-CN"/>
        </w:rPr>
      </w:pPr>
    </w:p>
    <w:p>
      <w:pPr>
        <w:overflowPunct w:val="0"/>
        <w:adjustRightInd w:val="0"/>
        <w:snapToGrid w:val="0"/>
        <w:spacing w:line="60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铁矿资源合理开发利用“三率”是指铁矿开采回采率、选矿回收率和综合利用率等三项指标，是评价铁矿企业开发利用矿产资源效果的主要指标。根据原山东省国土资源厅《关于金铁煤等矿产资源合理开发利用“三率”最低指标要求的公告》（鲁国土资规〔2017〕5号）等有关文件要求，为进一步全面贯彻落实能源资源安全战略，提高我省铁矿资源合理开发利用水平，适应我省铁矿开发利用行业目前技术发展基础和现状，经调查研究，确定铁矿“三率”最低指标要求如下:</w:t>
      </w:r>
    </w:p>
    <w:p>
      <w:pPr>
        <w:pStyle w:val="13"/>
        <w:overflowPunct w:val="0"/>
        <w:snapToGrid w:val="0"/>
        <w:spacing w:line="600" w:lineRule="exact"/>
        <w:ind w:firstLine="637" w:firstLineChars="150"/>
        <w:rPr>
          <w:rFonts w:ascii="黑体" w:hAnsi="黑体" w:eastAsia="黑体"/>
          <w:bCs/>
          <w:snapToGrid w:val="0"/>
          <w:color w:val="auto"/>
          <w:sz w:val="32"/>
          <w:szCs w:val="32"/>
        </w:rPr>
      </w:pPr>
      <w:r>
        <w:rPr>
          <w:rFonts w:hint="eastAsia" w:ascii="黑体" w:hAnsi="黑体" w:eastAsia="黑体"/>
          <w:bCs/>
          <w:snapToGrid w:val="0"/>
          <w:color w:val="auto"/>
          <w:sz w:val="32"/>
          <w:szCs w:val="32"/>
        </w:rPr>
        <w:t>一、</w:t>
      </w:r>
      <w:r>
        <w:rPr>
          <w:rFonts w:ascii="黑体" w:hAnsi="黑体" w:eastAsia="黑体"/>
          <w:bCs/>
          <w:snapToGrid w:val="0"/>
          <w:color w:val="auto"/>
          <w:sz w:val="32"/>
          <w:szCs w:val="32"/>
        </w:rPr>
        <w:t>“</w:t>
      </w:r>
      <w:r>
        <w:rPr>
          <w:rFonts w:hint="eastAsia" w:ascii="黑体" w:hAnsi="黑体" w:eastAsia="黑体"/>
          <w:bCs/>
          <w:snapToGrid w:val="0"/>
          <w:color w:val="auto"/>
          <w:sz w:val="32"/>
          <w:szCs w:val="32"/>
        </w:rPr>
        <w:t>三率</w:t>
      </w:r>
      <w:r>
        <w:rPr>
          <w:rFonts w:ascii="黑体" w:hAnsi="黑体" w:eastAsia="黑体"/>
          <w:bCs/>
          <w:snapToGrid w:val="0"/>
          <w:color w:val="auto"/>
          <w:sz w:val="32"/>
          <w:szCs w:val="32"/>
        </w:rPr>
        <w:t>”</w:t>
      </w:r>
      <w:r>
        <w:rPr>
          <w:rFonts w:hint="eastAsia" w:ascii="黑体" w:hAnsi="黑体" w:eastAsia="黑体"/>
          <w:bCs/>
          <w:snapToGrid w:val="0"/>
          <w:color w:val="auto"/>
          <w:sz w:val="32"/>
          <w:szCs w:val="32"/>
        </w:rPr>
        <w:t>指标要求</w:t>
      </w:r>
    </w:p>
    <w:p>
      <w:pPr>
        <w:pStyle w:val="13"/>
        <w:overflowPunct w:val="0"/>
        <w:snapToGrid w:val="0"/>
        <w:spacing w:line="600" w:lineRule="exact"/>
        <w:ind w:firstLine="637" w:firstLineChars="150"/>
        <w:rPr>
          <w:rFonts w:ascii="楷体_GB2312" w:eastAsia="楷体_GB2312"/>
          <w:bCs/>
          <w:snapToGrid w:val="0"/>
          <w:color w:val="auto"/>
          <w:sz w:val="32"/>
          <w:szCs w:val="32"/>
        </w:rPr>
      </w:pPr>
      <w:r>
        <w:rPr>
          <w:rFonts w:hint="eastAsia" w:ascii="楷体_GB2312" w:eastAsia="楷体_GB2312"/>
          <w:bCs/>
          <w:snapToGrid w:val="0"/>
          <w:color w:val="auto"/>
          <w:sz w:val="32"/>
          <w:szCs w:val="32"/>
        </w:rPr>
        <w:t>（一）开采回采率</w:t>
      </w:r>
    </w:p>
    <w:p>
      <w:pPr>
        <w:overflowPunct w:val="0"/>
        <w:adjustRightInd w:val="0"/>
        <w:snapToGrid w:val="0"/>
        <w:spacing w:line="600" w:lineRule="exact"/>
        <w:ind w:firstLine="637" w:firstLineChars="150"/>
        <w:rPr>
          <w:rFonts w:ascii="仿宋_GB2312" w:hAnsi="Times New Roman" w:eastAsia="仿宋_GB2312"/>
          <w:bCs/>
          <w:snapToGrid w:val="0"/>
          <w:kern w:val="0"/>
          <w:sz w:val="32"/>
          <w:szCs w:val="32"/>
        </w:rPr>
      </w:pPr>
      <w:r>
        <w:rPr>
          <w:rFonts w:ascii="仿宋_GB2312" w:hAnsi="Times New Roman" w:eastAsia="仿宋_GB2312"/>
          <w:bCs/>
          <w:snapToGrid w:val="0"/>
          <w:kern w:val="0"/>
          <w:sz w:val="32"/>
          <w:szCs w:val="32"/>
        </w:rPr>
        <w:t>1</w:t>
      </w:r>
      <w:r>
        <w:rPr>
          <w:rFonts w:hint="eastAsia" w:ascii="仿宋_GB2312" w:hAnsi="Times New Roman" w:eastAsia="仿宋_GB2312"/>
          <w:bCs/>
          <w:snapToGrid w:val="0"/>
          <w:kern w:val="0"/>
          <w:sz w:val="32"/>
          <w:szCs w:val="32"/>
        </w:rPr>
        <w:t>．露天开采</w:t>
      </w:r>
    </w:p>
    <w:p>
      <w:pPr>
        <w:overflowPunct w:val="0"/>
        <w:adjustRightInd w:val="0"/>
        <w:snapToGrid w:val="0"/>
        <w:spacing w:line="60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w:t>
      </w:r>
      <w:r>
        <w:rPr>
          <w:rFonts w:ascii="仿宋_GB2312" w:hAnsi="Times New Roman" w:eastAsia="仿宋_GB2312"/>
          <w:bCs/>
          <w:snapToGrid w:val="0"/>
          <w:kern w:val="0"/>
          <w:sz w:val="32"/>
          <w:szCs w:val="32"/>
        </w:rPr>
        <w:t>1</w:t>
      </w:r>
      <w:r>
        <w:rPr>
          <w:rFonts w:hint="eastAsia" w:ascii="仿宋_GB2312" w:hAnsi="Times New Roman" w:eastAsia="仿宋_GB2312"/>
          <w:bCs/>
          <w:snapToGrid w:val="0"/>
          <w:kern w:val="0"/>
          <w:sz w:val="32"/>
          <w:szCs w:val="32"/>
        </w:rPr>
        <w:t>）大型露天矿，开采回采率不低于</w:t>
      </w:r>
      <w:r>
        <w:rPr>
          <w:rFonts w:ascii="仿宋_GB2312" w:hAnsi="Times New Roman" w:eastAsia="仿宋_GB2312"/>
          <w:bCs/>
          <w:snapToGrid w:val="0"/>
          <w:kern w:val="0"/>
          <w:sz w:val="32"/>
          <w:szCs w:val="32"/>
        </w:rPr>
        <w:t>95.00%</w:t>
      </w:r>
      <w:r>
        <w:rPr>
          <w:rFonts w:hint="eastAsia" w:ascii="仿宋_GB2312" w:hAnsi="Times New Roman" w:eastAsia="仿宋_GB2312"/>
          <w:bCs/>
          <w:snapToGrid w:val="0"/>
          <w:kern w:val="0"/>
          <w:sz w:val="32"/>
          <w:szCs w:val="32"/>
        </w:rPr>
        <w:t>；</w:t>
      </w:r>
    </w:p>
    <w:p>
      <w:pPr>
        <w:overflowPunct w:val="0"/>
        <w:adjustRightInd w:val="0"/>
        <w:snapToGrid w:val="0"/>
        <w:spacing w:line="60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w:t>
      </w:r>
      <w:r>
        <w:rPr>
          <w:rFonts w:ascii="仿宋_GB2312" w:hAnsi="Times New Roman" w:eastAsia="仿宋_GB2312"/>
          <w:bCs/>
          <w:snapToGrid w:val="0"/>
          <w:kern w:val="0"/>
          <w:sz w:val="32"/>
          <w:szCs w:val="32"/>
        </w:rPr>
        <w:t>2</w:t>
      </w:r>
      <w:r>
        <w:rPr>
          <w:rFonts w:hint="eastAsia" w:ascii="仿宋_GB2312" w:hAnsi="Times New Roman" w:eastAsia="仿宋_GB2312"/>
          <w:bCs/>
          <w:snapToGrid w:val="0"/>
          <w:kern w:val="0"/>
          <w:sz w:val="32"/>
          <w:szCs w:val="32"/>
        </w:rPr>
        <w:t>）中小型露天矿，开采回采率不低于</w:t>
      </w:r>
      <w:r>
        <w:rPr>
          <w:rFonts w:ascii="仿宋_GB2312" w:hAnsi="Times New Roman" w:eastAsia="仿宋_GB2312"/>
          <w:bCs/>
          <w:snapToGrid w:val="0"/>
          <w:kern w:val="0"/>
          <w:sz w:val="32"/>
          <w:szCs w:val="32"/>
        </w:rPr>
        <w:t>93.00%</w:t>
      </w:r>
      <w:r>
        <w:rPr>
          <w:rFonts w:hint="eastAsia" w:ascii="仿宋_GB2312" w:hAnsi="Times New Roman" w:eastAsia="仿宋_GB2312"/>
          <w:bCs/>
          <w:snapToGrid w:val="0"/>
          <w:kern w:val="0"/>
          <w:sz w:val="32"/>
          <w:szCs w:val="32"/>
        </w:rPr>
        <w:t>。</w:t>
      </w:r>
    </w:p>
    <w:p>
      <w:pPr>
        <w:overflowPunct w:val="0"/>
        <w:adjustRightInd w:val="0"/>
        <w:snapToGrid w:val="0"/>
        <w:spacing w:line="600" w:lineRule="exact"/>
        <w:ind w:firstLine="637" w:firstLineChars="150"/>
        <w:rPr>
          <w:rFonts w:ascii="仿宋_GB2312" w:hAnsi="Times New Roman" w:eastAsia="仿宋_GB2312"/>
          <w:bCs/>
          <w:snapToGrid w:val="0"/>
          <w:kern w:val="0"/>
          <w:sz w:val="32"/>
          <w:szCs w:val="32"/>
        </w:rPr>
      </w:pPr>
      <w:r>
        <w:rPr>
          <w:rFonts w:ascii="仿宋_GB2312" w:hAnsi="Times New Roman" w:eastAsia="仿宋_GB2312"/>
          <w:bCs/>
          <w:snapToGrid w:val="0"/>
          <w:kern w:val="0"/>
          <w:sz w:val="32"/>
          <w:szCs w:val="32"/>
        </w:rPr>
        <w:t>2</w:t>
      </w:r>
      <w:r>
        <w:rPr>
          <w:rFonts w:hint="eastAsia" w:ascii="仿宋_GB2312" w:hAnsi="Times New Roman" w:eastAsia="仿宋_GB2312"/>
          <w:bCs/>
          <w:snapToGrid w:val="0"/>
          <w:kern w:val="0"/>
          <w:sz w:val="32"/>
          <w:szCs w:val="32"/>
        </w:rPr>
        <w:t>．地下开采</w:t>
      </w:r>
    </w:p>
    <w:p>
      <w:pPr>
        <w:overflowPunct w:val="0"/>
        <w:adjustRightInd w:val="0"/>
        <w:snapToGrid w:val="0"/>
        <w:spacing w:line="60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根据铁矿矿床的围岩稳固性和矿体倾斜度等自然赋存条件</w:t>
      </w:r>
      <w:r>
        <w:rPr>
          <w:rFonts w:hint="eastAsia" w:ascii="仿宋_GB2312" w:hAnsi="Times New Roman" w:eastAsia="仿宋_GB2312"/>
          <w:bCs/>
          <w:snapToGrid w:val="0"/>
          <w:spacing w:val="-6"/>
          <w:kern w:val="0"/>
          <w:sz w:val="32"/>
          <w:szCs w:val="32"/>
        </w:rPr>
        <w:t>的不同，地下开采矿山的开采回采率应达到表</w:t>
      </w:r>
      <w:r>
        <w:rPr>
          <w:rFonts w:ascii="仿宋_GB2312" w:hAnsi="Times New Roman" w:eastAsia="仿宋_GB2312"/>
          <w:bCs/>
          <w:snapToGrid w:val="0"/>
          <w:spacing w:val="-6"/>
          <w:kern w:val="0"/>
          <w:sz w:val="32"/>
          <w:szCs w:val="32"/>
        </w:rPr>
        <w:t>1</w:t>
      </w:r>
      <w:r>
        <w:rPr>
          <w:rFonts w:hint="eastAsia" w:ascii="仿宋_GB2312" w:hAnsi="Times New Roman" w:eastAsia="仿宋_GB2312"/>
          <w:bCs/>
          <w:snapToGrid w:val="0"/>
          <w:spacing w:val="-6"/>
          <w:kern w:val="0"/>
          <w:sz w:val="32"/>
          <w:szCs w:val="32"/>
        </w:rPr>
        <w:t>规定的指标要求。</w:t>
      </w:r>
    </w:p>
    <w:p>
      <w:pPr>
        <w:overflowPunct w:val="0"/>
        <w:autoSpaceDE w:val="0"/>
        <w:autoSpaceDN w:val="0"/>
        <w:adjustRightInd w:val="0"/>
        <w:snapToGrid w:val="0"/>
        <w:spacing w:line="560" w:lineRule="exact"/>
        <w:ind w:firstLine="420"/>
        <w:jc w:val="center"/>
        <w:textAlignment w:val="center"/>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表</w:t>
      </w:r>
      <w:r>
        <w:rPr>
          <w:rFonts w:ascii="仿宋_GB2312" w:hAnsi="Times New Roman" w:eastAsia="仿宋_GB2312"/>
          <w:bCs/>
          <w:snapToGrid w:val="0"/>
          <w:kern w:val="0"/>
          <w:sz w:val="32"/>
          <w:szCs w:val="32"/>
        </w:rPr>
        <w:t xml:space="preserve">1  </w:t>
      </w:r>
      <w:r>
        <w:rPr>
          <w:rFonts w:hint="eastAsia" w:ascii="仿宋_GB2312" w:hAnsi="Times New Roman" w:eastAsia="仿宋_GB2312"/>
          <w:bCs/>
          <w:snapToGrid w:val="0"/>
          <w:kern w:val="0"/>
          <w:sz w:val="32"/>
          <w:szCs w:val="32"/>
        </w:rPr>
        <w:t>地下矿山开采回采率指标要求</w:t>
      </w:r>
    </w:p>
    <w:tbl>
      <w:tblPr>
        <w:tblStyle w:val="7"/>
        <w:tblW w:w="8800" w:type="dxa"/>
        <w:jc w:val="center"/>
        <w:tblLayout w:type="fixed"/>
        <w:tblCellMar>
          <w:top w:w="0" w:type="dxa"/>
          <w:left w:w="0" w:type="dxa"/>
          <w:bottom w:w="0" w:type="dxa"/>
          <w:right w:w="0" w:type="dxa"/>
        </w:tblCellMar>
      </w:tblPr>
      <w:tblGrid>
        <w:gridCol w:w="1123"/>
        <w:gridCol w:w="1797"/>
        <w:gridCol w:w="3572"/>
        <w:gridCol w:w="2308"/>
      </w:tblGrid>
      <w:tr>
        <w:tblPrEx>
          <w:tblCellMar>
            <w:top w:w="0" w:type="dxa"/>
            <w:left w:w="0" w:type="dxa"/>
            <w:bottom w:w="0" w:type="dxa"/>
            <w:right w:w="0" w:type="dxa"/>
          </w:tblCellMar>
        </w:tblPrEx>
        <w:trPr>
          <w:trHeight w:val="20" w:hRule="atLeast"/>
          <w:jc w:val="center"/>
        </w:trPr>
        <w:tc>
          <w:tcPr>
            <w:tcW w:w="2920" w:type="dxa"/>
            <w:gridSpan w:val="2"/>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ind w:firstLine="360"/>
              <w:jc w:val="center"/>
              <w:textAlignment w:val="center"/>
              <w:rPr>
                <w:rFonts w:ascii="黑体" w:hAnsi="黑体" w:eastAsia="黑体"/>
                <w:bCs/>
                <w:snapToGrid w:val="0"/>
                <w:kern w:val="0"/>
                <w:sz w:val="32"/>
                <w:szCs w:val="32"/>
                <w:lang w:val="zh-CN"/>
              </w:rPr>
            </w:pPr>
            <w:r>
              <w:rPr>
                <w:rFonts w:hint="eastAsia" w:ascii="黑体" w:hAnsi="黑体" w:eastAsia="黑体"/>
                <w:bCs/>
                <w:snapToGrid w:val="0"/>
                <w:kern w:val="0"/>
                <w:sz w:val="32"/>
                <w:szCs w:val="32"/>
                <w:lang w:val="zh-CN"/>
              </w:rPr>
              <w:t>围岩稳固性</w:t>
            </w:r>
            <w:r>
              <w:rPr>
                <w:rFonts w:hint="eastAsia" w:ascii="黑体" w:hAnsi="黑体" w:eastAsia="黑体"/>
                <w:bCs/>
                <w:snapToGrid w:val="0"/>
                <w:kern w:val="0"/>
                <w:sz w:val="32"/>
                <w:szCs w:val="32"/>
                <w:vertAlign w:val="superscript"/>
                <w:lang w:val="zh-CN"/>
              </w:rPr>
              <w:t>①</w:t>
            </w:r>
          </w:p>
        </w:tc>
        <w:tc>
          <w:tcPr>
            <w:tcW w:w="35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ind w:firstLine="360"/>
              <w:jc w:val="center"/>
              <w:textAlignment w:val="center"/>
              <w:rPr>
                <w:rFonts w:ascii="黑体" w:hAnsi="黑体" w:eastAsia="黑体"/>
                <w:bCs/>
                <w:snapToGrid w:val="0"/>
                <w:kern w:val="0"/>
                <w:sz w:val="32"/>
                <w:szCs w:val="32"/>
                <w:lang w:val="zh-CN"/>
              </w:rPr>
            </w:pPr>
            <w:r>
              <w:rPr>
                <w:rFonts w:hint="eastAsia" w:ascii="黑体" w:hAnsi="黑体" w:eastAsia="黑体"/>
                <w:bCs/>
                <w:snapToGrid w:val="0"/>
                <w:kern w:val="0"/>
                <w:sz w:val="32"/>
                <w:szCs w:val="32"/>
                <w:lang w:val="zh-CN"/>
              </w:rPr>
              <w:t>矿体倾斜度</w:t>
            </w:r>
            <w:r>
              <w:rPr>
                <w:rFonts w:hint="eastAsia" w:ascii="黑体" w:hAnsi="黑体" w:eastAsia="黑体"/>
                <w:bCs/>
                <w:snapToGrid w:val="0"/>
                <w:kern w:val="0"/>
                <w:sz w:val="32"/>
                <w:szCs w:val="32"/>
                <w:vertAlign w:val="superscript"/>
                <w:lang w:val="zh-CN"/>
              </w:rPr>
              <w:t>②</w:t>
            </w:r>
          </w:p>
        </w:tc>
        <w:tc>
          <w:tcPr>
            <w:tcW w:w="2308" w:type="dxa"/>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ind w:firstLine="360"/>
              <w:jc w:val="left"/>
              <w:textAlignment w:val="center"/>
              <w:rPr>
                <w:rFonts w:ascii="黑体" w:hAnsi="黑体" w:eastAsia="黑体"/>
                <w:bCs/>
                <w:snapToGrid w:val="0"/>
                <w:kern w:val="0"/>
                <w:sz w:val="32"/>
                <w:szCs w:val="32"/>
                <w:lang w:val="zh-CN"/>
              </w:rPr>
            </w:pPr>
            <w:r>
              <w:rPr>
                <w:rFonts w:hint="eastAsia" w:ascii="黑体" w:hAnsi="黑体" w:eastAsia="黑体"/>
                <w:bCs/>
                <w:snapToGrid w:val="0"/>
                <w:kern w:val="0"/>
                <w:sz w:val="32"/>
                <w:szCs w:val="32"/>
                <w:lang w:val="zh-CN"/>
              </w:rPr>
              <w:t>回采率（</w:t>
            </w:r>
            <w:r>
              <w:rPr>
                <w:rFonts w:ascii="黑体" w:hAnsi="黑体" w:eastAsia="黑体"/>
                <w:bCs/>
                <w:snapToGrid w:val="0"/>
                <w:kern w:val="0"/>
                <w:sz w:val="32"/>
                <w:szCs w:val="32"/>
                <w:lang w:val="zh-CN"/>
              </w:rPr>
              <w:t>%</w:t>
            </w:r>
            <w:r>
              <w:rPr>
                <w:rFonts w:hint="eastAsia" w:ascii="黑体" w:hAnsi="黑体" w:eastAsia="黑体"/>
                <w:bCs/>
                <w:snapToGrid w:val="0"/>
                <w:kern w:val="0"/>
                <w:sz w:val="32"/>
                <w:szCs w:val="32"/>
                <w:lang w:val="zh-CN"/>
              </w:rPr>
              <w:t>）</w:t>
            </w:r>
          </w:p>
        </w:tc>
      </w:tr>
      <w:tr>
        <w:tblPrEx>
          <w:tblCellMar>
            <w:top w:w="0" w:type="dxa"/>
            <w:left w:w="0" w:type="dxa"/>
            <w:bottom w:w="0" w:type="dxa"/>
            <w:right w:w="0" w:type="dxa"/>
          </w:tblCellMar>
        </w:tblPrEx>
        <w:trPr>
          <w:trHeight w:val="20" w:hRule="atLeast"/>
          <w:jc w:val="center"/>
        </w:trPr>
        <w:tc>
          <w:tcPr>
            <w:tcW w:w="1123"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稳固</w:t>
            </w:r>
          </w:p>
        </w:tc>
        <w:tc>
          <w:tcPr>
            <w:tcW w:w="1797"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矽卡岩型</w:t>
            </w:r>
          </w:p>
        </w:tc>
        <w:tc>
          <w:tcPr>
            <w:tcW w:w="35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缓倾斜与急倾斜矿体</w:t>
            </w:r>
          </w:p>
        </w:tc>
        <w:tc>
          <w:tcPr>
            <w:tcW w:w="2308" w:type="dxa"/>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84.00</w:t>
            </w:r>
          </w:p>
        </w:tc>
      </w:tr>
      <w:tr>
        <w:tblPrEx>
          <w:tblCellMar>
            <w:top w:w="0" w:type="dxa"/>
            <w:left w:w="0" w:type="dxa"/>
            <w:bottom w:w="0" w:type="dxa"/>
            <w:right w:w="0" w:type="dxa"/>
          </w:tblCellMar>
        </w:tblPrEx>
        <w:trPr>
          <w:trHeight w:val="20" w:hRule="atLeast"/>
          <w:jc w:val="center"/>
        </w:trPr>
        <w:tc>
          <w:tcPr>
            <w:tcW w:w="1123" w:type="dxa"/>
            <w:vMerge w:val="continue"/>
            <w:tcBorders>
              <w:top w:val="single" w:color="000000" w:sz="2" w:space="0"/>
              <w:left w:val="single" w:color="000000" w:sz="2" w:space="0"/>
              <w:bottom w:val="single" w:color="000000" w:sz="2" w:space="0"/>
              <w:right w:val="single" w:color="000000" w:sz="2" w:space="0"/>
            </w:tcBorders>
          </w:tcPr>
          <w:p>
            <w:pPr>
              <w:overflowPunct w:val="0"/>
              <w:autoSpaceDE w:val="0"/>
              <w:autoSpaceDN w:val="0"/>
              <w:adjustRightInd w:val="0"/>
              <w:snapToGrid w:val="0"/>
              <w:spacing w:line="600" w:lineRule="exact"/>
              <w:ind w:firstLine="0"/>
              <w:jc w:val="left"/>
              <w:rPr>
                <w:rFonts w:hint="eastAsia" w:ascii="仿宋_GB2312" w:hAnsi="Times New Roman" w:eastAsia="仿宋_GB2312"/>
                <w:bCs/>
                <w:snapToGrid w:val="0"/>
                <w:kern w:val="0"/>
                <w:sz w:val="32"/>
                <w:szCs w:val="32"/>
                <w:lang w:val="zh-CN"/>
              </w:rPr>
            </w:pPr>
          </w:p>
        </w:tc>
        <w:tc>
          <w:tcPr>
            <w:tcW w:w="1797" w:type="dxa"/>
            <w:vMerge w:val="continue"/>
            <w:tcBorders>
              <w:top w:val="single" w:color="000000" w:sz="2" w:space="0"/>
              <w:left w:val="single" w:color="000000" w:sz="2" w:space="0"/>
              <w:bottom w:val="single" w:color="000000" w:sz="2" w:space="0"/>
              <w:right w:val="single" w:color="000000" w:sz="2" w:space="0"/>
            </w:tcBorders>
            <w:vAlign w:val="center"/>
          </w:tcPr>
          <w:p>
            <w:pPr>
              <w:overflowPunct w:val="0"/>
              <w:autoSpaceDE w:val="0"/>
              <w:autoSpaceDN w:val="0"/>
              <w:adjustRightInd w:val="0"/>
              <w:snapToGrid w:val="0"/>
              <w:spacing w:line="600" w:lineRule="exact"/>
              <w:ind w:firstLine="0"/>
              <w:jc w:val="center"/>
              <w:rPr>
                <w:rFonts w:hint="eastAsia" w:ascii="仿宋_GB2312" w:hAnsi="Times New Roman" w:eastAsia="仿宋_GB2312"/>
                <w:bCs/>
                <w:snapToGrid w:val="0"/>
                <w:kern w:val="0"/>
                <w:sz w:val="32"/>
                <w:szCs w:val="32"/>
                <w:lang w:val="zh-CN"/>
              </w:rPr>
            </w:pPr>
          </w:p>
        </w:tc>
        <w:tc>
          <w:tcPr>
            <w:tcW w:w="35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倾斜矿体</w:t>
            </w:r>
          </w:p>
        </w:tc>
        <w:tc>
          <w:tcPr>
            <w:tcW w:w="2308" w:type="dxa"/>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82.00</w:t>
            </w:r>
          </w:p>
        </w:tc>
      </w:tr>
      <w:tr>
        <w:tblPrEx>
          <w:tblCellMar>
            <w:top w:w="0" w:type="dxa"/>
            <w:left w:w="0" w:type="dxa"/>
            <w:bottom w:w="0" w:type="dxa"/>
            <w:right w:w="0" w:type="dxa"/>
          </w:tblCellMar>
        </w:tblPrEx>
        <w:trPr>
          <w:trHeight w:val="20" w:hRule="atLeast"/>
          <w:jc w:val="center"/>
        </w:trPr>
        <w:tc>
          <w:tcPr>
            <w:tcW w:w="1123" w:type="dxa"/>
            <w:vMerge w:val="continue"/>
            <w:tcBorders>
              <w:top w:val="single" w:color="000000" w:sz="2" w:space="0"/>
              <w:left w:val="single" w:color="000000" w:sz="2" w:space="0"/>
              <w:bottom w:val="single" w:color="000000" w:sz="2" w:space="0"/>
              <w:right w:val="single" w:color="000000" w:sz="2" w:space="0"/>
            </w:tcBorders>
          </w:tcPr>
          <w:p>
            <w:pPr>
              <w:overflowPunct w:val="0"/>
              <w:autoSpaceDE w:val="0"/>
              <w:autoSpaceDN w:val="0"/>
              <w:adjustRightInd w:val="0"/>
              <w:snapToGrid w:val="0"/>
              <w:spacing w:line="600" w:lineRule="exact"/>
              <w:ind w:firstLine="0"/>
              <w:jc w:val="left"/>
              <w:rPr>
                <w:rFonts w:hint="eastAsia" w:ascii="仿宋_GB2312" w:hAnsi="Times New Roman" w:eastAsia="仿宋_GB2312"/>
                <w:bCs/>
                <w:snapToGrid w:val="0"/>
                <w:kern w:val="0"/>
                <w:sz w:val="32"/>
                <w:szCs w:val="32"/>
                <w:lang w:val="zh-CN"/>
              </w:rPr>
            </w:pPr>
          </w:p>
        </w:tc>
        <w:tc>
          <w:tcPr>
            <w:tcW w:w="1797"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其它类型</w:t>
            </w:r>
            <w:r>
              <w:rPr>
                <w:rFonts w:hint="eastAsia" w:ascii="仿宋_GB2312" w:hAnsi="Times New Roman" w:eastAsia="仿宋_GB2312"/>
                <w:bCs/>
                <w:snapToGrid w:val="0"/>
                <w:kern w:val="0"/>
                <w:sz w:val="32"/>
                <w:szCs w:val="32"/>
                <w:vertAlign w:val="superscript"/>
              </w:rPr>
              <w:t>③</w:t>
            </w:r>
          </w:p>
        </w:tc>
        <w:tc>
          <w:tcPr>
            <w:tcW w:w="35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缓倾斜与急倾斜矿体</w:t>
            </w:r>
          </w:p>
        </w:tc>
        <w:tc>
          <w:tcPr>
            <w:tcW w:w="2308" w:type="dxa"/>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83.00</w:t>
            </w:r>
          </w:p>
        </w:tc>
      </w:tr>
      <w:tr>
        <w:tblPrEx>
          <w:tblCellMar>
            <w:top w:w="0" w:type="dxa"/>
            <w:left w:w="0" w:type="dxa"/>
            <w:bottom w:w="0" w:type="dxa"/>
            <w:right w:w="0" w:type="dxa"/>
          </w:tblCellMar>
        </w:tblPrEx>
        <w:trPr>
          <w:trHeight w:val="20" w:hRule="atLeast"/>
          <w:jc w:val="center"/>
        </w:trPr>
        <w:tc>
          <w:tcPr>
            <w:tcW w:w="1123" w:type="dxa"/>
            <w:vMerge w:val="continue"/>
            <w:tcBorders>
              <w:top w:val="single" w:color="000000" w:sz="2" w:space="0"/>
              <w:left w:val="single" w:color="000000" w:sz="2" w:space="0"/>
              <w:bottom w:val="single" w:color="000000" w:sz="2" w:space="0"/>
              <w:right w:val="single" w:color="000000" w:sz="2" w:space="0"/>
            </w:tcBorders>
          </w:tcPr>
          <w:p>
            <w:pPr>
              <w:overflowPunct w:val="0"/>
              <w:autoSpaceDE w:val="0"/>
              <w:autoSpaceDN w:val="0"/>
              <w:adjustRightInd w:val="0"/>
              <w:snapToGrid w:val="0"/>
              <w:spacing w:line="600" w:lineRule="exact"/>
              <w:ind w:firstLine="0"/>
              <w:jc w:val="left"/>
              <w:rPr>
                <w:rFonts w:hint="eastAsia" w:ascii="仿宋_GB2312" w:hAnsi="Times New Roman" w:eastAsia="仿宋_GB2312"/>
                <w:bCs/>
                <w:snapToGrid w:val="0"/>
                <w:kern w:val="0"/>
                <w:sz w:val="32"/>
                <w:szCs w:val="32"/>
                <w:lang w:val="zh-CN"/>
              </w:rPr>
            </w:pPr>
          </w:p>
        </w:tc>
        <w:tc>
          <w:tcPr>
            <w:tcW w:w="1797" w:type="dxa"/>
            <w:vMerge w:val="continue"/>
            <w:tcBorders>
              <w:top w:val="single" w:color="000000" w:sz="2" w:space="0"/>
              <w:left w:val="single" w:color="000000" w:sz="2" w:space="0"/>
              <w:bottom w:val="single" w:color="000000" w:sz="2" w:space="0"/>
              <w:right w:val="single" w:color="000000" w:sz="2" w:space="0"/>
            </w:tcBorders>
          </w:tcPr>
          <w:p>
            <w:pPr>
              <w:overflowPunct w:val="0"/>
              <w:autoSpaceDE w:val="0"/>
              <w:autoSpaceDN w:val="0"/>
              <w:adjustRightInd w:val="0"/>
              <w:snapToGrid w:val="0"/>
              <w:spacing w:line="600" w:lineRule="exact"/>
              <w:ind w:firstLine="0"/>
              <w:jc w:val="left"/>
              <w:rPr>
                <w:rFonts w:hint="eastAsia" w:ascii="仿宋_GB2312" w:hAnsi="Times New Roman" w:eastAsia="仿宋_GB2312"/>
                <w:bCs/>
                <w:snapToGrid w:val="0"/>
                <w:kern w:val="0"/>
                <w:sz w:val="32"/>
                <w:szCs w:val="32"/>
                <w:lang w:val="zh-CN"/>
              </w:rPr>
            </w:pPr>
          </w:p>
        </w:tc>
        <w:tc>
          <w:tcPr>
            <w:tcW w:w="35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倾斜矿体</w:t>
            </w:r>
          </w:p>
        </w:tc>
        <w:tc>
          <w:tcPr>
            <w:tcW w:w="2308" w:type="dxa"/>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81.00</w:t>
            </w:r>
          </w:p>
        </w:tc>
      </w:tr>
      <w:tr>
        <w:tblPrEx>
          <w:tblCellMar>
            <w:top w:w="0" w:type="dxa"/>
            <w:left w:w="0" w:type="dxa"/>
            <w:bottom w:w="0" w:type="dxa"/>
            <w:right w:w="0" w:type="dxa"/>
          </w:tblCellMar>
        </w:tblPrEx>
        <w:trPr>
          <w:trHeight w:val="20" w:hRule="atLeast"/>
          <w:jc w:val="center"/>
        </w:trPr>
        <w:tc>
          <w:tcPr>
            <w:tcW w:w="2920" w:type="dxa"/>
            <w:gridSpan w:val="2"/>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不稳固</w:t>
            </w:r>
          </w:p>
        </w:tc>
        <w:tc>
          <w:tcPr>
            <w:tcW w:w="35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缓倾斜与急倾斜矿体</w:t>
            </w:r>
          </w:p>
        </w:tc>
        <w:tc>
          <w:tcPr>
            <w:tcW w:w="2308" w:type="dxa"/>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79.00</w:t>
            </w:r>
          </w:p>
        </w:tc>
      </w:tr>
      <w:tr>
        <w:tblPrEx>
          <w:tblCellMar>
            <w:top w:w="0" w:type="dxa"/>
            <w:left w:w="0" w:type="dxa"/>
            <w:bottom w:w="0" w:type="dxa"/>
            <w:right w:w="0" w:type="dxa"/>
          </w:tblCellMar>
        </w:tblPrEx>
        <w:trPr>
          <w:trHeight w:val="20" w:hRule="atLeast"/>
          <w:jc w:val="center"/>
        </w:trPr>
        <w:tc>
          <w:tcPr>
            <w:tcW w:w="2920" w:type="dxa"/>
            <w:gridSpan w:val="2"/>
            <w:vMerge w:val="continue"/>
            <w:tcBorders>
              <w:top w:val="single" w:color="000000" w:sz="2" w:space="0"/>
              <w:left w:val="single" w:color="000000" w:sz="2" w:space="0"/>
              <w:bottom w:val="single" w:color="000000" w:sz="2" w:space="0"/>
              <w:right w:val="single" w:color="000000" w:sz="2" w:space="0"/>
            </w:tcBorders>
          </w:tcPr>
          <w:p>
            <w:pPr>
              <w:overflowPunct w:val="0"/>
              <w:autoSpaceDE w:val="0"/>
              <w:autoSpaceDN w:val="0"/>
              <w:adjustRightInd w:val="0"/>
              <w:snapToGrid w:val="0"/>
              <w:spacing w:line="600" w:lineRule="exact"/>
              <w:ind w:firstLine="0"/>
              <w:jc w:val="left"/>
              <w:rPr>
                <w:rFonts w:hint="eastAsia" w:ascii="仿宋_GB2312" w:hAnsi="Times New Roman" w:eastAsia="仿宋_GB2312"/>
                <w:bCs/>
                <w:snapToGrid w:val="0"/>
                <w:kern w:val="0"/>
                <w:sz w:val="32"/>
                <w:szCs w:val="32"/>
                <w:lang w:val="zh-CN"/>
              </w:rPr>
            </w:pPr>
          </w:p>
        </w:tc>
        <w:tc>
          <w:tcPr>
            <w:tcW w:w="35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倾斜矿体</w:t>
            </w:r>
          </w:p>
        </w:tc>
        <w:tc>
          <w:tcPr>
            <w:tcW w:w="2308" w:type="dxa"/>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78.00</w:t>
            </w:r>
          </w:p>
        </w:tc>
      </w:tr>
      <w:tr>
        <w:tblPrEx>
          <w:tblCellMar>
            <w:top w:w="0" w:type="dxa"/>
            <w:left w:w="0" w:type="dxa"/>
            <w:bottom w:w="0" w:type="dxa"/>
            <w:right w:w="0" w:type="dxa"/>
          </w:tblCellMar>
        </w:tblPrEx>
        <w:trPr>
          <w:trHeight w:val="20" w:hRule="atLeast"/>
          <w:jc w:val="center"/>
        </w:trPr>
        <w:tc>
          <w:tcPr>
            <w:tcW w:w="2920" w:type="dxa"/>
            <w:gridSpan w:val="2"/>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极不稳固</w:t>
            </w:r>
          </w:p>
        </w:tc>
        <w:tc>
          <w:tcPr>
            <w:tcW w:w="35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缓倾斜与急倾斜矿体</w:t>
            </w:r>
          </w:p>
        </w:tc>
        <w:tc>
          <w:tcPr>
            <w:tcW w:w="23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77.00</w:t>
            </w:r>
          </w:p>
        </w:tc>
      </w:tr>
      <w:tr>
        <w:tblPrEx>
          <w:tblCellMar>
            <w:top w:w="0" w:type="dxa"/>
            <w:left w:w="0" w:type="dxa"/>
            <w:bottom w:w="0" w:type="dxa"/>
            <w:right w:w="0" w:type="dxa"/>
          </w:tblCellMar>
        </w:tblPrEx>
        <w:trPr>
          <w:trHeight w:val="20" w:hRule="atLeast"/>
          <w:jc w:val="center"/>
        </w:trPr>
        <w:tc>
          <w:tcPr>
            <w:tcW w:w="2920" w:type="dxa"/>
            <w:gridSpan w:val="2"/>
            <w:vMerge w:val="continue"/>
            <w:tcBorders>
              <w:top w:val="single" w:color="000000" w:sz="2" w:space="0"/>
              <w:left w:val="single" w:color="000000" w:sz="2" w:space="0"/>
              <w:bottom w:val="single" w:color="000000" w:sz="2" w:space="0"/>
              <w:right w:val="single" w:color="000000" w:sz="2" w:space="0"/>
            </w:tcBorders>
          </w:tcPr>
          <w:p>
            <w:pPr>
              <w:overflowPunct w:val="0"/>
              <w:autoSpaceDE w:val="0"/>
              <w:autoSpaceDN w:val="0"/>
              <w:adjustRightInd w:val="0"/>
              <w:snapToGrid w:val="0"/>
              <w:spacing w:line="600" w:lineRule="exact"/>
              <w:ind w:firstLine="0"/>
              <w:jc w:val="left"/>
              <w:rPr>
                <w:rFonts w:hint="eastAsia" w:ascii="仿宋_GB2312" w:hAnsi="Times New Roman" w:eastAsia="仿宋_GB2312"/>
                <w:bCs/>
                <w:snapToGrid w:val="0"/>
                <w:kern w:val="0"/>
                <w:sz w:val="32"/>
                <w:szCs w:val="32"/>
                <w:lang w:val="zh-CN"/>
              </w:rPr>
            </w:pPr>
          </w:p>
        </w:tc>
        <w:tc>
          <w:tcPr>
            <w:tcW w:w="357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倾斜矿体</w:t>
            </w:r>
          </w:p>
        </w:tc>
        <w:tc>
          <w:tcPr>
            <w:tcW w:w="23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600" w:lineRule="exact"/>
              <w:ind w:firstLine="0"/>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76.00</w:t>
            </w:r>
          </w:p>
        </w:tc>
      </w:tr>
    </w:tbl>
    <w:p>
      <w:pPr>
        <w:pStyle w:val="13"/>
        <w:overflowPunct w:val="0"/>
        <w:snapToGrid w:val="0"/>
        <w:spacing w:line="640" w:lineRule="exact"/>
        <w:ind w:firstLine="637" w:firstLineChars="150"/>
        <w:rPr>
          <w:rFonts w:hint="eastAsia" w:ascii="仿宋_GB2312" w:eastAsia="仿宋_GB2312"/>
          <w:bCs/>
          <w:snapToGrid w:val="0"/>
          <w:color w:val="auto"/>
          <w:sz w:val="32"/>
          <w:szCs w:val="32"/>
        </w:rPr>
      </w:pPr>
      <w:r>
        <w:rPr>
          <w:rFonts w:hint="eastAsia" w:ascii="仿宋_GB2312" w:eastAsia="仿宋_GB2312"/>
          <w:bCs/>
          <w:snapToGrid w:val="0"/>
          <w:color w:val="auto"/>
          <w:sz w:val="32"/>
          <w:szCs w:val="32"/>
        </w:rPr>
        <w:t>①根据《工程岩体分级标准/GB50218－94》，将矿体围岩稳固性划分为稳固（Ⅰ级、Ⅱ级、Ⅲ级）、不稳固（Ⅳ级）和极不稳固（Ⅴ级）三类；</w:t>
      </w:r>
    </w:p>
    <w:p>
      <w:pPr>
        <w:pStyle w:val="13"/>
        <w:overflowPunct w:val="0"/>
        <w:snapToGrid w:val="0"/>
        <w:spacing w:line="640" w:lineRule="exact"/>
        <w:ind w:firstLine="637" w:firstLineChars="150"/>
        <w:rPr>
          <w:rFonts w:hint="eastAsia" w:ascii="仿宋_GB2312" w:eastAsia="仿宋_GB2312"/>
          <w:bCs/>
          <w:snapToGrid w:val="0"/>
          <w:color w:val="auto"/>
          <w:sz w:val="32"/>
          <w:szCs w:val="32"/>
        </w:rPr>
      </w:pPr>
      <w:r>
        <w:rPr>
          <w:rFonts w:hint="eastAsia" w:ascii="仿宋_GB2312" w:eastAsia="仿宋_GB2312"/>
          <w:bCs/>
          <w:snapToGrid w:val="0"/>
          <w:color w:val="auto"/>
          <w:sz w:val="32"/>
          <w:szCs w:val="32"/>
        </w:rPr>
        <w:t>②缓倾斜是指矿体倾角标&lt;30°、倾斜是指矿体倾角30°≤α≤55°、急倾斜是指矿体倾角α&gt;55°的矿体。</w:t>
      </w:r>
    </w:p>
    <w:p>
      <w:pPr>
        <w:pStyle w:val="13"/>
        <w:overflowPunct w:val="0"/>
        <w:snapToGrid w:val="0"/>
        <w:spacing w:line="640" w:lineRule="exact"/>
        <w:ind w:firstLine="619" w:firstLineChars="150"/>
        <w:rPr>
          <w:rFonts w:hint="eastAsia" w:ascii="仿宋_GB2312" w:eastAsia="仿宋_GB2312"/>
          <w:bCs/>
          <w:snapToGrid w:val="0"/>
          <w:color w:val="auto"/>
          <w:spacing w:val="-6"/>
          <w:sz w:val="32"/>
          <w:szCs w:val="32"/>
        </w:rPr>
      </w:pPr>
      <w:r>
        <w:rPr>
          <w:rFonts w:hint="eastAsia" w:ascii="仿宋_GB2312" w:eastAsia="仿宋_GB2312"/>
          <w:bCs/>
          <w:snapToGrid w:val="0"/>
          <w:color w:val="auto"/>
          <w:spacing w:val="-6"/>
          <w:sz w:val="32"/>
          <w:szCs w:val="32"/>
        </w:rPr>
        <w:t>③其它类型包括：沉积型、沉积变质型、岩浆岩型、热液型等。</w:t>
      </w:r>
    </w:p>
    <w:p>
      <w:pPr>
        <w:pStyle w:val="13"/>
        <w:overflowPunct w:val="0"/>
        <w:snapToGrid w:val="0"/>
        <w:spacing w:line="640" w:lineRule="exact"/>
        <w:ind w:firstLine="637" w:firstLineChars="150"/>
        <w:rPr>
          <w:rFonts w:ascii="楷体_GB2312" w:eastAsia="楷体_GB2312"/>
          <w:bCs/>
          <w:snapToGrid w:val="0"/>
          <w:color w:val="auto"/>
          <w:sz w:val="32"/>
          <w:szCs w:val="32"/>
        </w:rPr>
      </w:pPr>
      <w:r>
        <w:rPr>
          <w:rFonts w:hint="eastAsia" w:ascii="楷体_GB2312" w:eastAsia="楷体_GB2312"/>
          <w:bCs/>
          <w:snapToGrid w:val="0"/>
          <w:color w:val="auto"/>
          <w:sz w:val="32"/>
          <w:szCs w:val="32"/>
        </w:rPr>
        <w:t>（二）选矿回收率</w:t>
      </w:r>
    </w:p>
    <w:p>
      <w:pPr>
        <w:overflowPunct w:val="0"/>
        <w:adjustRightInd w:val="0"/>
        <w:snapToGrid w:val="0"/>
        <w:spacing w:line="64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根据含铁矿物的主要自然类型和磨矿细度的不同，铁矿的选矿回收率应达到表</w:t>
      </w:r>
      <w:r>
        <w:rPr>
          <w:rFonts w:ascii="仿宋_GB2312" w:hAnsi="Times New Roman" w:eastAsia="仿宋_GB2312"/>
          <w:bCs/>
          <w:snapToGrid w:val="0"/>
          <w:kern w:val="0"/>
          <w:sz w:val="32"/>
          <w:szCs w:val="32"/>
        </w:rPr>
        <w:t>2</w:t>
      </w:r>
      <w:r>
        <w:rPr>
          <w:rFonts w:hint="eastAsia" w:ascii="仿宋_GB2312" w:hAnsi="Times New Roman" w:eastAsia="仿宋_GB2312"/>
          <w:bCs/>
          <w:snapToGrid w:val="0"/>
          <w:kern w:val="0"/>
          <w:sz w:val="32"/>
          <w:szCs w:val="32"/>
        </w:rPr>
        <w:t>规定的指标要求。</w:t>
      </w:r>
    </w:p>
    <w:p>
      <w:pPr>
        <w:overflowPunct w:val="0"/>
        <w:autoSpaceDE w:val="0"/>
        <w:autoSpaceDN w:val="0"/>
        <w:adjustRightInd w:val="0"/>
        <w:snapToGrid w:val="0"/>
        <w:spacing w:line="560" w:lineRule="exact"/>
        <w:ind w:firstLine="420"/>
        <w:jc w:val="center"/>
        <w:textAlignment w:val="center"/>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表</w:t>
      </w:r>
      <w:r>
        <w:rPr>
          <w:rFonts w:ascii="仿宋_GB2312" w:hAnsi="Times New Roman" w:eastAsia="仿宋_GB2312"/>
          <w:bCs/>
          <w:snapToGrid w:val="0"/>
          <w:kern w:val="0"/>
          <w:sz w:val="32"/>
          <w:szCs w:val="32"/>
        </w:rPr>
        <w:t xml:space="preserve">2  </w:t>
      </w:r>
      <w:r>
        <w:rPr>
          <w:rFonts w:hint="eastAsia" w:ascii="仿宋_GB2312" w:hAnsi="Times New Roman" w:eastAsia="仿宋_GB2312"/>
          <w:bCs/>
          <w:snapToGrid w:val="0"/>
          <w:kern w:val="0"/>
          <w:sz w:val="32"/>
          <w:szCs w:val="32"/>
        </w:rPr>
        <w:t>主要铁矿类型的选矿回收率指标要求</w:t>
      </w:r>
    </w:p>
    <w:tbl>
      <w:tblPr>
        <w:tblStyle w:val="7"/>
        <w:tblW w:w="9170" w:type="dxa"/>
        <w:jc w:val="center"/>
        <w:tblLayout w:type="fixed"/>
        <w:tblCellMar>
          <w:top w:w="0" w:type="dxa"/>
          <w:left w:w="0" w:type="dxa"/>
          <w:bottom w:w="0" w:type="dxa"/>
          <w:right w:w="0" w:type="dxa"/>
        </w:tblCellMar>
      </w:tblPr>
      <w:tblGrid>
        <w:gridCol w:w="666"/>
        <w:gridCol w:w="2349"/>
        <w:gridCol w:w="1901"/>
        <w:gridCol w:w="1144"/>
        <w:gridCol w:w="1190"/>
        <w:gridCol w:w="1920"/>
      </w:tblGrid>
      <w:tr>
        <w:tblPrEx>
          <w:tblCellMar>
            <w:top w:w="0" w:type="dxa"/>
            <w:left w:w="0" w:type="dxa"/>
            <w:bottom w:w="0" w:type="dxa"/>
            <w:right w:w="0" w:type="dxa"/>
          </w:tblCellMar>
        </w:tblPrEx>
        <w:trPr>
          <w:trHeight w:val="340" w:hRule="atLeast"/>
          <w:jc w:val="center"/>
        </w:trPr>
        <w:tc>
          <w:tcPr>
            <w:tcW w:w="666" w:type="dxa"/>
            <w:tcBorders>
              <w:top w:val="single" w:color="000000" w:sz="2" w:space="0"/>
              <w:left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黑体" w:hAnsi="黑体" w:eastAsia="黑体"/>
                <w:bCs/>
                <w:snapToGrid w:val="0"/>
                <w:kern w:val="0"/>
                <w:sz w:val="32"/>
                <w:szCs w:val="32"/>
                <w:lang w:val="zh-CN"/>
              </w:rPr>
            </w:pPr>
            <w:r>
              <w:rPr>
                <w:rFonts w:hint="eastAsia" w:ascii="黑体" w:hAnsi="黑体" w:eastAsia="黑体"/>
                <w:bCs/>
                <w:snapToGrid w:val="0"/>
                <w:kern w:val="0"/>
                <w:sz w:val="32"/>
                <w:szCs w:val="32"/>
                <w:lang w:val="zh-CN"/>
              </w:rPr>
              <w:t>序号</w:t>
            </w:r>
          </w:p>
        </w:tc>
        <w:tc>
          <w:tcPr>
            <w:tcW w:w="2349" w:type="dxa"/>
            <w:tcBorders>
              <w:top w:val="single" w:color="000000" w:sz="2" w:space="0"/>
              <w:left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黑体" w:hAnsi="黑体" w:eastAsia="黑体"/>
                <w:bCs/>
                <w:snapToGrid w:val="0"/>
                <w:kern w:val="0"/>
                <w:sz w:val="32"/>
                <w:szCs w:val="32"/>
                <w:lang w:val="zh-CN"/>
              </w:rPr>
            </w:pPr>
            <w:r>
              <w:rPr>
                <w:rFonts w:hint="eastAsia" w:ascii="黑体" w:hAnsi="黑体" w:eastAsia="黑体"/>
                <w:bCs/>
                <w:snapToGrid w:val="0"/>
                <w:kern w:val="0"/>
                <w:sz w:val="32"/>
                <w:szCs w:val="32"/>
                <w:lang w:val="zh-CN"/>
              </w:rPr>
              <w:t>铁矿类型</w:t>
            </w:r>
          </w:p>
        </w:tc>
        <w:tc>
          <w:tcPr>
            <w:tcW w:w="1901" w:type="dxa"/>
            <w:tcBorders>
              <w:top w:val="single" w:color="000000" w:sz="2" w:space="0"/>
              <w:left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黑体" w:hAnsi="黑体" w:eastAsia="黑体"/>
                <w:bCs/>
                <w:snapToGrid w:val="0"/>
                <w:kern w:val="0"/>
                <w:sz w:val="32"/>
                <w:szCs w:val="32"/>
                <w:lang w:val="zh-CN"/>
              </w:rPr>
            </w:pPr>
            <w:r>
              <w:rPr>
                <w:rFonts w:hint="eastAsia" w:ascii="黑体" w:hAnsi="黑体" w:eastAsia="黑体"/>
                <w:bCs/>
                <w:snapToGrid w:val="0"/>
                <w:kern w:val="0"/>
                <w:sz w:val="32"/>
                <w:szCs w:val="32"/>
                <w:lang w:val="zh-CN"/>
              </w:rPr>
              <w:t>磨矿细度</w:t>
            </w:r>
            <w:r>
              <w:rPr>
                <w:rFonts w:hint="eastAsia" w:ascii="黑体" w:hAnsi="黑体" w:eastAsia="黑体"/>
                <w:bCs/>
                <w:snapToGrid w:val="0"/>
                <w:kern w:val="0"/>
                <w:sz w:val="32"/>
                <w:szCs w:val="32"/>
                <w:vertAlign w:val="superscript"/>
                <w:lang w:val="zh-CN"/>
              </w:rPr>
              <w:t>③</w:t>
            </w:r>
          </w:p>
        </w:tc>
        <w:tc>
          <w:tcPr>
            <w:tcW w:w="2334" w:type="dxa"/>
            <w:gridSpan w:val="2"/>
            <w:tcBorders>
              <w:top w:val="single" w:color="000000" w:sz="2" w:space="0"/>
              <w:left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黑体" w:hAnsi="黑体" w:eastAsia="黑体"/>
                <w:bCs/>
                <w:snapToGrid w:val="0"/>
                <w:spacing w:val="0"/>
                <w:kern w:val="0"/>
                <w:sz w:val="32"/>
                <w:szCs w:val="32"/>
                <w:highlight w:val="yellow"/>
                <w:lang w:val="zh-CN"/>
              </w:rPr>
            </w:pPr>
            <w:r>
              <w:rPr>
                <w:rFonts w:hint="eastAsia" w:ascii="黑体" w:hAnsi="黑体" w:eastAsia="黑体"/>
                <w:bCs/>
                <w:snapToGrid w:val="0"/>
                <w:spacing w:val="0"/>
                <w:kern w:val="0"/>
                <w:sz w:val="32"/>
                <w:szCs w:val="32"/>
                <w:lang w:val="zh-CN"/>
              </w:rPr>
              <w:t>选矿回收率（</w:t>
            </w:r>
            <w:r>
              <w:rPr>
                <w:rFonts w:ascii="黑体" w:hAnsi="黑体" w:eastAsia="黑体"/>
                <w:bCs/>
                <w:snapToGrid w:val="0"/>
                <w:spacing w:val="0"/>
                <w:kern w:val="0"/>
                <w:sz w:val="32"/>
                <w:szCs w:val="32"/>
                <w:lang w:val="zh-CN"/>
              </w:rPr>
              <w:t>%</w:t>
            </w:r>
            <w:r>
              <w:rPr>
                <w:rFonts w:hint="eastAsia" w:ascii="黑体" w:hAnsi="黑体" w:eastAsia="黑体"/>
                <w:bCs/>
                <w:snapToGrid w:val="0"/>
                <w:spacing w:val="0"/>
                <w:kern w:val="0"/>
                <w:sz w:val="32"/>
                <w:szCs w:val="32"/>
                <w:lang w:val="zh-CN"/>
              </w:rPr>
              <w:t>）</w:t>
            </w:r>
            <w:r>
              <w:rPr>
                <w:rFonts w:hint="eastAsia" w:ascii="黑体" w:hAnsi="黑体" w:eastAsia="黑体"/>
                <w:bCs/>
                <w:snapToGrid w:val="0"/>
                <w:spacing w:val="0"/>
                <w:kern w:val="0"/>
                <w:sz w:val="32"/>
                <w:szCs w:val="32"/>
                <w:vertAlign w:val="superscript"/>
                <w:lang w:val="zh-CN"/>
              </w:rPr>
              <w:t>④</w:t>
            </w:r>
          </w:p>
        </w:tc>
        <w:tc>
          <w:tcPr>
            <w:tcW w:w="1920" w:type="dxa"/>
            <w:tcBorders>
              <w:top w:val="single" w:color="000000" w:sz="2" w:space="0"/>
              <w:left w:val="single" w:color="auto" w:sz="4" w:space="0"/>
              <w:right w:val="single" w:color="000000" w:sz="2" w:space="0"/>
            </w:tcBorders>
            <w:vAlign w:val="center"/>
          </w:tcPr>
          <w:p>
            <w:pPr>
              <w:overflowPunct w:val="0"/>
              <w:autoSpaceDE w:val="0"/>
              <w:autoSpaceDN w:val="0"/>
              <w:adjustRightInd w:val="0"/>
              <w:snapToGrid w:val="0"/>
              <w:spacing w:line="560" w:lineRule="exact"/>
              <w:jc w:val="center"/>
              <w:textAlignment w:val="center"/>
              <w:rPr>
                <w:rFonts w:ascii="黑体" w:hAnsi="黑体" w:eastAsia="黑体"/>
                <w:bCs/>
                <w:snapToGrid w:val="0"/>
                <w:kern w:val="0"/>
                <w:sz w:val="32"/>
                <w:szCs w:val="32"/>
                <w:lang w:val="zh-CN"/>
              </w:rPr>
            </w:pPr>
            <w:r>
              <w:rPr>
                <w:rFonts w:hint="eastAsia" w:ascii="黑体" w:hAnsi="黑体" w:eastAsia="黑体"/>
                <w:bCs/>
                <w:snapToGrid w:val="0"/>
                <w:kern w:val="0"/>
                <w:sz w:val="32"/>
                <w:szCs w:val="32"/>
                <w:lang w:val="zh-CN"/>
              </w:rPr>
              <w:t>备注</w:t>
            </w:r>
          </w:p>
        </w:tc>
      </w:tr>
      <w:tr>
        <w:tblPrEx>
          <w:tblCellMar>
            <w:top w:w="0" w:type="dxa"/>
            <w:left w:w="0" w:type="dxa"/>
            <w:bottom w:w="0" w:type="dxa"/>
            <w:right w:w="0" w:type="dxa"/>
          </w:tblCellMar>
        </w:tblPrEx>
        <w:trPr>
          <w:trHeight w:val="340" w:hRule="atLeast"/>
          <w:jc w:val="center"/>
        </w:trPr>
        <w:tc>
          <w:tcPr>
            <w:tcW w:w="666"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1</w:t>
            </w:r>
          </w:p>
        </w:tc>
        <w:tc>
          <w:tcPr>
            <w:tcW w:w="2349"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磁铁矿</w:t>
            </w:r>
            <w:r>
              <w:rPr>
                <w:rFonts w:hint="eastAsia" w:ascii="仿宋_GB2312" w:hAnsi="Times New Roman" w:eastAsia="仿宋_GB2312"/>
                <w:bCs/>
                <w:snapToGrid w:val="0"/>
                <w:kern w:val="0"/>
                <w:sz w:val="32"/>
                <w:szCs w:val="32"/>
                <w:vertAlign w:val="superscript"/>
                <w:lang w:val="zh-CN"/>
              </w:rPr>
              <w:t>①</w:t>
            </w:r>
          </w:p>
        </w:tc>
        <w:tc>
          <w:tcPr>
            <w:tcW w:w="19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中细粒以上</w:t>
            </w:r>
          </w:p>
        </w:tc>
        <w:tc>
          <w:tcPr>
            <w:tcW w:w="2334" w:type="dxa"/>
            <w:gridSpan w:val="2"/>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95.00</w:t>
            </w:r>
          </w:p>
        </w:tc>
        <w:tc>
          <w:tcPr>
            <w:tcW w:w="1920" w:type="dxa"/>
            <w:vMerge w:val="restart"/>
            <w:tcBorders>
              <w:top w:val="single" w:color="000000" w:sz="2" w:space="0"/>
              <w:left w:val="single" w:color="auto" w:sz="4"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指磁性铁回收率</w:t>
            </w:r>
          </w:p>
        </w:tc>
      </w:tr>
      <w:tr>
        <w:tblPrEx>
          <w:tblCellMar>
            <w:top w:w="0" w:type="dxa"/>
            <w:left w:w="0" w:type="dxa"/>
            <w:bottom w:w="0" w:type="dxa"/>
            <w:right w:w="0" w:type="dxa"/>
          </w:tblCellMar>
        </w:tblPrEx>
        <w:trPr>
          <w:trHeight w:val="340" w:hRule="atLeast"/>
          <w:jc w:val="center"/>
        </w:trPr>
        <w:tc>
          <w:tcPr>
            <w:tcW w:w="666" w:type="dxa"/>
            <w:vMerge w:val="continue"/>
            <w:tcBorders>
              <w:top w:val="single" w:color="000000" w:sz="2" w:space="0"/>
              <w:left w:val="single" w:color="000000" w:sz="2"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c>
          <w:tcPr>
            <w:tcW w:w="2349" w:type="dxa"/>
            <w:vMerge w:val="continue"/>
            <w:tcBorders>
              <w:top w:val="single" w:color="000000" w:sz="2" w:space="0"/>
              <w:left w:val="single" w:color="000000" w:sz="2"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c>
          <w:tcPr>
            <w:tcW w:w="19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细粒、微细粒</w:t>
            </w:r>
          </w:p>
        </w:tc>
        <w:tc>
          <w:tcPr>
            <w:tcW w:w="2334" w:type="dxa"/>
            <w:gridSpan w:val="2"/>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90.00</w:t>
            </w:r>
          </w:p>
        </w:tc>
        <w:tc>
          <w:tcPr>
            <w:tcW w:w="1920" w:type="dxa"/>
            <w:vMerge w:val="continue"/>
            <w:tcBorders>
              <w:top w:val="single" w:color="000000" w:sz="2" w:space="0"/>
              <w:left w:val="single" w:color="auto" w:sz="4"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r>
      <w:tr>
        <w:tblPrEx>
          <w:tblCellMar>
            <w:top w:w="0" w:type="dxa"/>
            <w:left w:w="0" w:type="dxa"/>
            <w:bottom w:w="0" w:type="dxa"/>
            <w:right w:w="0" w:type="dxa"/>
          </w:tblCellMar>
        </w:tblPrEx>
        <w:trPr>
          <w:trHeight w:val="340" w:hRule="atLeast"/>
          <w:jc w:val="center"/>
        </w:trPr>
        <w:tc>
          <w:tcPr>
            <w:tcW w:w="666"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2</w:t>
            </w:r>
          </w:p>
        </w:tc>
        <w:tc>
          <w:tcPr>
            <w:tcW w:w="2349"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弱磁性磁铁矿</w:t>
            </w:r>
            <w:r>
              <w:rPr>
                <w:rFonts w:hint="eastAsia" w:ascii="仿宋_GB2312" w:hAnsi="Times New Roman" w:eastAsia="仿宋_GB2312"/>
                <w:bCs/>
                <w:snapToGrid w:val="0"/>
                <w:kern w:val="0"/>
                <w:sz w:val="32"/>
                <w:szCs w:val="32"/>
                <w:vertAlign w:val="superscript"/>
                <w:lang w:val="zh-CN"/>
              </w:rPr>
              <w:t>②</w:t>
            </w:r>
          </w:p>
        </w:tc>
        <w:tc>
          <w:tcPr>
            <w:tcW w:w="19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中细粒以上</w:t>
            </w:r>
          </w:p>
        </w:tc>
        <w:tc>
          <w:tcPr>
            <w:tcW w:w="2334" w:type="dxa"/>
            <w:gridSpan w:val="2"/>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90.00</w:t>
            </w:r>
          </w:p>
        </w:tc>
        <w:tc>
          <w:tcPr>
            <w:tcW w:w="1920" w:type="dxa"/>
            <w:vMerge w:val="restart"/>
            <w:tcBorders>
              <w:top w:val="single" w:color="000000" w:sz="2" w:space="0"/>
              <w:left w:val="single" w:color="auto" w:sz="4"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指磁性铁回收率</w:t>
            </w:r>
          </w:p>
        </w:tc>
      </w:tr>
      <w:tr>
        <w:tblPrEx>
          <w:tblCellMar>
            <w:top w:w="0" w:type="dxa"/>
            <w:left w:w="0" w:type="dxa"/>
            <w:bottom w:w="0" w:type="dxa"/>
            <w:right w:w="0" w:type="dxa"/>
          </w:tblCellMar>
        </w:tblPrEx>
        <w:trPr>
          <w:trHeight w:val="340" w:hRule="atLeast"/>
          <w:jc w:val="center"/>
        </w:trPr>
        <w:tc>
          <w:tcPr>
            <w:tcW w:w="666" w:type="dxa"/>
            <w:vMerge w:val="continue"/>
            <w:tcBorders>
              <w:top w:val="single" w:color="000000" w:sz="2" w:space="0"/>
              <w:left w:val="single" w:color="000000" w:sz="2"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c>
          <w:tcPr>
            <w:tcW w:w="2349" w:type="dxa"/>
            <w:vMerge w:val="continue"/>
            <w:tcBorders>
              <w:top w:val="single" w:color="000000" w:sz="2" w:space="0"/>
              <w:left w:val="single" w:color="000000" w:sz="2"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c>
          <w:tcPr>
            <w:tcW w:w="19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细粒、微细粒</w:t>
            </w:r>
          </w:p>
        </w:tc>
        <w:tc>
          <w:tcPr>
            <w:tcW w:w="2334" w:type="dxa"/>
            <w:gridSpan w:val="2"/>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85.00</w:t>
            </w:r>
          </w:p>
        </w:tc>
        <w:tc>
          <w:tcPr>
            <w:tcW w:w="1920" w:type="dxa"/>
            <w:vMerge w:val="continue"/>
            <w:tcBorders>
              <w:top w:val="single" w:color="000000" w:sz="2" w:space="0"/>
              <w:left w:val="single" w:color="auto" w:sz="4"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r>
      <w:tr>
        <w:tblPrEx>
          <w:tblCellMar>
            <w:top w:w="0" w:type="dxa"/>
            <w:left w:w="0" w:type="dxa"/>
            <w:bottom w:w="0" w:type="dxa"/>
            <w:right w:w="0" w:type="dxa"/>
          </w:tblCellMar>
        </w:tblPrEx>
        <w:trPr>
          <w:trHeight w:val="340" w:hRule="atLeast"/>
          <w:jc w:val="center"/>
        </w:trPr>
        <w:tc>
          <w:tcPr>
            <w:tcW w:w="666"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3</w:t>
            </w:r>
          </w:p>
        </w:tc>
        <w:tc>
          <w:tcPr>
            <w:tcW w:w="2349"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赤铁矿（含镜铁矿）</w:t>
            </w:r>
          </w:p>
        </w:tc>
        <w:tc>
          <w:tcPr>
            <w:tcW w:w="19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中细粒以上</w:t>
            </w:r>
          </w:p>
        </w:tc>
        <w:tc>
          <w:tcPr>
            <w:tcW w:w="2334" w:type="dxa"/>
            <w:gridSpan w:val="2"/>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75.00</w:t>
            </w:r>
          </w:p>
        </w:tc>
        <w:tc>
          <w:tcPr>
            <w:tcW w:w="1920" w:type="dxa"/>
            <w:vMerge w:val="restart"/>
            <w:tcBorders>
              <w:top w:val="single" w:color="000000" w:sz="2" w:space="0"/>
              <w:left w:val="single" w:color="auto" w:sz="4"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p>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p>
        </w:tc>
      </w:tr>
      <w:tr>
        <w:tblPrEx>
          <w:tblCellMar>
            <w:top w:w="0" w:type="dxa"/>
            <w:left w:w="0" w:type="dxa"/>
            <w:bottom w:w="0" w:type="dxa"/>
            <w:right w:w="0" w:type="dxa"/>
          </w:tblCellMar>
        </w:tblPrEx>
        <w:trPr>
          <w:trHeight w:val="340" w:hRule="atLeast"/>
          <w:jc w:val="center"/>
        </w:trPr>
        <w:tc>
          <w:tcPr>
            <w:tcW w:w="666" w:type="dxa"/>
            <w:vMerge w:val="continue"/>
            <w:tcBorders>
              <w:top w:val="single" w:color="000000" w:sz="2" w:space="0"/>
              <w:left w:val="single" w:color="000000" w:sz="2"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c>
          <w:tcPr>
            <w:tcW w:w="2349" w:type="dxa"/>
            <w:vMerge w:val="continue"/>
            <w:tcBorders>
              <w:top w:val="single" w:color="000000" w:sz="2" w:space="0"/>
              <w:left w:val="single" w:color="000000" w:sz="2"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c>
          <w:tcPr>
            <w:tcW w:w="19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细粒、微细粒</w:t>
            </w:r>
          </w:p>
        </w:tc>
        <w:tc>
          <w:tcPr>
            <w:tcW w:w="2334" w:type="dxa"/>
            <w:gridSpan w:val="2"/>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70.00</w:t>
            </w:r>
          </w:p>
        </w:tc>
        <w:tc>
          <w:tcPr>
            <w:tcW w:w="1920" w:type="dxa"/>
            <w:vMerge w:val="continue"/>
            <w:tcBorders>
              <w:top w:val="single" w:color="000000" w:sz="2" w:space="0"/>
              <w:left w:val="single" w:color="auto" w:sz="4"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r>
      <w:tr>
        <w:tblPrEx>
          <w:tblCellMar>
            <w:top w:w="0" w:type="dxa"/>
            <w:left w:w="0" w:type="dxa"/>
            <w:bottom w:w="0" w:type="dxa"/>
            <w:right w:w="0" w:type="dxa"/>
          </w:tblCellMar>
        </w:tblPrEx>
        <w:trPr>
          <w:trHeight w:val="340" w:hRule="atLeast"/>
          <w:jc w:val="center"/>
        </w:trPr>
        <w:tc>
          <w:tcPr>
            <w:tcW w:w="666"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4</w:t>
            </w:r>
          </w:p>
        </w:tc>
        <w:tc>
          <w:tcPr>
            <w:tcW w:w="2349"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磁</w:t>
            </w:r>
            <w:r>
              <w:rPr>
                <w:rFonts w:ascii="仿宋_GB2312" w:hAnsi="Times New Roman" w:eastAsia="仿宋_GB2312"/>
                <w:bCs/>
                <w:snapToGrid w:val="0"/>
                <w:kern w:val="0"/>
                <w:sz w:val="32"/>
                <w:szCs w:val="32"/>
                <w:lang w:val="zh-CN"/>
              </w:rPr>
              <w:t>-</w:t>
            </w:r>
            <w:r>
              <w:rPr>
                <w:rFonts w:hint="eastAsia" w:ascii="仿宋_GB2312" w:hAnsi="Times New Roman" w:eastAsia="仿宋_GB2312"/>
                <w:bCs/>
                <w:snapToGrid w:val="0"/>
                <w:kern w:val="0"/>
                <w:sz w:val="32"/>
                <w:szCs w:val="32"/>
                <w:lang w:val="zh-CN"/>
              </w:rPr>
              <w:t>赤混合矿</w:t>
            </w:r>
          </w:p>
        </w:tc>
        <w:tc>
          <w:tcPr>
            <w:tcW w:w="19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中细粒以上</w:t>
            </w:r>
          </w:p>
        </w:tc>
        <w:tc>
          <w:tcPr>
            <w:tcW w:w="2334" w:type="dxa"/>
            <w:gridSpan w:val="2"/>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78.00</w:t>
            </w:r>
          </w:p>
        </w:tc>
        <w:tc>
          <w:tcPr>
            <w:tcW w:w="1920" w:type="dxa"/>
            <w:vMerge w:val="restart"/>
            <w:tcBorders>
              <w:top w:val="single" w:color="000000" w:sz="2" w:space="0"/>
              <w:left w:val="single" w:color="auto" w:sz="4"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指磁铁矿与赤铁矿共生的混合矿</w:t>
            </w:r>
          </w:p>
        </w:tc>
      </w:tr>
      <w:tr>
        <w:tblPrEx>
          <w:tblCellMar>
            <w:top w:w="0" w:type="dxa"/>
            <w:left w:w="0" w:type="dxa"/>
            <w:bottom w:w="0" w:type="dxa"/>
            <w:right w:w="0" w:type="dxa"/>
          </w:tblCellMar>
        </w:tblPrEx>
        <w:trPr>
          <w:trHeight w:val="340" w:hRule="atLeast"/>
          <w:jc w:val="center"/>
        </w:trPr>
        <w:tc>
          <w:tcPr>
            <w:tcW w:w="666" w:type="dxa"/>
            <w:vMerge w:val="continue"/>
            <w:tcBorders>
              <w:top w:val="single" w:color="000000" w:sz="2" w:space="0"/>
              <w:left w:val="single" w:color="000000" w:sz="2"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c>
          <w:tcPr>
            <w:tcW w:w="2349" w:type="dxa"/>
            <w:vMerge w:val="continue"/>
            <w:tcBorders>
              <w:top w:val="single" w:color="000000" w:sz="2" w:space="0"/>
              <w:left w:val="single" w:color="000000" w:sz="2"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c>
          <w:tcPr>
            <w:tcW w:w="19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细粒、微细粒</w:t>
            </w:r>
          </w:p>
        </w:tc>
        <w:tc>
          <w:tcPr>
            <w:tcW w:w="2334" w:type="dxa"/>
            <w:gridSpan w:val="2"/>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72.00</w:t>
            </w:r>
          </w:p>
        </w:tc>
        <w:tc>
          <w:tcPr>
            <w:tcW w:w="1920" w:type="dxa"/>
            <w:vMerge w:val="continue"/>
            <w:tcBorders>
              <w:top w:val="single" w:color="000000" w:sz="2" w:space="0"/>
              <w:left w:val="single" w:color="auto" w:sz="4"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r>
      <w:tr>
        <w:tblPrEx>
          <w:tblCellMar>
            <w:top w:w="0" w:type="dxa"/>
            <w:left w:w="0" w:type="dxa"/>
            <w:bottom w:w="0" w:type="dxa"/>
            <w:right w:w="0" w:type="dxa"/>
          </w:tblCellMar>
        </w:tblPrEx>
        <w:trPr>
          <w:trHeight w:val="340" w:hRule="atLeast"/>
          <w:jc w:val="center"/>
        </w:trPr>
        <w:tc>
          <w:tcPr>
            <w:tcW w:w="666"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5</w:t>
            </w:r>
          </w:p>
        </w:tc>
        <w:tc>
          <w:tcPr>
            <w:tcW w:w="2349"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褐铁矿</w:t>
            </w:r>
          </w:p>
        </w:tc>
        <w:tc>
          <w:tcPr>
            <w:tcW w:w="19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中细粒以上</w:t>
            </w:r>
          </w:p>
        </w:tc>
        <w:tc>
          <w:tcPr>
            <w:tcW w:w="114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55</w:t>
            </w:r>
            <w:r>
              <w:rPr>
                <w:rFonts w:hint="eastAsia" w:ascii="仿宋_GB2312" w:hAnsi="Times New Roman" w:eastAsia="仿宋_GB2312"/>
                <w:bCs/>
                <w:snapToGrid w:val="0"/>
                <w:kern w:val="0"/>
                <w:sz w:val="32"/>
                <w:szCs w:val="32"/>
                <w:lang w:val="zh-CN"/>
              </w:rPr>
              <w:t>.00</w:t>
            </w:r>
          </w:p>
        </w:tc>
        <w:tc>
          <w:tcPr>
            <w:tcW w:w="1190" w:type="dxa"/>
            <w:vMerge w:val="restart"/>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80</w:t>
            </w:r>
            <w:r>
              <w:rPr>
                <w:rFonts w:hint="eastAsia" w:ascii="仿宋_GB2312" w:hAnsi="Times New Roman" w:eastAsia="仿宋_GB2312"/>
                <w:bCs/>
                <w:snapToGrid w:val="0"/>
                <w:kern w:val="0"/>
                <w:sz w:val="32"/>
                <w:szCs w:val="32"/>
                <w:lang w:val="zh-CN"/>
              </w:rPr>
              <w:t>.00</w:t>
            </w:r>
            <w:r>
              <w:rPr>
                <w:rFonts w:hint="eastAsia" w:ascii="仿宋_GB2312" w:hAnsi="Times New Roman" w:eastAsia="仿宋_GB2312"/>
                <w:bCs/>
                <w:snapToGrid w:val="0"/>
                <w:kern w:val="0"/>
                <w:sz w:val="32"/>
                <w:szCs w:val="32"/>
                <w:vertAlign w:val="superscript"/>
                <w:lang w:val="zh-CN"/>
              </w:rPr>
              <w:t>⑤</w:t>
            </w:r>
          </w:p>
        </w:tc>
        <w:tc>
          <w:tcPr>
            <w:tcW w:w="1920" w:type="dxa"/>
            <w:vMerge w:val="restart"/>
            <w:tcBorders>
              <w:top w:val="single" w:color="000000" w:sz="2" w:space="0"/>
              <w:left w:val="single" w:color="auto" w:sz="4"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p>
        </w:tc>
      </w:tr>
      <w:tr>
        <w:tblPrEx>
          <w:tblCellMar>
            <w:top w:w="0" w:type="dxa"/>
            <w:left w:w="0" w:type="dxa"/>
            <w:bottom w:w="0" w:type="dxa"/>
            <w:right w:w="0" w:type="dxa"/>
          </w:tblCellMar>
        </w:tblPrEx>
        <w:trPr>
          <w:trHeight w:val="340" w:hRule="atLeast"/>
          <w:jc w:val="center"/>
        </w:trPr>
        <w:tc>
          <w:tcPr>
            <w:tcW w:w="666" w:type="dxa"/>
            <w:vMerge w:val="continue"/>
            <w:tcBorders>
              <w:top w:val="single" w:color="000000" w:sz="2" w:space="0"/>
              <w:left w:val="single" w:color="000000" w:sz="2"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c>
          <w:tcPr>
            <w:tcW w:w="2349" w:type="dxa"/>
            <w:vMerge w:val="continue"/>
            <w:tcBorders>
              <w:top w:val="single" w:color="000000" w:sz="2" w:space="0"/>
              <w:left w:val="single" w:color="000000" w:sz="2"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c>
          <w:tcPr>
            <w:tcW w:w="19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细粒、微细粒</w:t>
            </w:r>
          </w:p>
        </w:tc>
        <w:tc>
          <w:tcPr>
            <w:tcW w:w="1144"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50</w:t>
            </w:r>
            <w:r>
              <w:rPr>
                <w:rFonts w:hint="eastAsia" w:ascii="仿宋_GB2312" w:hAnsi="Times New Roman" w:eastAsia="仿宋_GB2312"/>
                <w:bCs/>
                <w:snapToGrid w:val="0"/>
                <w:kern w:val="0"/>
                <w:sz w:val="32"/>
                <w:szCs w:val="32"/>
                <w:lang w:val="zh-CN"/>
              </w:rPr>
              <w:t>.00</w:t>
            </w:r>
          </w:p>
        </w:tc>
        <w:tc>
          <w:tcPr>
            <w:tcW w:w="1190" w:type="dxa"/>
            <w:vMerge w:val="continue"/>
            <w:tcBorders>
              <w:top w:val="single" w:color="000000" w:sz="2" w:space="0"/>
              <w:left w:val="single" w:color="000000" w:sz="2" w:space="0"/>
              <w:bottom w:val="single" w:color="000000" w:sz="2" w:space="0"/>
              <w:right w:val="single" w:color="auto" w:sz="4"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c>
          <w:tcPr>
            <w:tcW w:w="1920" w:type="dxa"/>
            <w:vMerge w:val="continue"/>
            <w:tcBorders>
              <w:top w:val="single" w:color="000000" w:sz="2" w:space="0"/>
              <w:left w:val="single" w:color="auto" w:sz="4"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r>
      <w:tr>
        <w:tblPrEx>
          <w:tblCellMar>
            <w:top w:w="0" w:type="dxa"/>
            <w:left w:w="0" w:type="dxa"/>
            <w:bottom w:w="0" w:type="dxa"/>
            <w:right w:w="0" w:type="dxa"/>
          </w:tblCellMar>
        </w:tblPrEx>
        <w:trPr>
          <w:trHeight w:val="340" w:hRule="atLeast"/>
          <w:jc w:val="center"/>
        </w:trPr>
        <w:tc>
          <w:tcPr>
            <w:tcW w:w="666"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6</w:t>
            </w:r>
          </w:p>
        </w:tc>
        <w:tc>
          <w:tcPr>
            <w:tcW w:w="2349" w:type="dxa"/>
            <w:vMerge w:val="restart"/>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菱铁矿</w:t>
            </w:r>
          </w:p>
        </w:tc>
        <w:tc>
          <w:tcPr>
            <w:tcW w:w="19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中细粒以上</w:t>
            </w:r>
          </w:p>
        </w:tc>
        <w:tc>
          <w:tcPr>
            <w:tcW w:w="2334" w:type="dxa"/>
            <w:gridSpan w:val="2"/>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80.00</w:t>
            </w:r>
          </w:p>
        </w:tc>
        <w:tc>
          <w:tcPr>
            <w:tcW w:w="1920" w:type="dxa"/>
            <w:vMerge w:val="restart"/>
            <w:tcBorders>
              <w:top w:val="single" w:color="000000" w:sz="2" w:space="0"/>
              <w:left w:val="single" w:color="auto" w:sz="4"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焙烧工艺</w:t>
            </w:r>
          </w:p>
        </w:tc>
      </w:tr>
      <w:tr>
        <w:tblPrEx>
          <w:tblCellMar>
            <w:top w:w="0" w:type="dxa"/>
            <w:left w:w="0" w:type="dxa"/>
            <w:bottom w:w="0" w:type="dxa"/>
            <w:right w:w="0" w:type="dxa"/>
          </w:tblCellMar>
        </w:tblPrEx>
        <w:trPr>
          <w:trHeight w:val="340" w:hRule="atLeast"/>
          <w:jc w:val="center"/>
        </w:trPr>
        <w:tc>
          <w:tcPr>
            <w:tcW w:w="666" w:type="dxa"/>
            <w:vMerge w:val="continue"/>
            <w:tcBorders>
              <w:top w:val="single" w:color="000000" w:sz="2" w:space="0"/>
              <w:left w:val="single" w:color="000000" w:sz="2"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c>
          <w:tcPr>
            <w:tcW w:w="2349" w:type="dxa"/>
            <w:vMerge w:val="continue"/>
            <w:tcBorders>
              <w:top w:val="single" w:color="000000" w:sz="2" w:space="0"/>
              <w:left w:val="single" w:color="000000" w:sz="2"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c>
          <w:tcPr>
            <w:tcW w:w="1901"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细粒、微细粒</w:t>
            </w:r>
          </w:p>
        </w:tc>
        <w:tc>
          <w:tcPr>
            <w:tcW w:w="2334" w:type="dxa"/>
            <w:gridSpan w:val="2"/>
            <w:tcBorders>
              <w:top w:val="single" w:color="000000" w:sz="2" w:space="0"/>
              <w:left w:val="single" w:color="000000" w:sz="2" w:space="0"/>
              <w:bottom w:val="single" w:color="000000" w:sz="2" w:space="0"/>
              <w:right w:val="single" w:color="auto" w:sz="4" w:space="0"/>
            </w:tcBorders>
            <w:tcMar>
              <w:top w:w="28" w:type="dxa"/>
              <w:left w:w="28" w:type="dxa"/>
              <w:bottom w:w="28" w:type="dxa"/>
              <w:right w:w="28" w:type="dxa"/>
            </w:tcMar>
            <w:vAlign w:val="center"/>
          </w:tcPr>
          <w:p>
            <w:pPr>
              <w:overflowPunct w:val="0"/>
              <w:autoSpaceDE w:val="0"/>
              <w:autoSpaceDN w:val="0"/>
              <w:adjustRightInd w:val="0"/>
              <w:snapToGrid w:val="0"/>
              <w:spacing w:line="560" w:lineRule="exact"/>
              <w:jc w:val="center"/>
              <w:textAlignment w:val="center"/>
              <w:rPr>
                <w:rFonts w:ascii="仿宋_GB2312" w:hAnsi="Times New Roman" w:eastAsia="仿宋_GB2312"/>
                <w:bCs/>
                <w:snapToGrid w:val="0"/>
                <w:kern w:val="0"/>
                <w:sz w:val="32"/>
                <w:szCs w:val="32"/>
                <w:lang w:val="zh-CN"/>
              </w:rPr>
            </w:pPr>
            <w:r>
              <w:rPr>
                <w:rFonts w:ascii="仿宋_GB2312" w:hAnsi="Times New Roman" w:eastAsia="仿宋_GB2312"/>
                <w:bCs/>
                <w:snapToGrid w:val="0"/>
                <w:kern w:val="0"/>
                <w:sz w:val="32"/>
                <w:szCs w:val="32"/>
                <w:lang w:val="zh-CN"/>
              </w:rPr>
              <w:t>70.00</w:t>
            </w:r>
          </w:p>
        </w:tc>
        <w:tc>
          <w:tcPr>
            <w:tcW w:w="1920" w:type="dxa"/>
            <w:vMerge w:val="continue"/>
            <w:tcBorders>
              <w:top w:val="single" w:color="000000" w:sz="2" w:space="0"/>
              <w:left w:val="single" w:color="auto" w:sz="4" w:space="0"/>
              <w:bottom w:val="single" w:color="000000" w:sz="2" w:space="0"/>
              <w:right w:val="single" w:color="000000" w:sz="2" w:space="0"/>
            </w:tcBorders>
            <w:vAlign w:val="center"/>
          </w:tcPr>
          <w:p>
            <w:pPr>
              <w:overflowPunct w:val="0"/>
              <w:autoSpaceDE w:val="0"/>
              <w:autoSpaceDN w:val="0"/>
              <w:adjustRightInd w:val="0"/>
              <w:snapToGrid w:val="0"/>
              <w:spacing w:line="560" w:lineRule="exact"/>
              <w:jc w:val="center"/>
              <w:rPr>
                <w:rFonts w:ascii="仿宋_GB2312" w:hAnsi="Times New Roman" w:eastAsia="仿宋_GB2312"/>
                <w:bCs/>
                <w:snapToGrid w:val="0"/>
                <w:kern w:val="0"/>
                <w:sz w:val="32"/>
                <w:szCs w:val="32"/>
                <w:lang w:val="zh-CN"/>
              </w:rPr>
            </w:pPr>
          </w:p>
        </w:tc>
      </w:tr>
    </w:tbl>
    <w:p>
      <w:pPr>
        <w:overflowPunct w:val="0"/>
        <w:autoSpaceDE w:val="0"/>
        <w:autoSpaceDN w:val="0"/>
        <w:adjustRightInd w:val="0"/>
        <w:snapToGrid w:val="0"/>
        <w:spacing w:line="620" w:lineRule="exact"/>
        <w:ind w:firstLine="637" w:firstLineChars="150"/>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①磁铁矿是特指磁性铁占有率大于85%的铁矿。磁性铁占有率（ω）=入选原矿中磁性铁（mFe）含（%）/入选原矿中全铁（TFe）含量（%）×100%；当矿石中硅酸铁和硫化铁的铁含量之和大于3%时，其磁性铁占有率（ω）=入选原矿中磁性铁（mFe）含量（%）/[入选原矿中全铁（TFe）含量（%）-入选原矿中硅酸铁（siFe）含量（%）-入选原矿中硫化铁（sfFe）含量（%）-入选原矿中碳酸铁（cFe）含量]；</w:t>
      </w:r>
    </w:p>
    <w:p>
      <w:pPr>
        <w:overflowPunct w:val="0"/>
        <w:autoSpaceDE w:val="0"/>
        <w:autoSpaceDN w:val="0"/>
        <w:adjustRightInd w:val="0"/>
        <w:snapToGrid w:val="0"/>
        <w:spacing w:line="620" w:lineRule="exact"/>
        <w:ind w:firstLine="637" w:firstLineChars="150"/>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②弱磁性磁铁矿是指除磁铁矿—赤铁矿混合矿、磁铁矿—钛铁矿混合矿类型以外的，磁性铁占有率小于等于85%的铁矿。磁性铁占有率计算方法同注①中计算方法；</w:t>
      </w:r>
    </w:p>
    <w:p>
      <w:pPr>
        <w:overflowPunct w:val="0"/>
        <w:autoSpaceDE w:val="0"/>
        <w:autoSpaceDN w:val="0"/>
        <w:adjustRightInd w:val="0"/>
        <w:snapToGrid w:val="0"/>
        <w:spacing w:line="620" w:lineRule="exact"/>
        <w:ind w:firstLine="637" w:firstLineChars="150"/>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③中细粒级：磨矿细度-0.074mm占60%以上；细粒级：磨矿细度-0.044mm占90%以上；微细粒级：磨矿细度-0.037mm占90%以上；</w:t>
      </w:r>
    </w:p>
    <w:p>
      <w:pPr>
        <w:overflowPunct w:val="0"/>
        <w:autoSpaceDE w:val="0"/>
        <w:autoSpaceDN w:val="0"/>
        <w:adjustRightInd w:val="0"/>
        <w:snapToGrid w:val="0"/>
        <w:spacing w:line="620" w:lineRule="exact"/>
        <w:ind w:firstLine="637" w:firstLineChars="150"/>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④除磁铁矿、弱磁性磁铁矿的选矿回收率特指磁性铁回收率外，其余铁矿种类的选矿回收率均指全铁回收率；</w:t>
      </w:r>
    </w:p>
    <w:p>
      <w:pPr>
        <w:overflowPunct w:val="0"/>
        <w:autoSpaceDE w:val="0"/>
        <w:autoSpaceDN w:val="0"/>
        <w:adjustRightInd w:val="0"/>
        <w:snapToGrid w:val="0"/>
        <w:spacing w:line="620" w:lineRule="exact"/>
        <w:ind w:firstLine="637" w:firstLineChars="150"/>
        <w:textAlignment w:val="center"/>
        <w:rPr>
          <w:rFonts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⑤指焙烧工艺条件下的指标要求。</w:t>
      </w:r>
    </w:p>
    <w:p>
      <w:pPr>
        <w:pStyle w:val="13"/>
        <w:overflowPunct w:val="0"/>
        <w:snapToGrid w:val="0"/>
        <w:spacing w:line="620" w:lineRule="exact"/>
        <w:ind w:firstLine="637" w:firstLineChars="150"/>
        <w:rPr>
          <w:rFonts w:ascii="楷体_GB2312" w:eastAsia="楷体_GB2312"/>
          <w:bCs/>
          <w:snapToGrid w:val="0"/>
          <w:color w:val="auto"/>
          <w:sz w:val="32"/>
          <w:szCs w:val="32"/>
        </w:rPr>
      </w:pPr>
      <w:r>
        <w:rPr>
          <w:rFonts w:hint="eastAsia" w:ascii="楷体_GB2312" w:eastAsia="楷体_GB2312"/>
          <w:bCs/>
          <w:snapToGrid w:val="0"/>
          <w:color w:val="auto"/>
          <w:sz w:val="32"/>
          <w:szCs w:val="32"/>
        </w:rPr>
        <w:t>（三）综合利用率</w:t>
      </w:r>
    </w:p>
    <w:p>
      <w:pPr>
        <w:overflowPunct w:val="0"/>
        <w:adjustRightInd w:val="0"/>
        <w:snapToGrid w:val="0"/>
        <w:spacing w:line="62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综合利用率包含共伴生矿综合利用率、尾矿综合利用率和选矿废水综合利用。</w:t>
      </w:r>
    </w:p>
    <w:p>
      <w:pPr>
        <w:overflowPunct w:val="0"/>
        <w:adjustRightInd w:val="0"/>
        <w:snapToGrid w:val="0"/>
        <w:spacing w:line="620" w:lineRule="exact"/>
        <w:ind w:firstLine="637" w:firstLineChars="150"/>
        <w:rPr>
          <w:rFonts w:ascii="仿宋_GB2312" w:hAnsi="Times New Roman" w:eastAsia="仿宋_GB2312"/>
          <w:bCs/>
          <w:snapToGrid w:val="0"/>
          <w:kern w:val="0"/>
          <w:sz w:val="32"/>
          <w:szCs w:val="32"/>
        </w:rPr>
      </w:pPr>
      <w:r>
        <w:rPr>
          <w:rFonts w:ascii="仿宋_GB2312" w:hAnsi="Times New Roman" w:eastAsia="仿宋_GB2312"/>
          <w:bCs/>
          <w:snapToGrid w:val="0"/>
          <w:kern w:val="0"/>
          <w:sz w:val="32"/>
          <w:szCs w:val="32"/>
        </w:rPr>
        <w:t>1</w:t>
      </w:r>
      <w:r>
        <w:rPr>
          <w:rFonts w:hint="eastAsia" w:ascii="仿宋_GB2312" w:hAnsi="Times New Roman" w:eastAsia="仿宋_GB2312"/>
          <w:bCs/>
          <w:snapToGrid w:val="0"/>
          <w:kern w:val="0"/>
          <w:sz w:val="32"/>
          <w:szCs w:val="32"/>
        </w:rPr>
        <w:t>．共伴生矿综合利用率</w:t>
      </w:r>
    </w:p>
    <w:p>
      <w:pPr>
        <w:overflowPunct w:val="0"/>
        <w:adjustRightInd w:val="0"/>
        <w:snapToGrid w:val="0"/>
        <w:spacing w:line="62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当共伴生矿物的品位达到表</w:t>
      </w:r>
      <w:r>
        <w:rPr>
          <w:rFonts w:ascii="仿宋_GB2312" w:hAnsi="Times New Roman" w:eastAsia="仿宋_GB2312"/>
          <w:bCs/>
          <w:snapToGrid w:val="0"/>
          <w:kern w:val="0"/>
          <w:sz w:val="32"/>
          <w:szCs w:val="32"/>
        </w:rPr>
        <w:t>3</w:t>
      </w:r>
      <w:r>
        <w:rPr>
          <w:rFonts w:hint="eastAsia" w:ascii="仿宋_GB2312" w:hAnsi="Times New Roman" w:eastAsia="仿宋_GB2312"/>
          <w:bCs/>
          <w:snapToGrid w:val="0"/>
          <w:kern w:val="0"/>
          <w:sz w:val="32"/>
          <w:szCs w:val="32"/>
        </w:rPr>
        <w:t>规定的值时，开采设计或开发利用方案要对此元素的综合利用方式提出指标要求。当共伴生的有用矿物在现有技术条件下暂时不能回收，或技术经济评价结论不宜综合利用的，应提出处置措施，为以后综合利用创造条件。</w:t>
      </w:r>
    </w:p>
    <w:p>
      <w:pPr>
        <w:overflowPunct w:val="0"/>
        <w:autoSpaceDE w:val="0"/>
        <w:autoSpaceDN w:val="0"/>
        <w:adjustRightInd w:val="0"/>
        <w:snapToGrid w:val="0"/>
        <w:spacing w:line="560" w:lineRule="exact"/>
        <w:ind w:firstLine="420"/>
        <w:jc w:val="center"/>
        <w:textAlignment w:val="center"/>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表</w:t>
      </w:r>
      <w:r>
        <w:rPr>
          <w:rFonts w:ascii="仿宋_GB2312" w:hAnsi="Times New Roman" w:eastAsia="仿宋_GB2312"/>
          <w:bCs/>
          <w:snapToGrid w:val="0"/>
          <w:kern w:val="0"/>
          <w:sz w:val="32"/>
          <w:szCs w:val="32"/>
        </w:rPr>
        <w:t xml:space="preserve">3  </w:t>
      </w:r>
      <w:r>
        <w:rPr>
          <w:rFonts w:hint="eastAsia" w:ascii="仿宋_GB2312" w:hAnsi="Times New Roman" w:eastAsia="仿宋_GB2312"/>
          <w:bCs/>
          <w:snapToGrid w:val="0"/>
          <w:kern w:val="0"/>
          <w:sz w:val="32"/>
          <w:szCs w:val="32"/>
        </w:rPr>
        <w:t>共伴生元素综合利用规定值</w:t>
      </w:r>
    </w:p>
    <w:tbl>
      <w:tblPr>
        <w:tblStyle w:val="7"/>
        <w:tblW w:w="8970" w:type="dxa"/>
        <w:jc w:val="center"/>
        <w:tblLayout w:type="fixed"/>
        <w:tblCellMar>
          <w:top w:w="0" w:type="dxa"/>
          <w:left w:w="0" w:type="dxa"/>
          <w:bottom w:w="0" w:type="dxa"/>
          <w:right w:w="0" w:type="dxa"/>
        </w:tblCellMar>
      </w:tblPr>
      <w:tblGrid>
        <w:gridCol w:w="2608"/>
        <w:gridCol w:w="1453"/>
        <w:gridCol w:w="3322"/>
        <w:gridCol w:w="1587"/>
      </w:tblGrid>
      <w:tr>
        <w:trPr>
          <w:trHeight w:val="20" w:hRule="atLeast"/>
          <w:jc w:val="center"/>
        </w:trPr>
        <w:tc>
          <w:tcPr>
            <w:tcW w:w="26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ascii="黑体" w:hAnsi="黑体" w:eastAsia="黑体"/>
                <w:bCs/>
                <w:snapToGrid w:val="0"/>
                <w:kern w:val="0"/>
                <w:sz w:val="32"/>
                <w:szCs w:val="32"/>
                <w:lang w:val="zh-CN"/>
              </w:rPr>
            </w:pPr>
            <w:r>
              <w:rPr>
                <w:rFonts w:hint="eastAsia" w:ascii="黑体" w:hAnsi="黑体" w:eastAsia="黑体"/>
                <w:bCs/>
                <w:snapToGrid w:val="0"/>
                <w:kern w:val="0"/>
                <w:sz w:val="32"/>
                <w:szCs w:val="32"/>
                <w:lang w:val="zh-CN"/>
              </w:rPr>
              <w:t>共伴生元素</w:t>
            </w:r>
          </w:p>
        </w:tc>
        <w:tc>
          <w:tcPr>
            <w:tcW w:w="145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ascii="黑体" w:hAnsi="黑体" w:eastAsia="黑体"/>
                <w:bCs/>
                <w:snapToGrid w:val="0"/>
                <w:kern w:val="0"/>
                <w:sz w:val="32"/>
                <w:szCs w:val="32"/>
                <w:lang w:val="zh-CN"/>
              </w:rPr>
            </w:pPr>
            <w:r>
              <w:rPr>
                <w:rFonts w:hint="eastAsia" w:ascii="黑体" w:hAnsi="黑体" w:eastAsia="黑体"/>
                <w:bCs/>
                <w:snapToGrid w:val="0"/>
                <w:kern w:val="0"/>
                <w:sz w:val="32"/>
                <w:szCs w:val="32"/>
                <w:lang w:val="zh-CN"/>
              </w:rPr>
              <w:t>品位（</w:t>
            </w:r>
            <w:r>
              <w:rPr>
                <w:rFonts w:ascii="黑体" w:hAnsi="黑体" w:eastAsia="黑体"/>
                <w:bCs/>
                <w:snapToGrid w:val="0"/>
                <w:kern w:val="0"/>
                <w:sz w:val="32"/>
                <w:szCs w:val="32"/>
                <w:lang w:val="zh-CN"/>
              </w:rPr>
              <w:t>%</w:t>
            </w:r>
            <w:r>
              <w:rPr>
                <w:rFonts w:hint="eastAsia" w:ascii="黑体" w:hAnsi="黑体" w:eastAsia="黑体"/>
                <w:bCs/>
                <w:snapToGrid w:val="0"/>
                <w:kern w:val="0"/>
                <w:sz w:val="32"/>
                <w:szCs w:val="32"/>
                <w:lang w:val="zh-CN"/>
              </w:rPr>
              <w:t>）</w:t>
            </w:r>
          </w:p>
        </w:tc>
        <w:tc>
          <w:tcPr>
            <w:tcW w:w="332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ascii="黑体" w:hAnsi="黑体" w:eastAsia="黑体"/>
                <w:bCs/>
                <w:snapToGrid w:val="0"/>
                <w:kern w:val="0"/>
                <w:sz w:val="32"/>
                <w:szCs w:val="32"/>
                <w:lang w:val="zh-CN"/>
              </w:rPr>
            </w:pPr>
            <w:r>
              <w:rPr>
                <w:rFonts w:hint="eastAsia" w:ascii="黑体" w:hAnsi="黑体" w:eastAsia="黑体"/>
                <w:bCs/>
                <w:snapToGrid w:val="0"/>
                <w:kern w:val="0"/>
                <w:sz w:val="32"/>
                <w:szCs w:val="32"/>
                <w:lang w:val="zh-CN"/>
              </w:rPr>
              <w:t>共伴生元素</w:t>
            </w:r>
          </w:p>
        </w:tc>
        <w:tc>
          <w:tcPr>
            <w:tcW w:w="158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ascii="黑体" w:hAnsi="黑体" w:eastAsia="黑体"/>
                <w:bCs/>
                <w:snapToGrid w:val="0"/>
                <w:kern w:val="0"/>
                <w:sz w:val="32"/>
                <w:szCs w:val="32"/>
                <w:lang w:val="zh-CN"/>
              </w:rPr>
            </w:pPr>
            <w:r>
              <w:rPr>
                <w:rFonts w:hint="eastAsia" w:ascii="黑体" w:hAnsi="黑体" w:eastAsia="黑体"/>
                <w:bCs/>
                <w:snapToGrid w:val="0"/>
                <w:kern w:val="0"/>
                <w:sz w:val="32"/>
                <w:szCs w:val="32"/>
                <w:lang w:val="zh-CN"/>
              </w:rPr>
              <w:t>品位（</w:t>
            </w:r>
            <w:r>
              <w:rPr>
                <w:rFonts w:ascii="黑体" w:hAnsi="黑体" w:eastAsia="黑体"/>
                <w:bCs/>
                <w:snapToGrid w:val="0"/>
                <w:kern w:val="0"/>
                <w:sz w:val="32"/>
                <w:szCs w:val="32"/>
                <w:lang w:val="zh-CN"/>
              </w:rPr>
              <w:t>%</w:t>
            </w:r>
            <w:r>
              <w:rPr>
                <w:rFonts w:hint="eastAsia" w:ascii="黑体" w:hAnsi="黑体" w:eastAsia="黑体"/>
                <w:bCs/>
                <w:snapToGrid w:val="0"/>
                <w:kern w:val="0"/>
                <w:sz w:val="32"/>
                <w:szCs w:val="32"/>
                <w:lang w:val="zh-CN"/>
              </w:rPr>
              <w:t>）</w:t>
            </w:r>
          </w:p>
        </w:tc>
      </w:tr>
      <w:tr>
        <w:tblPrEx>
          <w:tblCellMar>
            <w:top w:w="0" w:type="dxa"/>
            <w:left w:w="0" w:type="dxa"/>
            <w:bottom w:w="0" w:type="dxa"/>
            <w:right w:w="0" w:type="dxa"/>
          </w:tblCellMar>
        </w:tblPrEx>
        <w:trPr>
          <w:trHeight w:val="20" w:hRule="atLeast"/>
          <w:jc w:val="center"/>
        </w:trPr>
        <w:tc>
          <w:tcPr>
            <w:tcW w:w="26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硫（S）</w:t>
            </w:r>
          </w:p>
        </w:tc>
        <w:tc>
          <w:tcPr>
            <w:tcW w:w="145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≥5</w:t>
            </w:r>
          </w:p>
        </w:tc>
        <w:tc>
          <w:tcPr>
            <w:tcW w:w="332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钼（Mo）</w:t>
            </w:r>
          </w:p>
        </w:tc>
        <w:tc>
          <w:tcPr>
            <w:tcW w:w="158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≥0.02</w:t>
            </w:r>
          </w:p>
        </w:tc>
      </w:tr>
      <w:tr>
        <w:tblPrEx>
          <w:tblCellMar>
            <w:top w:w="0" w:type="dxa"/>
            <w:left w:w="0" w:type="dxa"/>
            <w:bottom w:w="0" w:type="dxa"/>
            <w:right w:w="0" w:type="dxa"/>
          </w:tblCellMar>
        </w:tblPrEx>
        <w:trPr>
          <w:trHeight w:val="20" w:hRule="atLeast"/>
          <w:jc w:val="center"/>
        </w:trPr>
        <w:tc>
          <w:tcPr>
            <w:tcW w:w="26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磷（P）</w:t>
            </w:r>
          </w:p>
        </w:tc>
        <w:tc>
          <w:tcPr>
            <w:tcW w:w="145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≥0.8</w:t>
            </w:r>
          </w:p>
        </w:tc>
        <w:tc>
          <w:tcPr>
            <w:tcW w:w="332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镍（Ni）</w:t>
            </w:r>
          </w:p>
        </w:tc>
        <w:tc>
          <w:tcPr>
            <w:tcW w:w="158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≥0.2</w:t>
            </w:r>
          </w:p>
        </w:tc>
      </w:tr>
      <w:tr>
        <w:tblPrEx>
          <w:tblCellMar>
            <w:top w:w="0" w:type="dxa"/>
            <w:left w:w="0" w:type="dxa"/>
            <w:bottom w:w="0" w:type="dxa"/>
            <w:right w:w="0" w:type="dxa"/>
          </w:tblCellMar>
        </w:tblPrEx>
        <w:trPr>
          <w:trHeight w:val="20" w:hRule="atLeast"/>
          <w:jc w:val="center"/>
        </w:trPr>
        <w:tc>
          <w:tcPr>
            <w:tcW w:w="26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二氧化钛（Ti0</w:t>
            </w:r>
            <w:r>
              <w:rPr>
                <w:rFonts w:hint="eastAsia" w:ascii="仿宋_GB2312" w:hAnsi="Times New Roman" w:eastAsia="仿宋_GB2312"/>
                <w:bCs/>
                <w:snapToGrid w:val="0"/>
                <w:kern w:val="0"/>
                <w:sz w:val="32"/>
                <w:szCs w:val="32"/>
                <w:vertAlign w:val="subscript"/>
                <w:lang w:val="zh-CN"/>
              </w:rPr>
              <w:t>2</w:t>
            </w:r>
            <w:r>
              <w:rPr>
                <w:rFonts w:hint="eastAsia" w:ascii="仿宋_GB2312" w:hAnsi="Times New Roman" w:eastAsia="仿宋_GB2312"/>
                <w:bCs/>
                <w:snapToGrid w:val="0"/>
                <w:kern w:val="0"/>
                <w:sz w:val="32"/>
                <w:szCs w:val="32"/>
                <w:lang w:val="zh-CN"/>
              </w:rPr>
              <w:t>）</w:t>
            </w:r>
          </w:p>
        </w:tc>
        <w:tc>
          <w:tcPr>
            <w:tcW w:w="145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≥5</w:t>
            </w:r>
          </w:p>
        </w:tc>
        <w:tc>
          <w:tcPr>
            <w:tcW w:w="332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锡（Sn）</w:t>
            </w:r>
          </w:p>
        </w:tc>
        <w:tc>
          <w:tcPr>
            <w:tcW w:w="158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≥0.1</w:t>
            </w:r>
          </w:p>
        </w:tc>
      </w:tr>
      <w:tr>
        <w:tblPrEx>
          <w:tblCellMar>
            <w:top w:w="0" w:type="dxa"/>
            <w:left w:w="0" w:type="dxa"/>
            <w:bottom w:w="0" w:type="dxa"/>
            <w:right w:w="0" w:type="dxa"/>
          </w:tblCellMar>
        </w:tblPrEx>
        <w:trPr>
          <w:trHeight w:val="20" w:hRule="atLeast"/>
          <w:jc w:val="center"/>
        </w:trPr>
        <w:tc>
          <w:tcPr>
            <w:tcW w:w="26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铜（Cu）</w:t>
            </w:r>
          </w:p>
        </w:tc>
        <w:tc>
          <w:tcPr>
            <w:tcW w:w="145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≥0.2</w:t>
            </w:r>
          </w:p>
        </w:tc>
        <w:tc>
          <w:tcPr>
            <w:tcW w:w="332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五氧化二钒（V</w:t>
            </w:r>
            <w:r>
              <w:rPr>
                <w:rFonts w:hint="eastAsia" w:ascii="仿宋_GB2312" w:hAnsi="Times New Roman" w:eastAsia="仿宋_GB2312"/>
                <w:bCs/>
                <w:snapToGrid w:val="0"/>
                <w:kern w:val="0"/>
                <w:sz w:val="32"/>
                <w:szCs w:val="32"/>
                <w:vertAlign w:val="subscript"/>
                <w:lang w:val="zh-CN"/>
              </w:rPr>
              <w:t>2</w:t>
            </w:r>
            <w:r>
              <w:rPr>
                <w:rFonts w:hint="eastAsia" w:ascii="仿宋_GB2312" w:hAnsi="Times New Roman" w:eastAsia="仿宋_GB2312"/>
                <w:bCs/>
                <w:snapToGrid w:val="0"/>
                <w:kern w:val="0"/>
                <w:sz w:val="32"/>
                <w:szCs w:val="32"/>
                <w:lang w:val="zh-CN"/>
              </w:rPr>
              <w:t>O</w:t>
            </w:r>
            <w:r>
              <w:rPr>
                <w:rFonts w:hint="eastAsia" w:ascii="仿宋_GB2312" w:hAnsi="Times New Roman" w:eastAsia="仿宋_GB2312"/>
                <w:bCs/>
                <w:snapToGrid w:val="0"/>
                <w:kern w:val="0"/>
                <w:sz w:val="32"/>
                <w:szCs w:val="32"/>
                <w:vertAlign w:val="subscript"/>
                <w:lang w:val="zh-CN"/>
              </w:rPr>
              <w:t>5</w:t>
            </w:r>
            <w:r>
              <w:rPr>
                <w:rFonts w:hint="eastAsia" w:ascii="仿宋_GB2312" w:hAnsi="Times New Roman" w:eastAsia="仿宋_GB2312"/>
                <w:bCs/>
                <w:snapToGrid w:val="0"/>
                <w:kern w:val="0"/>
                <w:sz w:val="32"/>
                <w:szCs w:val="32"/>
                <w:lang w:val="zh-CN"/>
              </w:rPr>
              <w:t>）</w:t>
            </w:r>
          </w:p>
        </w:tc>
        <w:tc>
          <w:tcPr>
            <w:tcW w:w="158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≥0.2</w:t>
            </w:r>
          </w:p>
        </w:tc>
      </w:tr>
      <w:tr>
        <w:tblPrEx>
          <w:tblCellMar>
            <w:top w:w="0" w:type="dxa"/>
            <w:left w:w="0" w:type="dxa"/>
            <w:bottom w:w="0" w:type="dxa"/>
            <w:right w:w="0" w:type="dxa"/>
          </w:tblCellMar>
        </w:tblPrEx>
        <w:trPr>
          <w:trHeight w:val="20" w:hRule="atLeast"/>
          <w:jc w:val="center"/>
        </w:trPr>
        <w:tc>
          <w:tcPr>
            <w:tcW w:w="26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锰（Mn）</w:t>
            </w:r>
          </w:p>
        </w:tc>
        <w:tc>
          <w:tcPr>
            <w:tcW w:w="145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≥3</w:t>
            </w:r>
          </w:p>
        </w:tc>
        <w:tc>
          <w:tcPr>
            <w:tcW w:w="332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钴（Co）</w:t>
            </w:r>
          </w:p>
        </w:tc>
        <w:tc>
          <w:tcPr>
            <w:tcW w:w="158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≥0.02</w:t>
            </w:r>
          </w:p>
        </w:tc>
      </w:tr>
      <w:tr>
        <w:tblPrEx>
          <w:tblCellMar>
            <w:top w:w="0" w:type="dxa"/>
            <w:left w:w="0" w:type="dxa"/>
            <w:bottom w:w="0" w:type="dxa"/>
            <w:right w:w="0" w:type="dxa"/>
          </w:tblCellMar>
        </w:tblPrEx>
        <w:trPr>
          <w:trHeight w:val="20" w:hRule="atLeast"/>
          <w:jc w:val="center"/>
        </w:trPr>
        <w:tc>
          <w:tcPr>
            <w:tcW w:w="2608"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锌（Zn）</w:t>
            </w:r>
          </w:p>
        </w:tc>
        <w:tc>
          <w:tcPr>
            <w:tcW w:w="1453"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≥0.5</w:t>
            </w:r>
          </w:p>
        </w:tc>
        <w:tc>
          <w:tcPr>
            <w:tcW w:w="3322"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镓（Ga）、锗（Ge）</w:t>
            </w:r>
          </w:p>
        </w:tc>
        <w:tc>
          <w:tcPr>
            <w:tcW w:w="1587" w:type="dxa"/>
            <w:tcBorders>
              <w:top w:val="single" w:color="000000" w:sz="2" w:space="0"/>
              <w:left w:val="single" w:color="000000" w:sz="2" w:space="0"/>
              <w:bottom w:val="single" w:color="000000" w:sz="2" w:space="0"/>
              <w:right w:val="single" w:color="000000" w:sz="2" w:space="0"/>
            </w:tcBorders>
            <w:tcMar>
              <w:top w:w="28" w:type="dxa"/>
              <w:left w:w="28" w:type="dxa"/>
              <w:bottom w:w="28" w:type="dxa"/>
              <w:right w:w="28" w:type="dxa"/>
            </w:tcMar>
            <w:vAlign w:val="center"/>
          </w:tcPr>
          <w:p>
            <w:pPr>
              <w:overflowPunct w:val="0"/>
              <w:autoSpaceDE w:val="0"/>
              <w:autoSpaceDN w:val="0"/>
              <w:adjustRightInd w:val="0"/>
              <w:snapToGrid w:val="0"/>
              <w:spacing w:line="500" w:lineRule="exact"/>
              <w:jc w:val="center"/>
              <w:textAlignment w:val="center"/>
              <w:rPr>
                <w:rFonts w:hint="eastAsia" w:ascii="仿宋_GB2312" w:hAnsi="Times New Roman" w:eastAsia="仿宋_GB2312"/>
                <w:bCs/>
                <w:snapToGrid w:val="0"/>
                <w:kern w:val="0"/>
                <w:sz w:val="32"/>
                <w:szCs w:val="32"/>
                <w:lang w:val="zh-CN"/>
              </w:rPr>
            </w:pPr>
            <w:r>
              <w:rPr>
                <w:rFonts w:hint="eastAsia" w:ascii="仿宋_GB2312" w:hAnsi="Times New Roman" w:eastAsia="仿宋_GB2312"/>
                <w:bCs/>
                <w:snapToGrid w:val="0"/>
                <w:kern w:val="0"/>
                <w:sz w:val="32"/>
                <w:szCs w:val="32"/>
                <w:lang w:val="zh-CN"/>
              </w:rPr>
              <w:t>≥0.001</w:t>
            </w:r>
          </w:p>
        </w:tc>
      </w:tr>
    </w:tbl>
    <w:p>
      <w:pPr>
        <w:pStyle w:val="13"/>
        <w:overflowPunct w:val="0"/>
        <w:snapToGrid w:val="0"/>
        <w:spacing w:line="560" w:lineRule="exact"/>
        <w:ind w:firstLine="637" w:firstLineChars="150"/>
        <w:rPr>
          <w:rFonts w:ascii="仿宋_GB2312" w:eastAsia="仿宋_GB2312"/>
          <w:bCs/>
          <w:snapToGrid w:val="0"/>
          <w:color w:val="auto"/>
          <w:sz w:val="32"/>
          <w:szCs w:val="32"/>
          <w:lang w:val="en-US"/>
        </w:rPr>
      </w:pPr>
      <w:r>
        <w:rPr>
          <w:rFonts w:ascii="仿宋_GB2312" w:eastAsia="仿宋_GB2312"/>
          <w:bCs/>
          <w:snapToGrid w:val="0"/>
          <w:color w:val="auto"/>
          <w:sz w:val="32"/>
          <w:szCs w:val="32"/>
          <w:lang w:val="en-US"/>
        </w:rPr>
        <w:t>2</w:t>
      </w:r>
      <w:r>
        <w:rPr>
          <w:rFonts w:hint="eastAsia" w:ascii="仿宋_GB2312" w:eastAsia="仿宋_GB2312"/>
          <w:bCs/>
          <w:snapToGrid w:val="0"/>
          <w:color w:val="auto"/>
          <w:sz w:val="32"/>
          <w:szCs w:val="32"/>
          <w:lang w:val="en-US"/>
        </w:rPr>
        <w:t>．尾矿综合利用率</w:t>
      </w:r>
    </w:p>
    <w:p>
      <w:pPr>
        <w:overflowPunct w:val="0"/>
        <w:adjustRightInd w:val="0"/>
        <w:snapToGrid w:val="0"/>
        <w:spacing w:line="56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露天开采矿山尾矿综合利用率指标要求不低于</w:t>
      </w:r>
      <w:r>
        <w:rPr>
          <w:rFonts w:ascii="仿宋_GB2312" w:hAnsi="Times New Roman" w:eastAsia="仿宋_GB2312"/>
          <w:bCs/>
          <w:snapToGrid w:val="0"/>
          <w:kern w:val="0"/>
          <w:sz w:val="32"/>
          <w:szCs w:val="32"/>
        </w:rPr>
        <w:t>20.00%</w:t>
      </w:r>
      <w:r>
        <w:rPr>
          <w:rFonts w:hint="eastAsia" w:ascii="仿宋_GB2312" w:hAnsi="Times New Roman" w:eastAsia="仿宋_GB2312"/>
          <w:bCs/>
          <w:snapToGrid w:val="0"/>
          <w:kern w:val="0"/>
          <w:sz w:val="32"/>
          <w:szCs w:val="32"/>
        </w:rPr>
        <w:t>；地下开采矿山尾矿综合利用率不低于</w:t>
      </w:r>
      <w:r>
        <w:rPr>
          <w:rFonts w:ascii="仿宋_GB2312" w:hAnsi="Times New Roman" w:eastAsia="仿宋_GB2312"/>
          <w:bCs/>
          <w:snapToGrid w:val="0"/>
          <w:kern w:val="0"/>
          <w:sz w:val="32"/>
          <w:szCs w:val="32"/>
        </w:rPr>
        <w:t>55.00%</w:t>
      </w:r>
      <w:r>
        <w:rPr>
          <w:rFonts w:hint="eastAsia" w:ascii="仿宋_GB2312" w:hAnsi="Times New Roman" w:eastAsia="仿宋_GB2312"/>
          <w:bCs/>
          <w:snapToGrid w:val="0"/>
          <w:kern w:val="0"/>
          <w:sz w:val="32"/>
          <w:szCs w:val="32"/>
        </w:rPr>
        <w:t>。尾矿综合利用包括</w:t>
      </w:r>
      <w:r>
        <w:rPr>
          <w:rFonts w:hint="eastAsia" w:ascii="仿宋_GB2312" w:hAnsi="Times New Roman" w:eastAsia="仿宋_GB2312"/>
          <w:bCs/>
          <w:snapToGrid w:val="0"/>
          <w:spacing w:val="-6"/>
          <w:kern w:val="0"/>
          <w:sz w:val="32"/>
          <w:szCs w:val="32"/>
        </w:rPr>
        <w:t>回收利用尾矿中的有价元素、利用尾矿做建筑材料或矿山回填等。</w:t>
      </w:r>
    </w:p>
    <w:p>
      <w:pPr>
        <w:overflowPunct w:val="0"/>
        <w:adjustRightInd w:val="0"/>
        <w:snapToGrid w:val="0"/>
        <w:spacing w:line="560" w:lineRule="exact"/>
        <w:ind w:firstLine="637" w:firstLineChars="150"/>
        <w:rPr>
          <w:rFonts w:ascii="仿宋_GB2312" w:hAnsi="Times New Roman" w:eastAsia="仿宋_GB2312"/>
          <w:bCs/>
          <w:snapToGrid w:val="0"/>
          <w:kern w:val="0"/>
          <w:sz w:val="32"/>
          <w:szCs w:val="32"/>
        </w:rPr>
      </w:pPr>
      <w:r>
        <w:rPr>
          <w:rFonts w:ascii="仿宋_GB2312" w:hAnsi="Times New Roman" w:eastAsia="仿宋_GB2312"/>
          <w:bCs/>
          <w:snapToGrid w:val="0"/>
          <w:kern w:val="0"/>
          <w:sz w:val="32"/>
          <w:szCs w:val="32"/>
        </w:rPr>
        <w:t>3</w:t>
      </w:r>
      <w:r>
        <w:rPr>
          <w:rFonts w:hint="eastAsia" w:ascii="仿宋_GB2312" w:hAnsi="Times New Roman" w:eastAsia="仿宋_GB2312"/>
          <w:bCs/>
          <w:snapToGrid w:val="0"/>
          <w:kern w:val="0"/>
          <w:sz w:val="32"/>
          <w:szCs w:val="32"/>
        </w:rPr>
        <w:t>．选矿废水综合利用</w:t>
      </w:r>
    </w:p>
    <w:p>
      <w:pPr>
        <w:overflowPunct w:val="0"/>
        <w:adjustRightInd w:val="0"/>
        <w:snapToGrid w:val="0"/>
        <w:spacing w:line="56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选矿用水循环利用，废水零排放。</w:t>
      </w:r>
    </w:p>
    <w:p>
      <w:pPr>
        <w:pStyle w:val="13"/>
        <w:overflowPunct w:val="0"/>
        <w:snapToGrid w:val="0"/>
        <w:spacing w:line="560" w:lineRule="exact"/>
        <w:ind w:firstLine="637" w:firstLineChars="150"/>
        <w:rPr>
          <w:rFonts w:eastAsia="黑体"/>
          <w:bCs/>
          <w:snapToGrid w:val="0"/>
          <w:color w:val="auto"/>
          <w:sz w:val="32"/>
          <w:szCs w:val="32"/>
        </w:rPr>
      </w:pPr>
      <w:r>
        <w:rPr>
          <w:rFonts w:hint="eastAsia" w:eastAsia="黑体"/>
          <w:bCs/>
          <w:snapToGrid w:val="0"/>
          <w:color w:val="auto"/>
          <w:sz w:val="32"/>
          <w:szCs w:val="32"/>
        </w:rPr>
        <w:t>二、监督管理</w:t>
      </w:r>
    </w:p>
    <w:p>
      <w:pPr>
        <w:overflowPunct w:val="0"/>
        <w:adjustRightInd w:val="0"/>
        <w:snapToGrid w:val="0"/>
        <w:spacing w:line="560" w:lineRule="exact"/>
        <w:ind w:firstLine="637" w:firstLineChars="15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（一）本指标要求是自然资源主管部门监督管理铁矿企业合理开发利用矿产资源的重要依据。</w:t>
      </w:r>
    </w:p>
    <w:p>
      <w:pPr>
        <w:overflowPunct w:val="0"/>
        <w:adjustRightInd w:val="0"/>
        <w:snapToGrid w:val="0"/>
        <w:spacing w:line="560" w:lineRule="exact"/>
        <w:ind w:firstLine="637" w:firstLineChars="15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（二）本指标要求是编制和审查铁矿资源开发利用方案、矿山设计的重要依据，新建或改扩建的铁矿</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三率</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指标应达到本指标要求。</w:t>
      </w:r>
    </w:p>
    <w:p>
      <w:pPr>
        <w:overflowPunct w:val="0"/>
        <w:adjustRightInd w:val="0"/>
        <w:snapToGrid w:val="0"/>
        <w:spacing w:line="560" w:lineRule="exact"/>
        <w:ind w:firstLine="637" w:firstLineChars="15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（三）现有生产矿山要在本指标要求发布实施之日起，应达到本指标要求。对达不到本指标要求的矿山企业，市、县级自然资源主管部门督促其限期整改。</w:t>
      </w:r>
    </w:p>
    <w:p>
      <w:pPr>
        <w:overflowPunct w:val="0"/>
        <w:adjustRightInd w:val="0"/>
        <w:snapToGrid w:val="0"/>
        <w:spacing w:line="560" w:lineRule="exact"/>
        <w:ind w:firstLine="637" w:firstLineChars="15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受地区矿床特征、矿石性质和技术等客观条件限制达不到本指标要求的，矿山企业应说明原因，并提交论证报告，提出改进措施。采矿权登记管理机关组织专家对矿山企业提交的报告予以审定并进行社会公示，核定其</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三率</w:t>
      </w:r>
      <w:r>
        <w:rPr>
          <w:rFonts w:ascii="Times New Roman" w:hAnsi="Times New Roman" w:eastAsia="仿宋_GB2312"/>
          <w:bCs/>
          <w:snapToGrid w:val="0"/>
          <w:kern w:val="0"/>
          <w:sz w:val="32"/>
          <w:szCs w:val="32"/>
        </w:rPr>
        <w:t>”</w:t>
      </w:r>
      <w:r>
        <w:rPr>
          <w:rFonts w:hint="eastAsia" w:ascii="Times New Roman" w:hAnsi="Times New Roman" w:eastAsia="仿宋_GB2312"/>
          <w:bCs/>
          <w:snapToGrid w:val="0"/>
          <w:kern w:val="0"/>
          <w:sz w:val="32"/>
          <w:szCs w:val="32"/>
        </w:rPr>
        <w:t>指标。</w:t>
      </w:r>
    </w:p>
    <w:p>
      <w:pPr>
        <w:overflowPunct w:val="0"/>
        <w:adjustRightInd w:val="0"/>
        <w:snapToGrid w:val="0"/>
        <w:spacing w:line="560" w:lineRule="exact"/>
        <w:ind w:firstLine="637" w:firstLineChars="150"/>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t>（四）市、县级自然资源主管部门负责对辖区铁矿生产企业执行本指标要求情况进行监督管理，不定期开展抽查和检查，定期公告符合和不符合本指标要求的企业名单，实行社会监督，动态管理。</w:t>
      </w:r>
    </w:p>
    <w:p>
      <w:pPr>
        <w:pStyle w:val="13"/>
        <w:overflowPunct w:val="0"/>
        <w:snapToGrid w:val="0"/>
        <w:spacing w:line="560" w:lineRule="exact"/>
        <w:ind w:firstLine="637" w:firstLineChars="150"/>
        <w:rPr>
          <w:rFonts w:eastAsia="黑体"/>
          <w:bCs/>
          <w:snapToGrid w:val="0"/>
          <w:color w:val="auto"/>
          <w:sz w:val="32"/>
          <w:szCs w:val="32"/>
        </w:rPr>
      </w:pPr>
      <w:r>
        <w:rPr>
          <w:rFonts w:hint="eastAsia" w:eastAsia="黑体"/>
          <w:bCs/>
          <w:snapToGrid w:val="0"/>
          <w:color w:val="auto"/>
          <w:sz w:val="32"/>
          <w:szCs w:val="32"/>
        </w:rPr>
        <w:t>三、指标定义与计算方法</w:t>
      </w:r>
    </w:p>
    <w:p>
      <w:pPr>
        <w:pStyle w:val="13"/>
        <w:overflowPunct w:val="0"/>
        <w:snapToGrid w:val="0"/>
        <w:spacing w:line="560" w:lineRule="exact"/>
        <w:ind w:firstLine="637" w:firstLineChars="150"/>
        <w:rPr>
          <w:rFonts w:ascii="楷体_GB2312" w:eastAsia="楷体_GB2312"/>
          <w:bCs/>
          <w:snapToGrid w:val="0"/>
          <w:color w:val="auto"/>
          <w:sz w:val="32"/>
          <w:szCs w:val="32"/>
        </w:rPr>
      </w:pPr>
      <w:r>
        <w:rPr>
          <w:rFonts w:hint="eastAsia" w:ascii="楷体_GB2312" w:eastAsia="楷体_GB2312"/>
          <w:bCs/>
          <w:snapToGrid w:val="0"/>
          <w:color w:val="auto"/>
          <w:sz w:val="32"/>
          <w:szCs w:val="32"/>
        </w:rPr>
        <w:t>（一）开采回采率</w:t>
      </w:r>
    </w:p>
    <w:p>
      <w:pPr>
        <w:overflowPunct w:val="0"/>
        <w:adjustRightInd w:val="0"/>
        <w:snapToGrid w:val="0"/>
        <w:spacing w:line="560" w:lineRule="exact"/>
        <w:ind w:firstLine="637" w:firstLineChars="150"/>
        <w:rPr>
          <w:rFonts w:ascii="仿宋_GB2312" w:hAnsi="Times New Roman" w:eastAsia="仿宋_GB2312"/>
          <w:bCs/>
          <w:snapToGrid w:val="0"/>
          <w:kern w:val="0"/>
          <w:sz w:val="32"/>
          <w:szCs w:val="32"/>
        </w:rPr>
      </w:pPr>
      <w:r>
        <w:rPr>
          <w:rFonts w:ascii="仿宋_GB2312" w:hAnsi="Times New Roman" w:eastAsia="仿宋_GB2312"/>
          <w:bCs/>
          <w:snapToGrid w:val="0"/>
          <w:kern w:val="0"/>
          <w:sz w:val="32"/>
          <w:szCs w:val="32"/>
        </w:rPr>
        <w:t>1.</w:t>
      </w:r>
      <w:r>
        <w:rPr>
          <w:rFonts w:hint="eastAsia" w:ascii="仿宋_GB2312" w:hAnsi="Times New Roman" w:eastAsia="仿宋_GB2312"/>
          <w:bCs/>
          <w:snapToGrid w:val="0"/>
          <w:kern w:val="0"/>
          <w:sz w:val="32"/>
          <w:szCs w:val="32"/>
        </w:rPr>
        <w:t>定义</w:t>
      </w:r>
    </w:p>
    <w:p>
      <w:pPr>
        <w:overflowPunct w:val="0"/>
        <w:adjustRightInd w:val="0"/>
        <w:snapToGrid w:val="0"/>
        <w:spacing w:line="56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开采回采率（</w:t>
      </w:r>
      <w:r>
        <w:rPr>
          <w:rFonts w:ascii="仿宋_GB2312" w:hAnsi="Times New Roman" w:eastAsia="仿宋_GB2312"/>
          <w:bCs/>
          <w:snapToGrid w:val="0"/>
          <w:kern w:val="0"/>
          <w:sz w:val="32"/>
          <w:szCs w:val="32"/>
        </w:rPr>
        <w:t>K</w:t>
      </w:r>
      <w:r>
        <w:rPr>
          <w:rFonts w:hint="eastAsia" w:ascii="仿宋_GB2312" w:hAnsi="Times New Roman" w:eastAsia="仿宋_GB2312"/>
          <w:bCs/>
          <w:snapToGrid w:val="0"/>
          <w:kern w:val="0"/>
          <w:sz w:val="32"/>
          <w:szCs w:val="32"/>
        </w:rPr>
        <w:t>）：在一定开采范围内，实际采出的铁矿资源量占动用资源储量的百分比。其中，动用铁矿资源储量是指该开采范围内采出的铁矿量与开采损失的铁矿量之和。</w:t>
      </w:r>
    </w:p>
    <w:p>
      <w:pPr>
        <w:pStyle w:val="13"/>
        <w:overflowPunct w:val="0"/>
        <w:snapToGrid w:val="0"/>
        <w:spacing w:line="560" w:lineRule="exact"/>
        <w:ind w:firstLine="637" w:firstLineChars="150"/>
        <w:rPr>
          <w:rFonts w:ascii="仿宋_GB2312" w:eastAsia="仿宋_GB2312"/>
          <w:bCs/>
          <w:snapToGrid w:val="0"/>
          <w:color w:val="auto"/>
          <w:sz w:val="32"/>
          <w:szCs w:val="32"/>
          <w:lang w:val="en-US"/>
        </w:rPr>
      </w:pPr>
      <w:r>
        <w:rPr>
          <w:rFonts w:ascii="仿宋_GB2312" w:eastAsia="仿宋_GB2312"/>
          <w:bCs/>
          <w:snapToGrid w:val="0"/>
          <w:color w:val="auto"/>
          <w:sz w:val="32"/>
          <w:szCs w:val="32"/>
          <w:lang w:val="en-US"/>
        </w:rPr>
        <w:t>2.</w:t>
      </w:r>
      <w:r>
        <w:rPr>
          <w:rFonts w:hint="eastAsia" w:ascii="仿宋_GB2312" w:eastAsia="仿宋_GB2312"/>
          <w:bCs/>
          <w:snapToGrid w:val="0"/>
          <w:color w:val="auto"/>
          <w:sz w:val="32"/>
          <w:szCs w:val="32"/>
          <w:lang w:val="en-US"/>
        </w:rPr>
        <w:t>计算方法</w:t>
      </w:r>
    </w:p>
    <w:tbl>
      <w:tblPr>
        <w:tblStyle w:val="7"/>
        <w:tblW w:w="0" w:type="auto"/>
        <w:tblInd w:w="635" w:type="dxa"/>
        <w:tblBorders>
          <w:top w:val="none" w:color="auto" w:sz="0" w:space="0"/>
          <w:left w:val="none" w:color="auto" w:sz="0" w:space="0"/>
          <w:bottom w:val="none" w:color="auto" w:sz="0"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2840"/>
        <w:gridCol w:w="2841"/>
        <w:gridCol w:w="1373"/>
      </w:tblGrid>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79" w:hRule="exact"/>
        </w:trPr>
        <w:tc>
          <w:tcPr>
            <w:tcW w:w="2840" w:type="dxa"/>
            <w:vMerge w:val="restart"/>
            <w:shd w:val="clear" w:color="auto" w:fill="auto"/>
            <w:vAlign w:val="center"/>
          </w:tcPr>
          <w:p>
            <w:pPr>
              <w:pStyle w:val="13"/>
              <w:overflowPunct w:val="0"/>
              <w:snapToGrid w:val="0"/>
              <w:spacing w:line="240" w:lineRule="auto"/>
              <w:ind w:firstLine="0" w:firstLineChars="0"/>
              <w:jc w:val="center"/>
              <w:rPr>
                <w:rFonts w:eastAsia="仿宋_GB2312"/>
                <w:bCs/>
                <w:snapToGrid w:val="0"/>
                <w:color w:val="auto"/>
                <w:sz w:val="32"/>
                <w:szCs w:val="32"/>
              </w:rPr>
            </w:pPr>
            <w:r>
              <w:rPr>
                <w:rFonts w:hint="eastAsia" w:eastAsia="仿宋_GB2312"/>
                <w:bCs/>
                <w:snapToGrid w:val="0"/>
                <w:color w:val="auto"/>
                <w:sz w:val="32"/>
                <w:szCs w:val="32"/>
                <w:lang w:val="en-US"/>
              </w:rPr>
              <w:t>开采回采率（</w:t>
            </w:r>
            <w:r>
              <w:rPr>
                <w:rFonts w:eastAsia="仿宋_GB2312"/>
                <w:bCs/>
                <w:snapToGrid w:val="0"/>
                <w:color w:val="auto"/>
                <w:sz w:val="32"/>
                <w:szCs w:val="32"/>
                <w:lang w:val="en-US"/>
              </w:rPr>
              <w:t>K</w:t>
            </w:r>
            <w:r>
              <w:rPr>
                <w:rFonts w:hint="eastAsia" w:eastAsia="仿宋_GB2312"/>
                <w:bCs/>
                <w:snapToGrid w:val="0"/>
                <w:color w:val="auto"/>
                <w:sz w:val="32"/>
                <w:szCs w:val="32"/>
                <w:lang w:val="en-US"/>
              </w:rPr>
              <w:t>）</w:t>
            </w:r>
            <w:r>
              <w:rPr>
                <w:bCs/>
                <w:snapToGrid w:val="0"/>
                <w:color w:val="auto"/>
                <w:sz w:val="32"/>
                <w:szCs w:val="32"/>
                <w:lang w:val="en-US"/>
              </w:rPr>
              <w:t>=</w:t>
            </w:r>
          </w:p>
        </w:tc>
        <w:tc>
          <w:tcPr>
            <w:tcW w:w="2841" w:type="dxa"/>
            <w:shd w:val="clear" w:color="auto" w:fill="auto"/>
            <w:vAlign w:val="center"/>
          </w:tcPr>
          <w:p>
            <w:pPr>
              <w:pStyle w:val="13"/>
              <w:overflowPunct w:val="0"/>
              <w:snapToGrid w:val="0"/>
              <w:spacing w:line="240" w:lineRule="auto"/>
              <w:ind w:firstLine="0" w:firstLineChars="0"/>
              <w:jc w:val="center"/>
              <w:rPr>
                <w:rFonts w:eastAsia="仿宋_GB2312"/>
                <w:bCs/>
                <w:snapToGrid w:val="0"/>
                <w:color w:val="auto"/>
                <w:sz w:val="32"/>
                <w:szCs w:val="32"/>
                <w:lang w:val="en-US"/>
              </w:rPr>
            </w:pPr>
            <w:r>
              <w:rPr>
                <w:rFonts w:hint="eastAsia" w:eastAsia="仿宋_GB2312"/>
                <w:bCs/>
                <w:snapToGrid w:val="0"/>
                <w:color w:val="auto"/>
                <w:sz w:val="32"/>
                <w:szCs w:val="32"/>
                <w:lang w:val="en-US"/>
              </w:rPr>
              <w:t>采出的铁矿资源量</w:t>
            </w:r>
          </w:p>
        </w:tc>
        <w:tc>
          <w:tcPr>
            <w:tcW w:w="1373" w:type="dxa"/>
            <w:vMerge w:val="restart"/>
            <w:shd w:val="clear" w:color="auto" w:fill="auto"/>
            <w:vAlign w:val="center"/>
          </w:tcPr>
          <w:p>
            <w:pPr>
              <w:pStyle w:val="13"/>
              <w:overflowPunct w:val="0"/>
              <w:snapToGrid w:val="0"/>
              <w:spacing w:line="240" w:lineRule="auto"/>
              <w:ind w:firstLine="0" w:firstLineChars="0"/>
              <w:jc w:val="center"/>
              <w:rPr>
                <w:rFonts w:eastAsia="仿宋_GB2312"/>
                <w:bCs/>
                <w:snapToGrid w:val="0"/>
                <w:color w:val="auto"/>
                <w:sz w:val="32"/>
                <w:szCs w:val="32"/>
                <w:lang w:val="en-US"/>
              </w:rPr>
            </w:pPr>
            <w:r>
              <w:rPr>
                <w:rFonts w:eastAsia="仿宋_GB2312"/>
                <w:bCs/>
                <w:snapToGrid w:val="0"/>
                <w:sz w:val="32"/>
                <w:szCs w:val="32"/>
                <w:lang w:val="en-US"/>
              </w:rPr>
              <w:t>×100%</w:t>
            </w:r>
          </w:p>
        </w:tc>
      </w:tr>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67" w:hRule="exact"/>
        </w:trPr>
        <w:tc>
          <w:tcPr>
            <w:tcW w:w="2840" w:type="dxa"/>
            <w:vMerge w:val="continue"/>
            <w:shd w:val="clear" w:color="auto" w:fill="auto"/>
          </w:tcPr>
          <w:p>
            <w:pPr>
              <w:pStyle w:val="13"/>
              <w:keepNext/>
              <w:keepLines/>
              <w:overflowPunct w:val="0"/>
              <w:snapToGrid w:val="0"/>
              <w:spacing w:line="240" w:lineRule="auto"/>
              <w:ind w:firstLine="0" w:firstLineChars="0"/>
              <w:rPr>
                <w:rFonts w:eastAsia="仿宋_GB2312"/>
                <w:bCs/>
                <w:snapToGrid w:val="0"/>
                <w:color w:val="auto"/>
                <w:sz w:val="32"/>
                <w:szCs w:val="32"/>
              </w:rPr>
            </w:pPr>
          </w:p>
        </w:tc>
        <w:tc>
          <w:tcPr>
            <w:tcW w:w="2841" w:type="dxa"/>
            <w:shd w:val="clear" w:color="auto" w:fill="auto"/>
            <w:vAlign w:val="center"/>
          </w:tcPr>
          <w:p>
            <w:pPr>
              <w:pStyle w:val="13"/>
              <w:overflowPunct w:val="0"/>
              <w:snapToGrid w:val="0"/>
              <w:spacing w:line="240" w:lineRule="auto"/>
              <w:ind w:firstLine="0" w:firstLineChars="0"/>
              <w:jc w:val="center"/>
              <w:rPr>
                <w:rFonts w:eastAsia="仿宋_GB2312"/>
                <w:bCs/>
                <w:snapToGrid w:val="0"/>
                <w:color w:val="auto"/>
                <w:sz w:val="32"/>
                <w:szCs w:val="32"/>
              </w:rPr>
            </w:pPr>
            <w:r>
              <w:rPr>
                <w:rFonts w:hint="eastAsia" w:eastAsia="仿宋_GB2312"/>
                <w:bCs/>
                <w:snapToGrid w:val="0"/>
                <w:color w:val="auto"/>
                <w:sz w:val="32"/>
                <w:szCs w:val="32"/>
                <w:lang w:val="en-US"/>
              </w:rPr>
              <w:t>动用的资源储量</w:t>
            </w:r>
          </w:p>
        </w:tc>
        <w:tc>
          <w:tcPr>
            <w:tcW w:w="1373" w:type="dxa"/>
            <w:vMerge w:val="continue"/>
            <w:shd w:val="clear" w:color="auto" w:fill="auto"/>
          </w:tcPr>
          <w:p>
            <w:pPr>
              <w:pStyle w:val="13"/>
              <w:keepNext/>
              <w:keepLines/>
              <w:overflowPunct w:val="0"/>
              <w:snapToGrid w:val="0"/>
              <w:spacing w:line="240" w:lineRule="auto"/>
              <w:ind w:firstLine="0" w:firstLineChars="0"/>
              <w:rPr>
                <w:rFonts w:eastAsia="仿宋_GB2312"/>
                <w:bCs/>
                <w:snapToGrid w:val="0"/>
                <w:color w:val="auto"/>
                <w:sz w:val="32"/>
                <w:szCs w:val="32"/>
              </w:rPr>
            </w:pPr>
          </w:p>
        </w:tc>
      </w:tr>
    </w:tbl>
    <w:p>
      <w:pPr>
        <w:pStyle w:val="13"/>
        <w:overflowPunct w:val="0"/>
        <w:snapToGrid w:val="0"/>
        <w:spacing w:line="560" w:lineRule="exact"/>
        <w:ind w:firstLine="637" w:firstLineChars="150"/>
        <w:rPr>
          <w:rFonts w:ascii="楷体_GB2312" w:eastAsia="楷体_GB2312"/>
          <w:bCs/>
          <w:snapToGrid w:val="0"/>
          <w:color w:val="auto"/>
          <w:sz w:val="32"/>
          <w:szCs w:val="32"/>
        </w:rPr>
      </w:pPr>
      <w:r>
        <w:rPr>
          <w:rFonts w:hint="eastAsia" w:ascii="楷体_GB2312" w:eastAsia="楷体_GB2312"/>
          <w:bCs/>
          <w:snapToGrid w:val="0"/>
          <w:color w:val="auto"/>
          <w:sz w:val="32"/>
          <w:szCs w:val="32"/>
        </w:rPr>
        <w:t>（二）选矿回收率</w:t>
      </w:r>
    </w:p>
    <w:p>
      <w:pPr>
        <w:overflowPunct w:val="0"/>
        <w:adjustRightInd w:val="0"/>
        <w:snapToGrid w:val="0"/>
        <w:spacing w:line="560" w:lineRule="exact"/>
        <w:ind w:firstLine="637" w:firstLineChars="150"/>
        <w:rPr>
          <w:rFonts w:ascii="仿宋_GB2312" w:hAnsi="Times New Roman" w:eastAsia="仿宋_GB2312"/>
          <w:bCs/>
          <w:snapToGrid w:val="0"/>
          <w:kern w:val="0"/>
          <w:sz w:val="32"/>
          <w:szCs w:val="32"/>
        </w:rPr>
      </w:pPr>
      <w:r>
        <w:rPr>
          <w:rFonts w:ascii="仿宋_GB2312" w:hAnsi="Times New Roman" w:eastAsia="仿宋_GB2312"/>
          <w:bCs/>
          <w:snapToGrid w:val="0"/>
          <w:kern w:val="0"/>
          <w:sz w:val="32"/>
          <w:szCs w:val="32"/>
        </w:rPr>
        <w:t>1.</w:t>
      </w:r>
      <w:r>
        <w:rPr>
          <w:rFonts w:hint="eastAsia" w:ascii="仿宋_GB2312" w:hAnsi="Times New Roman" w:eastAsia="仿宋_GB2312"/>
          <w:bCs/>
          <w:snapToGrid w:val="0"/>
          <w:kern w:val="0"/>
          <w:sz w:val="32"/>
          <w:szCs w:val="32"/>
        </w:rPr>
        <w:t>定义</w:t>
      </w:r>
    </w:p>
    <w:p>
      <w:pPr>
        <w:overflowPunct w:val="0"/>
        <w:adjustRightInd w:val="0"/>
        <w:snapToGrid w:val="0"/>
        <w:spacing w:line="56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全铁（</w:t>
      </w:r>
      <w:r>
        <w:rPr>
          <w:rFonts w:ascii="仿宋_GB2312" w:hAnsi="Times New Roman" w:eastAsia="仿宋_GB2312"/>
          <w:bCs/>
          <w:snapToGrid w:val="0"/>
          <w:kern w:val="0"/>
          <w:sz w:val="32"/>
          <w:szCs w:val="32"/>
        </w:rPr>
        <w:t>TFe</w:t>
      </w:r>
      <w:r>
        <w:rPr>
          <w:rFonts w:hint="eastAsia" w:ascii="仿宋_GB2312" w:hAnsi="Times New Roman" w:eastAsia="仿宋_GB2312"/>
          <w:bCs/>
          <w:snapToGrid w:val="0"/>
          <w:kern w:val="0"/>
          <w:sz w:val="32"/>
          <w:szCs w:val="32"/>
        </w:rPr>
        <w:t>）回收率：指铁精矿中所含铁的质量与入选原矿中铁的质量百分比。</w:t>
      </w:r>
    </w:p>
    <w:p>
      <w:pPr>
        <w:overflowPunct w:val="0"/>
        <w:adjustRightInd w:val="0"/>
        <w:snapToGrid w:val="0"/>
        <w:spacing w:line="56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磁性铁（</w:t>
      </w:r>
      <w:r>
        <w:rPr>
          <w:rFonts w:ascii="仿宋_GB2312" w:hAnsi="Times New Roman" w:eastAsia="仿宋_GB2312"/>
          <w:bCs/>
          <w:snapToGrid w:val="0"/>
          <w:kern w:val="0"/>
          <w:sz w:val="32"/>
          <w:szCs w:val="32"/>
        </w:rPr>
        <w:t>mFe</w:t>
      </w:r>
      <w:r>
        <w:rPr>
          <w:rFonts w:hint="eastAsia" w:ascii="仿宋_GB2312" w:hAnsi="Times New Roman" w:eastAsia="仿宋_GB2312"/>
          <w:bCs/>
          <w:snapToGrid w:val="0"/>
          <w:kern w:val="0"/>
          <w:sz w:val="32"/>
          <w:szCs w:val="32"/>
        </w:rPr>
        <w:t>）回收率：指铁精矿中所含磁铁矿的质量与入选原矿中磁铁矿质量的百分比。</w:t>
      </w:r>
    </w:p>
    <w:p>
      <w:pPr>
        <w:pStyle w:val="13"/>
        <w:overflowPunct w:val="0"/>
        <w:snapToGrid w:val="0"/>
        <w:spacing w:line="560" w:lineRule="exact"/>
        <w:ind w:firstLine="637" w:firstLineChars="150"/>
        <w:rPr>
          <w:rFonts w:ascii="仿宋_GB2312" w:eastAsia="仿宋_GB2312"/>
          <w:bCs/>
          <w:snapToGrid w:val="0"/>
          <w:color w:val="auto"/>
          <w:sz w:val="32"/>
          <w:szCs w:val="32"/>
          <w:lang w:val="en-US"/>
        </w:rPr>
      </w:pPr>
      <w:r>
        <w:rPr>
          <w:rFonts w:ascii="仿宋_GB2312" w:eastAsia="仿宋_GB2312"/>
          <w:bCs/>
          <w:snapToGrid w:val="0"/>
          <w:color w:val="auto"/>
          <w:sz w:val="32"/>
          <w:szCs w:val="32"/>
          <w:lang w:val="en-US"/>
        </w:rPr>
        <w:t>2.</w:t>
      </w:r>
      <w:r>
        <w:rPr>
          <w:rFonts w:hint="eastAsia" w:ascii="仿宋_GB2312" w:eastAsia="仿宋_GB2312"/>
          <w:bCs/>
          <w:snapToGrid w:val="0"/>
          <w:color w:val="auto"/>
          <w:sz w:val="32"/>
          <w:szCs w:val="32"/>
          <w:lang w:val="en-US"/>
        </w:rPr>
        <w:t>计算方法</w:t>
      </w:r>
    </w:p>
    <w:tbl>
      <w:tblPr>
        <w:tblStyle w:val="7"/>
        <w:tblW w:w="0" w:type="auto"/>
        <w:tblInd w:w="99" w:type="dxa"/>
        <w:tblBorders>
          <w:top w:val="none" w:color="auto" w:sz="0" w:space="0"/>
          <w:left w:val="none" w:color="auto" w:sz="0" w:space="0"/>
          <w:bottom w:val="none" w:color="auto" w:sz="0"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3978"/>
        <w:gridCol w:w="3402"/>
        <w:gridCol w:w="1216"/>
      </w:tblGrid>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31" w:hRule="exact"/>
        </w:trPr>
        <w:tc>
          <w:tcPr>
            <w:tcW w:w="3978" w:type="dxa"/>
            <w:vMerge w:val="restart"/>
            <w:shd w:val="clear" w:color="auto" w:fill="auto"/>
            <w:vAlign w:val="center"/>
          </w:tcPr>
          <w:p>
            <w:pPr>
              <w:pStyle w:val="13"/>
              <w:overflowPunct w:val="0"/>
              <w:snapToGrid w:val="0"/>
              <w:spacing w:line="240" w:lineRule="auto"/>
              <w:ind w:firstLine="0" w:firstLineChars="0"/>
              <w:jc w:val="center"/>
              <w:rPr>
                <w:rFonts w:eastAsia="仿宋_GB2312"/>
                <w:bCs/>
                <w:iCs/>
                <w:snapToGrid w:val="0"/>
                <w:color w:val="auto"/>
                <w:sz w:val="32"/>
                <w:szCs w:val="32"/>
              </w:rPr>
            </w:pPr>
            <w:r>
              <w:rPr>
                <w:rFonts w:hint="eastAsia" w:eastAsia="仿宋_GB2312"/>
                <w:bCs/>
                <w:iCs/>
                <w:snapToGrid w:val="0"/>
                <w:color w:val="auto"/>
                <w:sz w:val="32"/>
                <w:szCs w:val="32"/>
                <w:lang w:val="en-US"/>
              </w:rPr>
              <w:t>全铁（</w:t>
            </w:r>
            <w:r>
              <w:rPr>
                <w:rFonts w:eastAsia="仿宋_GB2312"/>
                <w:bCs/>
                <w:iCs/>
                <w:snapToGrid w:val="0"/>
                <w:color w:val="auto"/>
                <w:sz w:val="32"/>
                <w:szCs w:val="32"/>
                <w:lang w:val="en-US"/>
              </w:rPr>
              <w:t>TFe</w:t>
            </w:r>
            <w:r>
              <w:rPr>
                <w:rFonts w:hint="eastAsia" w:eastAsia="仿宋_GB2312"/>
                <w:bCs/>
                <w:iCs/>
                <w:snapToGrid w:val="0"/>
                <w:color w:val="auto"/>
                <w:sz w:val="32"/>
                <w:szCs w:val="32"/>
                <w:lang w:val="en-US"/>
              </w:rPr>
              <w:t>）回收率（</w:t>
            </w:r>
            <w:r>
              <w:rPr>
                <w:rFonts w:eastAsia="仿宋_GB2312"/>
                <w:bCs/>
                <w:iCs/>
                <w:snapToGrid w:val="0"/>
                <w:color w:val="auto"/>
                <w:sz w:val="32"/>
                <w:szCs w:val="32"/>
                <w:lang w:val="en-US"/>
              </w:rPr>
              <w:t>ε</w:t>
            </w:r>
            <w:r>
              <w:rPr>
                <w:rFonts w:hint="eastAsia" w:eastAsia="仿宋_GB2312"/>
                <w:bCs/>
                <w:iCs/>
                <w:snapToGrid w:val="0"/>
                <w:color w:val="auto"/>
                <w:sz w:val="32"/>
                <w:szCs w:val="32"/>
                <w:lang w:val="en-US"/>
              </w:rPr>
              <w:t>）</w:t>
            </w:r>
            <w:r>
              <w:rPr>
                <w:bCs/>
                <w:iCs/>
                <w:snapToGrid w:val="0"/>
                <w:color w:val="auto"/>
                <w:sz w:val="32"/>
                <w:szCs w:val="32"/>
                <w:lang w:val="en-US"/>
              </w:rPr>
              <w:t>=</w:t>
            </w:r>
          </w:p>
        </w:tc>
        <w:tc>
          <w:tcPr>
            <w:tcW w:w="3402" w:type="dxa"/>
            <w:shd w:val="clear" w:color="auto" w:fill="auto"/>
            <w:vAlign w:val="center"/>
          </w:tcPr>
          <w:p>
            <w:pPr>
              <w:pStyle w:val="13"/>
              <w:overflowPunct w:val="0"/>
              <w:snapToGrid w:val="0"/>
              <w:spacing w:line="240" w:lineRule="auto"/>
              <w:ind w:firstLine="0" w:firstLineChars="0"/>
              <w:jc w:val="center"/>
              <w:rPr>
                <w:rFonts w:eastAsia="仿宋_GB2312"/>
                <w:bCs/>
                <w:iCs/>
                <w:snapToGrid w:val="0"/>
                <w:color w:val="auto"/>
                <w:sz w:val="32"/>
                <w:szCs w:val="32"/>
                <w:lang w:val="en-US"/>
              </w:rPr>
            </w:pPr>
            <w:r>
              <w:rPr>
                <w:rFonts w:hint="eastAsia" w:eastAsia="仿宋_GB2312"/>
                <w:bCs/>
                <w:iCs/>
                <w:snapToGrid w:val="0"/>
                <w:color w:val="auto"/>
                <w:sz w:val="32"/>
                <w:szCs w:val="32"/>
                <w:lang w:val="en-US"/>
              </w:rPr>
              <w:t>铁精矿中铁的质量</w:t>
            </w:r>
          </w:p>
        </w:tc>
        <w:tc>
          <w:tcPr>
            <w:tcW w:w="1216" w:type="dxa"/>
            <w:vMerge w:val="restart"/>
            <w:shd w:val="clear" w:color="auto" w:fill="auto"/>
            <w:vAlign w:val="center"/>
          </w:tcPr>
          <w:p>
            <w:pPr>
              <w:pStyle w:val="13"/>
              <w:keepNext/>
              <w:keepLines/>
              <w:overflowPunct w:val="0"/>
              <w:snapToGrid w:val="0"/>
              <w:spacing w:line="240" w:lineRule="auto"/>
              <w:ind w:firstLine="0" w:firstLineChars="0"/>
              <w:rPr>
                <w:rFonts w:eastAsia="仿宋_GB2312"/>
                <w:bCs/>
                <w:iCs/>
                <w:snapToGrid w:val="0"/>
                <w:color w:val="auto"/>
                <w:sz w:val="32"/>
                <w:szCs w:val="32"/>
                <w:lang w:val="en-US"/>
              </w:rPr>
            </w:pPr>
            <w:r>
              <w:rPr>
                <w:rFonts w:eastAsia="仿宋_GB2312"/>
                <w:bCs/>
                <w:iCs/>
                <w:snapToGrid w:val="0"/>
                <w:sz w:val="32"/>
                <w:szCs w:val="32"/>
              </w:rPr>
              <w:t>×100%</w:t>
            </w:r>
          </w:p>
        </w:tc>
      </w:tr>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08" w:hRule="exact"/>
        </w:trPr>
        <w:tc>
          <w:tcPr>
            <w:tcW w:w="3978" w:type="dxa"/>
            <w:vMerge w:val="continue"/>
            <w:shd w:val="clear" w:color="auto" w:fill="auto"/>
            <w:vAlign w:val="center"/>
          </w:tcPr>
          <w:p>
            <w:pPr>
              <w:pStyle w:val="13"/>
              <w:keepNext/>
              <w:keepLines/>
              <w:overflowPunct w:val="0"/>
              <w:snapToGrid w:val="0"/>
              <w:spacing w:line="240" w:lineRule="auto"/>
              <w:ind w:firstLine="0" w:firstLineChars="0"/>
              <w:jc w:val="center"/>
              <w:rPr>
                <w:rFonts w:eastAsia="仿宋_GB2312"/>
                <w:bCs/>
                <w:iCs/>
                <w:snapToGrid w:val="0"/>
                <w:color w:val="auto"/>
                <w:sz w:val="32"/>
                <w:szCs w:val="32"/>
              </w:rPr>
            </w:pPr>
          </w:p>
        </w:tc>
        <w:tc>
          <w:tcPr>
            <w:tcW w:w="3402" w:type="dxa"/>
            <w:shd w:val="clear" w:color="auto" w:fill="auto"/>
            <w:vAlign w:val="center"/>
          </w:tcPr>
          <w:p>
            <w:pPr>
              <w:pStyle w:val="13"/>
              <w:overflowPunct w:val="0"/>
              <w:snapToGrid w:val="0"/>
              <w:spacing w:line="240" w:lineRule="auto"/>
              <w:ind w:firstLine="0" w:firstLineChars="0"/>
              <w:jc w:val="center"/>
              <w:rPr>
                <w:rFonts w:eastAsia="仿宋_GB2312"/>
                <w:bCs/>
                <w:iCs/>
                <w:snapToGrid w:val="0"/>
                <w:color w:val="auto"/>
                <w:sz w:val="32"/>
                <w:szCs w:val="32"/>
              </w:rPr>
            </w:pPr>
            <w:r>
              <w:rPr>
                <w:rFonts w:hint="eastAsia" w:eastAsia="仿宋_GB2312"/>
                <w:bCs/>
                <w:iCs/>
                <w:snapToGrid w:val="0"/>
                <w:color w:val="auto"/>
                <w:sz w:val="32"/>
                <w:szCs w:val="32"/>
                <w:lang w:val="en-US"/>
              </w:rPr>
              <w:t>入选原矿中铁的质量</w:t>
            </w:r>
          </w:p>
        </w:tc>
        <w:tc>
          <w:tcPr>
            <w:tcW w:w="1216" w:type="dxa"/>
            <w:vMerge w:val="continue"/>
            <w:shd w:val="clear" w:color="auto" w:fill="auto"/>
            <w:vAlign w:val="center"/>
          </w:tcPr>
          <w:p>
            <w:pPr>
              <w:pStyle w:val="13"/>
              <w:keepNext/>
              <w:keepLines/>
              <w:overflowPunct w:val="0"/>
              <w:snapToGrid w:val="0"/>
              <w:spacing w:line="240" w:lineRule="auto"/>
              <w:ind w:firstLine="0" w:firstLineChars="0"/>
              <w:jc w:val="center"/>
              <w:rPr>
                <w:rFonts w:eastAsia="仿宋_GB2312"/>
                <w:bCs/>
                <w:iCs/>
                <w:snapToGrid w:val="0"/>
                <w:color w:val="auto"/>
                <w:sz w:val="32"/>
                <w:szCs w:val="32"/>
              </w:rPr>
            </w:pPr>
          </w:p>
        </w:tc>
      </w:tr>
    </w:tbl>
    <w:p>
      <w:pPr>
        <w:pStyle w:val="13"/>
        <w:overflowPunct w:val="0"/>
        <w:snapToGrid w:val="0"/>
        <w:spacing w:line="560" w:lineRule="exact"/>
        <w:ind w:firstLine="852"/>
        <w:rPr>
          <w:rFonts w:eastAsia="黑体"/>
          <w:bCs/>
          <w:snapToGrid w:val="0"/>
          <w:color w:val="auto"/>
          <w:sz w:val="32"/>
          <w:szCs w:val="32"/>
        </w:rPr>
      </w:pPr>
    </w:p>
    <w:tbl>
      <w:tblPr>
        <w:tblStyle w:val="7"/>
        <w:tblW w:w="9356" w:type="dxa"/>
        <w:tblInd w:w="-34" w:type="dxa"/>
        <w:tblBorders>
          <w:top w:val="none" w:color="auto" w:sz="0" w:space="0"/>
          <w:left w:val="none" w:color="auto" w:sz="0" w:space="0"/>
          <w:bottom w:val="none" w:color="auto" w:sz="0"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4253"/>
        <w:gridCol w:w="3924"/>
        <w:gridCol w:w="1179"/>
      </w:tblGrid>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29" w:hRule="exact"/>
        </w:trPr>
        <w:tc>
          <w:tcPr>
            <w:tcW w:w="4253" w:type="dxa"/>
            <w:vMerge w:val="restart"/>
            <w:shd w:val="clear" w:color="auto" w:fill="auto"/>
            <w:vAlign w:val="center"/>
          </w:tcPr>
          <w:p>
            <w:pPr>
              <w:pStyle w:val="13"/>
              <w:overflowPunct w:val="0"/>
              <w:snapToGrid w:val="0"/>
              <w:spacing w:line="240" w:lineRule="auto"/>
              <w:ind w:firstLine="0" w:firstLineChars="0"/>
              <w:rPr>
                <w:rFonts w:ascii="仿宋_GB2312" w:eastAsia="仿宋_GB2312"/>
                <w:bCs/>
                <w:iCs/>
                <w:snapToGrid w:val="0"/>
                <w:sz w:val="32"/>
                <w:szCs w:val="32"/>
              </w:rPr>
            </w:pPr>
            <w:r>
              <w:rPr>
                <w:rFonts w:hint="eastAsia" w:ascii="仿宋_GB2312" w:eastAsia="仿宋_GB2312"/>
                <w:bCs/>
                <w:iCs/>
                <w:snapToGrid w:val="0"/>
                <w:sz w:val="32"/>
                <w:szCs w:val="32"/>
                <w:lang w:val="en-US"/>
              </w:rPr>
              <w:t>磁性铁（mFe）回收率（</w:t>
            </w:r>
            <w:r>
              <w:rPr>
                <w:rFonts w:hint="default" w:ascii="Times New Roman" w:eastAsia="仿宋_GB2312"/>
                <w:bCs/>
                <w:iCs/>
                <w:snapToGrid w:val="0"/>
                <w:sz w:val="32"/>
                <w:szCs w:val="32"/>
                <w:lang w:val="en-US"/>
              </w:rPr>
              <w:t>ε</w:t>
            </w:r>
            <w:r>
              <w:rPr>
                <w:rFonts w:hint="eastAsia" w:ascii="仿宋_GB2312" w:eastAsia="仿宋_GB2312"/>
                <w:bCs/>
                <w:iCs/>
                <w:snapToGrid w:val="0"/>
                <w:sz w:val="32"/>
                <w:szCs w:val="32"/>
                <w:lang w:val="en-US"/>
              </w:rPr>
              <w:t>）=</w:t>
            </w:r>
          </w:p>
        </w:tc>
        <w:tc>
          <w:tcPr>
            <w:tcW w:w="3924" w:type="dxa"/>
            <w:shd w:val="clear" w:color="auto" w:fill="auto"/>
            <w:vAlign w:val="center"/>
          </w:tcPr>
          <w:p>
            <w:pPr>
              <w:pStyle w:val="13"/>
              <w:overflowPunct w:val="0"/>
              <w:snapToGrid w:val="0"/>
              <w:spacing w:line="240" w:lineRule="auto"/>
              <w:ind w:firstLine="0" w:firstLineChars="0"/>
              <w:jc w:val="center"/>
              <w:rPr>
                <w:rFonts w:ascii="仿宋_GB2312" w:eastAsia="仿宋_GB2312"/>
                <w:bCs/>
                <w:iCs/>
                <w:snapToGrid w:val="0"/>
                <w:sz w:val="32"/>
                <w:szCs w:val="32"/>
                <w:lang w:val="en-US"/>
              </w:rPr>
            </w:pPr>
            <w:r>
              <w:rPr>
                <w:rFonts w:hint="eastAsia" w:ascii="仿宋_GB2312" w:eastAsia="仿宋_GB2312"/>
                <w:bCs/>
                <w:iCs/>
                <w:snapToGrid w:val="0"/>
                <w:sz w:val="32"/>
                <w:szCs w:val="32"/>
                <w:lang w:val="en-US"/>
              </w:rPr>
              <w:t>铁精矿中磁铁矿的质量</w:t>
            </w:r>
          </w:p>
        </w:tc>
        <w:tc>
          <w:tcPr>
            <w:tcW w:w="1179" w:type="dxa"/>
            <w:vMerge w:val="restart"/>
            <w:shd w:val="clear" w:color="auto" w:fill="auto"/>
            <w:vAlign w:val="center"/>
          </w:tcPr>
          <w:p>
            <w:pPr>
              <w:pStyle w:val="13"/>
              <w:overflowPunct w:val="0"/>
              <w:snapToGrid w:val="0"/>
              <w:spacing w:line="240" w:lineRule="auto"/>
              <w:ind w:firstLine="0" w:firstLineChars="0"/>
              <w:rPr>
                <w:rFonts w:ascii="Times New Roman" w:eastAsia="仿宋_GB2312"/>
                <w:bCs/>
                <w:iCs/>
                <w:snapToGrid w:val="0"/>
                <w:sz w:val="32"/>
                <w:szCs w:val="32"/>
                <w:lang w:val="en-US"/>
              </w:rPr>
            </w:pPr>
            <w:r>
              <w:rPr>
                <w:rFonts w:ascii="Times New Roman" w:eastAsia="仿宋_GB2312"/>
                <w:bCs/>
                <w:iCs/>
                <w:snapToGrid w:val="0"/>
                <w:sz w:val="32"/>
                <w:szCs w:val="32"/>
                <w:lang w:val="en-US"/>
              </w:rPr>
              <w:t>×100%</w:t>
            </w:r>
          </w:p>
        </w:tc>
      </w:tr>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679" w:hRule="exact"/>
        </w:trPr>
        <w:tc>
          <w:tcPr>
            <w:tcW w:w="4253" w:type="dxa"/>
            <w:vMerge w:val="continue"/>
            <w:shd w:val="clear" w:color="auto" w:fill="auto"/>
            <w:vAlign w:val="center"/>
          </w:tcPr>
          <w:p>
            <w:pPr>
              <w:pStyle w:val="13"/>
              <w:overflowPunct w:val="0"/>
              <w:snapToGrid w:val="0"/>
              <w:spacing w:line="240" w:lineRule="auto"/>
              <w:ind w:firstLine="0" w:firstLineChars="0"/>
              <w:rPr>
                <w:rFonts w:ascii="仿宋_GB2312" w:eastAsia="仿宋_GB2312"/>
                <w:bCs/>
                <w:iCs/>
                <w:snapToGrid w:val="0"/>
                <w:sz w:val="32"/>
                <w:szCs w:val="32"/>
              </w:rPr>
            </w:pPr>
          </w:p>
        </w:tc>
        <w:tc>
          <w:tcPr>
            <w:tcW w:w="3924" w:type="dxa"/>
            <w:shd w:val="clear" w:color="auto" w:fill="auto"/>
            <w:vAlign w:val="center"/>
          </w:tcPr>
          <w:p>
            <w:pPr>
              <w:pStyle w:val="13"/>
              <w:overflowPunct w:val="0"/>
              <w:snapToGrid w:val="0"/>
              <w:spacing w:line="240" w:lineRule="auto"/>
              <w:ind w:firstLine="0" w:firstLineChars="0"/>
              <w:jc w:val="center"/>
              <w:rPr>
                <w:rFonts w:ascii="仿宋_GB2312" w:eastAsia="仿宋_GB2312"/>
                <w:bCs/>
                <w:iCs/>
                <w:snapToGrid w:val="0"/>
                <w:sz w:val="32"/>
                <w:szCs w:val="32"/>
              </w:rPr>
            </w:pPr>
            <w:r>
              <w:rPr>
                <w:rFonts w:hint="eastAsia" w:ascii="仿宋_GB2312" w:eastAsia="仿宋_GB2312"/>
                <w:bCs/>
                <w:iCs/>
                <w:snapToGrid w:val="0"/>
                <w:sz w:val="32"/>
                <w:szCs w:val="32"/>
                <w:lang w:val="en-US"/>
              </w:rPr>
              <w:t>入选原矿中磁铁矿的质量</w:t>
            </w:r>
          </w:p>
        </w:tc>
        <w:tc>
          <w:tcPr>
            <w:tcW w:w="1179" w:type="dxa"/>
            <w:vMerge w:val="continue"/>
            <w:shd w:val="clear" w:color="auto" w:fill="auto"/>
            <w:vAlign w:val="center"/>
          </w:tcPr>
          <w:p>
            <w:pPr>
              <w:pStyle w:val="13"/>
              <w:overflowPunct w:val="0"/>
              <w:snapToGrid w:val="0"/>
              <w:spacing w:line="240" w:lineRule="auto"/>
              <w:ind w:firstLine="0" w:firstLineChars="0"/>
              <w:rPr>
                <w:rFonts w:ascii="仿宋_GB2312" w:eastAsia="仿宋_GB2312"/>
                <w:bCs/>
                <w:iCs/>
                <w:snapToGrid w:val="0"/>
                <w:sz w:val="32"/>
                <w:szCs w:val="32"/>
              </w:rPr>
            </w:pPr>
          </w:p>
        </w:tc>
      </w:tr>
    </w:tbl>
    <w:p>
      <w:pPr>
        <w:pStyle w:val="13"/>
        <w:overflowPunct w:val="0"/>
        <w:snapToGrid w:val="0"/>
        <w:spacing w:line="560" w:lineRule="exact"/>
        <w:ind w:firstLine="637" w:firstLineChars="150"/>
        <w:rPr>
          <w:rFonts w:ascii="楷体_GB2312" w:eastAsia="楷体_GB2312"/>
          <w:bCs/>
          <w:snapToGrid w:val="0"/>
          <w:color w:val="auto"/>
          <w:sz w:val="32"/>
          <w:szCs w:val="32"/>
        </w:rPr>
      </w:pPr>
      <w:r>
        <w:rPr>
          <w:rFonts w:hint="eastAsia" w:ascii="楷体_GB2312" w:eastAsia="楷体_GB2312"/>
          <w:bCs/>
          <w:snapToGrid w:val="0"/>
          <w:color w:val="auto"/>
          <w:sz w:val="32"/>
          <w:szCs w:val="32"/>
        </w:rPr>
        <w:t>（三）综合利用率</w:t>
      </w:r>
    </w:p>
    <w:p>
      <w:pPr>
        <w:overflowPunct w:val="0"/>
        <w:adjustRightInd w:val="0"/>
        <w:snapToGrid w:val="0"/>
        <w:spacing w:line="560" w:lineRule="exact"/>
        <w:ind w:firstLine="637" w:firstLineChars="150"/>
        <w:rPr>
          <w:rFonts w:ascii="仿宋_GB2312" w:hAnsi="Times New Roman" w:eastAsia="仿宋_GB2312"/>
          <w:bCs/>
          <w:snapToGrid w:val="0"/>
          <w:kern w:val="0"/>
          <w:sz w:val="32"/>
          <w:szCs w:val="32"/>
        </w:rPr>
      </w:pPr>
      <w:r>
        <w:rPr>
          <w:rFonts w:ascii="仿宋_GB2312" w:hAnsi="Times New Roman" w:eastAsia="仿宋_GB2312"/>
          <w:bCs/>
          <w:snapToGrid w:val="0"/>
          <w:kern w:val="0"/>
          <w:sz w:val="32"/>
          <w:szCs w:val="32"/>
        </w:rPr>
        <w:t>1.</w:t>
      </w:r>
      <w:r>
        <w:rPr>
          <w:rFonts w:hint="eastAsia" w:ascii="仿宋_GB2312" w:hAnsi="Times New Roman" w:eastAsia="仿宋_GB2312"/>
          <w:bCs/>
          <w:snapToGrid w:val="0"/>
          <w:kern w:val="0"/>
          <w:sz w:val="32"/>
          <w:szCs w:val="32"/>
        </w:rPr>
        <w:t>共伴生矿综合利用率</w:t>
      </w:r>
    </w:p>
    <w:p>
      <w:pPr>
        <w:overflowPunct w:val="0"/>
        <w:adjustRightInd w:val="0"/>
        <w:snapToGrid w:val="0"/>
        <w:spacing w:line="56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w:t>
      </w:r>
      <w:r>
        <w:rPr>
          <w:rFonts w:ascii="仿宋_GB2312" w:hAnsi="Times New Roman" w:eastAsia="仿宋_GB2312"/>
          <w:bCs/>
          <w:snapToGrid w:val="0"/>
          <w:kern w:val="0"/>
          <w:sz w:val="32"/>
          <w:szCs w:val="32"/>
        </w:rPr>
        <w:t>1</w:t>
      </w:r>
      <w:r>
        <w:rPr>
          <w:rFonts w:hint="eastAsia" w:ascii="仿宋_GB2312" w:hAnsi="Times New Roman" w:eastAsia="仿宋_GB2312"/>
          <w:bCs/>
          <w:snapToGrid w:val="0"/>
          <w:kern w:val="0"/>
          <w:sz w:val="32"/>
          <w:szCs w:val="32"/>
        </w:rPr>
        <w:t>）定义</w:t>
      </w:r>
    </w:p>
    <w:p>
      <w:pPr>
        <w:overflowPunct w:val="0"/>
        <w:adjustRightInd w:val="0"/>
        <w:snapToGrid w:val="0"/>
        <w:spacing w:line="56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共伴生矿综合利用率（</w:t>
      </w:r>
      <w:r>
        <w:rPr>
          <w:rFonts w:ascii="仿宋_GB2312" w:hAnsi="Times New Roman" w:eastAsia="仿宋_GB2312"/>
          <w:bCs/>
          <w:snapToGrid w:val="0"/>
          <w:kern w:val="0"/>
          <w:sz w:val="32"/>
          <w:szCs w:val="32"/>
        </w:rPr>
        <w:t>R</w:t>
      </w:r>
      <w:r>
        <w:rPr>
          <w:rFonts w:hint="eastAsia" w:ascii="仿宋_GB2312" w:hAnsi="Times New Roman" w:eastAsia="仿宋_GB2312"/>
          <w:bCs/>
          <w:snapToGrid w:val="0"/>
          <w:kern w:val="0"/>
          <w:sz w:val="32"/>
          <w:szCs w:val="32"/>
        </w:rPr>
        <w:t>）：指采选利用过程后，最终精矿产品中共伴生有用组分的质量之和与当期消耗矿产资源储量中共伴生有用组分质量和的百分比。</w:t>
      </w:r>
    </w:p>
    <w:p>
      <w:pPr>
        <w:overflowPunct w:val="0"/>
        <w:adjustRightInd w:val="0"/>
        <w:snapToGrid w:val="0"/>
        <w:spacing w:line="56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w:t>
      </w:r>
      <w:r>
        <w:rPr>
          <w:rFonts w:ascii="仿宋_GB2312" w:hAnsi="Times New Roman" w:eastAsia="仿宋_GB2312"/>
          <w:bCs/>
          <w:snapToGrid w:val="0"/>
          <w:kern w:val="0"/>
          <w:sz w:val="32"/>
          <w:szCs w:val="32"/>
        </w:rPr>
        <w:t>2</w:t>
      </w:r>
      <w:r>
        <w:rPr>
          <w:rFonts w:hint="eastAsia" w:ascii="仿宋_GB2312" w:hAnsi="Times New Roman" w:eastAsia="仿宋_GB2312"/>
          <w:bCs/>
          <w:snapToGrid w:val="0"/>
          <w:kern w:val="0"/>
          <w:sz w:val="32"/>
          <w:szCs w:val="32"/>
        </w:rPr>
        <w:t>）计算方法</w:t>
      </w:r>
    </w:p>
    <w:p>
      <w:pPr>
        <w:tabs>
          <w:tab w:val="center" w:pos="4201"/>
          <w:tab w:val="right" w:leader="dot" w:pos="9298"/>
        </w:tabs>
        <w:overflowPunct w:val="0"/>
        <w:autoSpaceDE w:val="0"/>
        <w:autoSpaceDN w:val="0"/>
        <w:adjustRightInd w:val="0"/>
        <w:snapToGrid w:val="0"/>
        <w:ind w:firstLine="637" w:firstLineChars="150"/>
        <w:jc w:val="left"/>
        <w:rPr>
          <w:rFonts w:ascii="Times New Roman" w:hAnsi="Times New Roman" w:eastAsia="仿宋_GB2312"/>
          <w:bCs/>
          <w:snapToGrid w:val="0"/>
          <w:kern w:val="0"/>
          <w:sz w:val="32"/>
          <w:szCs w:val="32"/>
        </w:rPr>
      </w:pPr>
      <w:r>
        <w:rPr>
          <w:rFonts w:hint="eastAsia" w:ascii="Times New Roman" w:hAnsi="Times New Roman" w:eastAsia="仿宋_GB2312"/>
          <w:bCs/>
          <w:snapToGrid w:val="0"/>
          <w:kern w:val="0"/>
          <w:sz w:val="32"/>
          <w:szCs w:val="32"/>
        </w:rPr>
        <w:object>
          <v:shape id="_x0000_i1025" o:spt="75" type="#_x0000_t75" style="height:85.4pt;width:153.0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tabs>
          <w:tab w:val="center" w:pos="4201"/>
          <w:tab w:val="right" w:leader="dot" w:pos="9298"/>
        </w:tabs>
        <w:overflowPunct w:val="0"/>
        <w:autoSpaceDE w:val="0"/>
        <w:autoSpaceDN w:val="0"/>
        <w:adjustRightInd w:val="0"/>
        <w:snapToGrid w:val="0"/>
        <w:spacing w:line="560" w:lineRule="exact"/>
        <w:ind w:firstLine="637" w:firstLineChars="150"/>
        <w:rPr>
          <w:rFonts w:hint="eastAsia" w:ascii="仿宋_GB2312" w:hAnsi="Times New Roman" w:eastAsia="仿宋_GB2312" w:cs="Times New Roman"/>
          <w:bCs/>
          <w:snapToGrid w:val="0"/>
          <w:kern w:val="0"/>
          <w:sz w:val="32"/>
          <w:szCs w:val="32"/>
        </w:rPr>
      </w:pPr>
      <w:r>
        <w:rPr>
          <w:rFonts w:hint="eastAsia" w:ascii="仿宋_GB2312" w:hAnsi="Times New Roman" w:eastAsia="仿宋_GB2312" w:cs="Times New Roman"/>
          <w:bCs/>
          <w:snapToGrid w:val="0"/>
          <w:kern w:val="0"/>
          <w:sz w:val="32"/>
          <w:szCs w:val="32"/>
        </w:rPr>
        <w:t>式中：</w:t>
      </w:r>
    </w:p>
    <w:p>
      <w:pPr>
        <w:tabs>
          <w:tab w:val="center" w:pos="4201"/>
          <w:tab w:val="right" w:leader="dot" w:pos="9298"/>
        </w:tabs>
        <w:overflowPunct w:val="0"/>
        <w:autoSpaceDE w:val="0"/>
        <w:autoSpaceDN w:val="0"/>
        <w:adjustRightInd w:val="0"/>
        <w:snapToGrid w:val="0"/>
        <w:spacing w:line="560" w:lineRule="exact"/>
        <w:ind w:firstLine="637" w:firstLineChars="150"/>
        <w:rPr>
          <w:rFonts w:hint="eastAsia" w:ascii="仿宋_GB2312" w:hAnsi="Times New Roman" w:eastAsia="仿宋_GB2312" w:cs="Times New Roman"/>
          <w:bCs/>
          <w:snapToGrid w:val="0"/>
          <w:kern w:val="0"/>
          <w:sz w:val="32"/>
          <w:szCs w:val="32"/>
        </w:rPr>
      </w:pPr>
      <w:r>
        <w:rPr>
          <w:rFonts w:hint="eastAsia" w:ascii="仿宋_GB2312" w:hAnsi="Times New Roman" w:eastAsia="仿宋_GB2312" w:cs="Times New Roman"/>
          <w:bCs/>
          <w:snapToGrid w:val="0"/>
          <w:kern w:val="0"/>
          <w:sz w:val="32"/>
          <w:szCs w:val="32"/>
        </w:rPr>
        <w:t>R，矿产资源综合利用率，%；</w:t>
      </w:r>
    </w:p>
    <w:p>
      <w:pPr>
        <w:tabs>
          <w:tab w:val="center" w:pos="4201"/>
          <w:tab w:val="right" w:leader="dot" w:pos="9298"/>
        </w:tabs>
        <w:overflowPunct w:val="0"/>
        <w:autoSpaceDE w:val="0"/>
        <w:autoSpaceDN w:val="0"/>
        <w:adjustRightInd w:val="0"/>
        <w:snapToGrid w:val="0"/>
        <w:spacing w:line="560" w:lineRule="exact"/>
        <w:ind w:firstLine="637" w:firstLineChars="150"/>
        <w:rPr>
          <w:rFonts w:hint="eastAsia" w:ascii="仿宋_GB2312" w:hAnsi="Times New Roman" w:eastAsia="仿宋_GB2312" w:cs="Times New Roman"/>
          <w:bCs/>
          <w:snapToGrid w:val="0"/>
          <w:kern w:val="0"/>
          <w:sz w:val="32"/>
          <w:szCs w:val="32"/>
        </w:rPr>
      </w:pPr>
      <w:r>
        <w:rPr>
          <w:rFonts w:hint="eastAsia" w:ascii="仿宋_GB2312" w:hAnsi="Times New Roman" w:eastAsia="仿宋_GB2312" w:cs="Times New Roman"/>
          <w:bCs/>
          <w:snapToGrid w:val="0"/>
          <w:kern w:val="0"/>
          <w:sz w:val="32"/>
          <w:szCs w:val="32"/>
        </w:rPr>
        <w:t>m，有用组分个数；</w:t>
      </w:r>
    </w:p>
    <w:p>
      <w:pPr>
        <w:tabs>
          <w:tab w:val="center" w:pos="4201"/>
          <w:tab w:val="right" w:leader="dot" w:pos="9298"/>
        </w:tabs>
        <w:overflowPunct w:val="0"/>
        <w:autoSpaceDE w:val="0"/>
        <w:autoSpaceDN w:val="0"/>
        <w:adjustRightInd w:val="0"/>
        <w:snapToGrid w:val="0"/>
        <w:spacing w:line="560" w:lineRule="exact"/>
        <w:ind w:firstLine="637" w:firstLineChars="150"/>
        <w:rPr>
          <w:rFonts w:hint="eastAsia" w:ascii="仿宋_GB2312" w:hAnsi="Times New Roman" w:eastAsia="仿宋_GB2312" w:cs="Times New Roman"/>
          <w:bCs/>
          <w:snapToGrid w:val="0"/>
          <w:kern w:val="0"/>
          <w:sz w:val="32"/>
          <w:szCs w:val="32"/>
        </w:rPr>
      </w:pPr>
      <w:r>
        <w:rPr>
          <w:rFonts w:hint="eastAsia" w:ascii="仿宋_GB2312" w:hAnsi="Times New Roman" w:eastAsia="仿宋_GB2312" w:cs="Times New Roman"/>
          <w:bCs/>
          <w:snapToGrid w:val="0"/>
          <w:kern w:val="0"/>
          <w:sz w:val="32"/>
          <w:szCs w:val="32"/>
        </w:rPr>
        <w:t>n，精矿产品中回收利用的有用组分个数；</w:t>
      </w:r>
    </w:p>
    <w:p>
      <w:pPr>
        <w:tabs>
          <w:tab w:val="center" w:pos="4201"/>
          <w:tab w:val="right" w:leader="dot" w:pos="9298"/>
        </w:tabs>
        <w:overflowPunct w:val="0"/>
        <w:autoSpaceDE w:val="0"/>
        <w:autoSpaceDN w:val="0"/>
        <w:adjustRightInd w:val="0"/>
        <w:snapToGrid w:val="0"/>
        <w:spacing w:line="560" w:lineRule="exact"/>
        <w:ind w:firstLine="637" w:firstLineChars="150"/>
        <w:rPr>
          <w:rFonts w:hint="eastAsia" w:ascii="仿宋_GB2312" w:hAnsi="Times New Roman" w:eastAsia="仿宋_GB2312" w:cs="Times New Roman"/>
          <w:bCs/>
          <w:snapToGrid w:val="0"/>
          <w:kern w:val="0"/>
          <w:sz w:val="32"/>
          <w:szCs w:val="32"/>
        </w:rPr>
      </w:pPr>
      <w:r>
        <w:rPr>
          <w:rFonts w:hint="eastAsia" w:ascii="仿宋_GB2312" w:hAnsi="Times New Roman" w:eastAsia="仿宋_GB2312" w:cs="Times New Roman"/>
          <w:bCs/>
          <w:snapToGrid w:val="0"/>
          <w:kern w:val="0"/>
          <w:sz w:val="32"/>
          <w:szCs w:val="32"/>
        </w:rPr>
        <w:t>K，开采回采率，%；</w:t>
      </w:r>
    </w:p>
    <w:p>
      <w:pPr>
        <w:tabs>
          <w:tab w:val="center" w:pos="4201"/>
          <w:tab w:val="right" w:leader="dot" w:pos="9298"/>
        </w:tabs>
        <w:overflowPunct w:val="0"/>
        <w:autoSpaceDE w:val="0"/>
        <w:autoSpaceDN w:val="0"/>
        <w:adjustRightInd w:val="0"/>
        <w:snapToGrid w:val="0"/>
        <w:spacing w:line="560" w:lineRule="exact"/>
        <w:ind w:firstLine="624" w:firstLineChars="147"/>
        <w:rPr>
          <w:rFonts w:hint="eastAsia" w:ascii="仿宋_GB2312" w:hAnsi="Times New Roman" w:eastAsia="仿宋_GB2312" w:cs="Times New Roman"/>
          <w:bCs/>
          <w:snapToGrid w:val="0"/>
          <w:kern w:val="0"/>
          <w:sz w:val="32"/>
          <w:szCs w:val="32"/>
          <w:lang w:val="zh-CN"/>
        </w:rPr>
      </w:pPr>
      <w:r>
        <w:rPr>
          <w:rFonts w:hint="eastAsia" w:ascii="仿宋_GB2312" w:hAnsi="Times New Roman" w:eastAsia="仿宋_GB2312" w:cs="Times New Roman"/>
          <w:bCs/>
          <w:snapToGrid w:val="0"/>
          <w:kern w:val="0"/>
          <w:sz w:val="32"/>
          <w:szCs w:val="32"/>
        </w:rPr>
        <w:t>ε</w:t>
      </w:r>
      <w:r>
        <w:rPr>
          <w:rFonts w:hint="eastAsia" w:ascii="仿宋_GB2312" w:hAnsi="Times New Roman" w:eastAsia="仿宋_GB2312" w:cs="Times New Roman"/>
          <w:bCs/>
          <w:snapToGrid w:val="0"/>
          <w:kern w:val="0"/>
          <w:sz w:val="32"/>
          <w:szCs w:val="32"/>
          <w:vertAlign w:val="subscript"/>
        </w:rPr>
        <w:t>i</w:t>
      </w:r>
      <w:r>
        <w:rPr>
          <w:rFonts w:hint="eastAsia" w:ascii="仿宋_GB2312" w:hAnsi="Times New Roman" w:eastAsia="仿宋_GB2312" w:cs="Times New Roman"/>
          <w:bCs/>
          <w:snapToGrid w:val="0"/>
          <w:kern w:val="0"/>
          <w:sz w:val="32"/>
          <w:szCs w:val="32"/>
        </w:rPr>
        <w:t>，第i个组分选矿回收率，%；</w:t>
      </w:r>
    </w:p>
    <w:p>
      <w:pPr>
        <w:tabs>
          <w:tab w:val="center" w:pos="4201"/>
          <w:tab w:val="right" w:leader="dot" w:pos="9298"/>
        </w:tabs>
        <w:overflowPunct w:val="0"/>
        <w:autoSpaceDE w:val="0"/>
        <w:autoSpaceDN w:val="0"/>
        <w:adjustRightInd w:val="0"/>
        <w:snapToGrid w:val="0"/>
        <w:spacing w:line="560" w:lineRule="exact"/>
        <w:ind w:firstLine="624" w:firstLineChars="147"/>
        <w:rPr>
          <w:rFonts w:hint="eastAsia" w:ascii="仿宋_GB2312" w:hAnsi="Times New Roman" w:eastAsia="仿宋_GB2312" w:cs="Times New Roman"/>
          <w:bCs/>
          <w:snapToGrid w:val="0"/>
          <w:kern w:val="0"/>
          <w:sz w:val="32"/>
          <w:szCs w:val="32"/>
        </w:rPr>
      </w:pPr>
      <w:r>
        <w:rPr>
          <w:rFonts w:hint="eastAsia" w:ascii="仿宋_GB2312" w:hAnsi="Times New Roman" w:eastAsia="仿宋_GB2312" w:cs="Times New Roman"/>
          <w:bCs/>
          <w:snapToGrid w:val="0"/>
          <w:kern w:val="0"/>
          <w:sz w:val="32"/>
          <w:szCs w:val="32"/>
        </w:rPr>
        <w:t>α</w:t>
      </w:r>
      <w:r>
        <w:rPr>
          <w:rFonts w:hint="eastAsia" w:ascii="仿宋_GB2312" w:hAnsi="Times New Roman" w:eastAsia="仿宋_GB2312" w:cs="Times New Roman"/>
          <w:bCs/>
          <w:snapToGrid w:val="0"/>
          <w:kern w:val="0"/>
          <w:sz w:val="32"/>
          <w:szCs w:val="32"/>
          <w:vertAlign w:val="subscript"/>
        </w:rPr>
        <w:t>i</w:t>
      </w:r>
      <w:r>
        <w:rPr>
          <w:rFonts w:hint="eastAsia" w:ascii="仿宋_GB2312" w:hAnsi="Times New Roman" w:eastAsia="仿宋_GB2312" w:cs="Times New Roman"/>
          <w:bCs/>
          <w:snapToGrid w:val="0"/>
          <w:kern w:val="0"/>
          <w:sz w:val="32"/>
          <w:szCs w:val="32"/>
        </w:rPr>
        <w:t>′，第i种组分的当量品位，%。</w:t>
      </w:r>
    </w:p>
    <w:p>
      <w:pPr>
        <w:pStyle w:val="13"/>
        <w:overflowPunct w:val="0"/>
        <w:snapToGrid w:val="0"/>
        <w:spacing w:line="560" w:lineRule="exact"/>
        <w:ind w:firstLine="637" w:firstLineChars="150"/>
        <w:rPr>
          <w:rFonts w:hint="eastAsia" w:ascii="仿宋_GB2312" w:eastAsia="仿宋_GB2312"/>
          <w:bCs/>
          <w:snapToGrid w:val="0"/>
          <w:color w:val="auto"/>
          <w:sz w:val="32"/>
          <w:szCs w:val="32"/>
          <w:lang w:val="en-US"/>
        </w:rPr>
      </w:pPr>
      <w:r>
        <w:rPr>
          <w:rFonts w:hint="eastAsia" w:ascii="仿宋_GB2312" w:eastAsia="仿宋_GB2312"/>
          <w:bCs/>
          <w:snapToGrid w:val="0"/>
          <w:color w:val="auto"/>
          <w:sz w:val="32"/>
          <w:szCs w:val="32"/>
          <w:lang w:val="en-US"/>
        </w:rPr>
        <w:t>2.尾矿综合利用率</w:t>
      </w:r>
    </w:p>
    <w:p>
      <w:pPr>
        <w:overflowPunct w:val="0"/>
        <w:adjustRightInd w:val="0"/>
        <w:snapToGrid w:val="0"/>
        <w:spacing w:line="560" w:lineRule="exact"/>
        <w:ind w:firstLine="637" w:firstLineChars="150"/>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（1）定义</w:t>
      </w:r>
    </w:p>
    <w:p>
      <w:pPr>
        <w:overflowPunct w:val="0"/>
        <w:adjustRightInd w:val="0"/>
        <w:snapToGrid w:val="0"/>
        <w:spacing w:line="560" w:lineRule="exact"/>
        <w:ind w:firstLine="637" w:firstLineChars="150"/>
        <w:rPr>
          <w:rFonts w:hint="eastAsia"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尾矿综合利用率（R尾矿）：指矿山生产过程中，该年度利用的尾矿量与该年度产生的尾矿量的百分比。其中利用的尾矿量包括进行有价元素回收部分的尾矿量、用于制作建筑材料的尾矿量及矿山回填量等。</w:t>
      </w:r>
    </w:p>
    <w:p>
      <w:pPr>
        <w:pStyle w:val="13"/>
        <w:overflowPunct w:val="0"/>
        <w:snapToGrid w:val="0"/>
        <w:spacing w:line="560" w:lineRule="exact"/>
        <w:ind w:firstLine="637" w:firstLineChars="150"/>
        <w:rPr>
          <w:rFonts w:hint="eastAsia"/>
        </w:rPr>
      </w:pPr>
      <w:r>
        <w:rPr>
          <w:rFonts w:hint="eastAsia" w:ascii="仿宋_GB2312" w:eastAsia="仿宋_GB2312"/>
          <w:bCs/>
          <w:snapToGrid w:val="0"/>
          <w:color w:val="auto"/>
          <w:sz w:val="32"/>
          <w:szCs w:val="32"/>
          <w:lang w:val="en-US"/>
        </w:rPr>
        <w:t>（2）计算方法</w:t>
      </w:r>
    </w:p>
    <w:tbl>
      <w:tblPr>
        <w:tblStyle w:val="7"/>
        <w:tblW w:w="8785" w:type="dxa"/>
        <w:tblInd w:w="-34" w:type="dxa"/>
        <w:tblBorders>
          <w:top w:val="none" w:color="auto" w:sz="0" w:space="0"/>
          <w:left w:val="none" w:color="auto" w:sz="0" w:space="0"/>
          <w:bottom w:val="none" w:color="auto" w:sz="0" w:space="0"/>
          <w:right w:val="none" w:color="auto" w:sz="0" w:space="0"/>
          <w:insideH w:val="single" w:color="000000" w:sz="4" w:space="0"/>
          <w:insideV w:val="none" w:color="auto" w:sz="0" w:space="0"/>
        </w:tblBorders>
        <w:tblLayout w:type="autofit"/>
        <w:tblCellMar>
          <w:top w:w="0" w:type="dxa"/>
          <w:left w:w="108" w:type="dxa"/>
          <w:bottom w:w="0" w:type="dxa"/>
          <w:right w:w="108" w:type="dxa"/>
        </w:tblCellMar>
      </w:tblPr>
      <w:tblGrid>
        <w:gridCol w:w="3912"/>
        <w:gridCol w:w="3493"/>
        <w:gridCol w:w="1380"/>
      </w:tblGrid>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04" w:hRule="exact"/>
        </w:trPr>
        <w:tc>
          <w:tcPr>
            <w:tcW w:w="3912" w:type="dxa"/>
            <w:vMerge w:val="restart"/>
            <w:shd w:val="clear" w:color="auto" w:fill="auto"/>
          </w:tcPr>
          <w:p>
            <w:pPr>
              <w:pStyle w:val="13"/>
              <w:overflowPunct w:val="0"/>
              <w:snapToGrid w:val="0"/>
              <w:spacing w:line="240" w:lineRule="auto"/>
              <w:ind w:firstLine="0" w:firstLineChars="0"/>
              <w:jc w:val="center"/>
              <w:rPr>
                <w:bCs/>
                <w:iCs/>
                <w:snapToGrid w:val="0"/>
                <w:color w:val="auto"/>
                <w:sz w:val="32"/>
                <w:szCs w:val="32"/>
                <w:lang w:val="en-US"/>
              </w:rPr>
            </w:pPr>
          </w:p>
          <w:p>
            <w:pPr>
              <w:pStyle w:val="13"/>
              <w:overflowPunct w:val="0"/>
              <w:snapToGrid w:val="0"/>
              <w:spacing w:line="240" w:lineRule="auto"/>
              <w:ind w:firstLine="0" w:firstLineChars="0"/>
              <w:jc w:val="center"/>
              <w:rPr>
                <w:bCs/>
                <w:iCs/>
                <w:snapToGrid w:val="0"/>
                <w:color w:val="auto"/>
                <w:sz w:val="32"/>
                <w:szCs w:val="32"/>
              </w:rPr>
            </w:pPr>
            <w:r>
              <w:rPr>
                <w:rFonts w:hint="eastAsia" w:eastAsia="仿宋_GB2312"/>
                <w:bCs/>
                <w:iCs/>
                <w:snapToGrid w:val="0"/>
                <w:color w:val="auto"/>
                <w:sz w:val="32"/>
                <w:szCs w:val="32"/>
                <w:lang w:val="en-US"/>
              </w:rPr>
              <w:t>尾矿综合利用率</w:t>
            </w:r>
            <w:r>
              <w:rPr>
                <w:rFonts w:hint="eastAsia"/>
                <w:bCs/>
                <w:iCs/>
                <w:snapToGrid w:val="0"/>
                <w:color w:val="auto"/>
                <w:sz w:val="32"/>
                <w:szCs w:val="32"/>
                <w:lang w:val="en-US"/>
              </w:rPr>
              <w:t>（</w:t>
            </w:r>
            <w:r>
              <w:rPr>
                <w:bCs/>
                <w:iCs/>
                <w:snapToGrid w:val="0"/>
                <w:color w:val="auto"/>
                <w:sz w:val="32"/>
                <w:szCs w:val="32"/>
                <w:lang w:val="en-US"/>
              </w:rPr>
              <w:t>R</w:t>
            </w:r>
            <w:r>
              <w:rPr>
                <w:rFonts w:hint="eastAsia"/>
                <w:bCs/>
                <w:iCs/>
                <w:snapToGrid w:val="0"/>
                <w:color w:val="auto"/>
                <w:sz w:val="32"/>
                <w:szCs w:val="32"/>
                <w:vertAlign w:val="subscript"/>
                <w:lang w:val="en-US"/>
              </w:rPr>
              <w:t>尾矿</w:t>
            </w:r>
            <w:r>
              <w:rPr>
                <w:rFonts w:hint="eastAsia"/>
                <w:bCs/>
                <w:iCs/>
                <w:snapToGrid w:val="0"/>
                <w:color w:val="auto"/>
                <w:sz w:val="32"/>
                <w:szCs w:val="32"/>
                <w:lang w:val="en-US"/>
              </w:rPr>
              <w:t>）</w:t>
            </w:r>
            <w:r>
              <w:rPr>
                <w:bCs/>
                <w:iCs/>
                <w:snapToGrid w:val="0"/>
                <w:color w:val="auto"/>
                <w:sz w:val="32"/>
                <w:szCs w:val="32"/>
                <w:lang w:val="en-US"/>
              </w:rPr>
              <w:t>=</w:t>
            </w:r>
          </w:p>
        </w:tc>
        <w:tc>
          <w:tcPr>
            <w:tcW w:w="3493" w:type="dxa"/>
            <w:shd w:val="clear" w:color="auto" w:fill="auto"/>
            <w:vAlign w:val="center"/>
          </w:tcPr>
          <w:p>
            <w:pPr>
              <w:pStyle w:val="13"/>
              <w:overflowPunct w:val="0"/>
              <w:snapToGrid w:val="0"/>
              <w:spacing w:line="240" w:lineRule="auto"/>
              <w:ind w:firstLine="0" w:firstLineChars="0"/>
              <w:jc w:val="center"/>
              <w:rPr>
                <w:rFonts w:eastAsia="仿宋_GB2312"/>
                <w:bCs/>
                <w:iCs/>
                <w:snapToGrid w:val="0"/>
                <w:color w:val="auto"/>
                <w:sz w:val="32"/>
                <w:szCs w:val="32"/>
                <w:lang w:val="en-US"/>
              </w:rPr>
            </w:pPr>
            <w:r>
              <w:rPr>
                <w:rFonts w:hint="eastAsia" w:eastAsia="仿宋_GB2312"/>
                <w:bCs/>
                <w:iCs/>
                <w:snapToGrid w:val="0"/>
                <w:color w:val="auto"/>
                <w:sz w:val="32"/>
                <w:szCs w:val="32"/>
                <w:lang w:val="en-US"/>
              </w:rPr>
              <w:t>年度已利用的尾矿质量</w:t>
            </w:r>
          </w:p>
        </w:tc>
        <w:tc>
          <w:tcPr>
            <w:tcW w:w="1380" w:type="dxa"/>
            <w:vMerge w:val="restart"/>
            <w:shd w:val="clear" w:color="auto" w:fill="auto"/>
            <w:vAlign w:val="center"/>
          </w:tcPr>
          <w:p>
            <w:pPr>
              <w:pStyle w:val="13"/>
              <w:overflowPunct w:val="0"/>
              <w:snapToGrid w:val="0"/>
              <w:spacing w:line="240" w:lineRule="auto"/>
              <w:ind w:firstLine="0" w:firstLineChars="0"/>
              <w:jc w:val="center"/>
              <w:rPr>
                <w:rFonts w:eastAsia="仿宋_GB2312"/>
                <w:bCs/>
                <w:iCs/>
                <w:snapToGrid w:val="0"/>
                <w:color w:val="auto"/>
                <w:sz w:val="32"/>
                <w:szCs w:val="32"/>
                <w:lang w:val="en-US"/>
              </w:rPr>
            </w:pPr>
            <w:r>
              <w:rPr>
                <w:rFonts w:eastAsia="仿宋_GB2312"/>
                <w:bCs/>
                <w:iCs/>
                <w:snapToGrid w:val="0"/>
                <w:sz w:val="32"/>
                <w:szCs w:val="32"/>
                <w:lang w:val="en-US"/>
              </w:rPr>
              <w:t>×100%</w:t>
            </w:r>
          </w:p>
        </w:tc>
      </w:tr>
      <w:tr>
        <w:tblPrEx>
          <w:tblBorders>
            <w:top w:val="none" w:color="auto" w:sz="0" w:space="0"/>
            <w:left w:val="none" w:color="auto" w:sz="0" w:space="0"/>
            <w:bottom w:val="none" w:color="auto" w:sz="0" w:space="0"/>
            <w:right w:val="none" w:color="auto" w:sz="0" w:space="0"/>
            <w:insideH w:val="single" w:color="000000" w:sz="4" w:space="0"/>
            <w:insideV w:val="none" w:color="auto" w:sz="0" w:space="0"/>
          </w:tblBorders>
          <w:tblCellMar>
            <w:top w:w="0" w:type="dxa"/>
            <w:left w:w="108" w:type="dxa"/>
            <w:bottom w:w="0" w:type="dxa"/>
            <w:right w:w="108" w:type="dxa"/>
          </w:tblCellMar>
        </w:tblPrEx>
        <w:trPr>
          <w:trHeight w:val="544" w:hRule="exact"/>
        </w:trPr>
        <w:tc>
          <w:tcPr>
            <w:tcW w:w="3912" w:type="dxa"/>
            <w:vMerge w:val="continue"/>
            <w:shd w:val="clear" w:color="auto" w:fill="auto"/>
          </w:tcPr>
          <w:p>
            <w:pPr>
              <w:pStyle w:val="13"/>
              <w:overflowPunct w:val="0"/>
              <w:snapToGrid w:val="0"/>
              <w:spacing w:line="240" w:lineRule="auto"/>
              <w:ind w:firstLine="0" w:firstLineChars="0"/>
              <w:rPr>
                <w:bCs/>
                <w:iCs/>
                <w:snapToGrid w:val="0"/>
                <w:color w:val="auto"/>
                <w:sz w:val="32"/>
                <w:szCs w:val="32"/>
              </w:rPr>
            </w:pPr>
          </w:p>
        </w:tc>
        <w:tc>
          <w:tcPr>
            <w:tcW w:w="3493" w:type="dxa"/>
            <w:shd w:val="clear" w:color="auto" w:fill="auto"/>
            <w:vAlign w:val="center"/>
          </w:tcPr>
          <w:p>
            <w:pPr>
              <w:pStyle w:val="13"/>
              <w:overflowPunct w:val="0"/>
              <w:snapToGrid w:val="0"/>
              <w:spacing w:line="240" w:lineRule="auto"/>
              <w:ind w:firstLine="0" w:firstLineChars="0"/>
              <w:jc w:val="center"/>
              <w:rPr>
                <w:rFonts w:eastAsia="仿宋_GB2312"/>
                <w:bCs/>
                <w:iCs/>
                <w:snapToGrid w:val="0"/>
                <w:color w:val="auto"/>
                <w:sz w:val="32"/>
                <w:szCs w:val="32"/>
              </w:rPr>
            </w:pPr>
            <w:r>
              <w:rPr>
                <w:rFonts w:hint="eastAsia" w:eastAsia="仿宋_GB2312"/>
                <w:bCs/>
                <w:iCs/>
                <w:snapToGrid w:val="0"/>
                <w:color w:val="auto"/>
                <w:sz w:val="32"/>
                <w:szCs w:val="32"/>
                <w:lang w:val="en-US"/>
              </w:rPr>
              <w:t>年度产生的尾矿质量</w:t>
            </w:r>
          </w:p>
        </w:tc>
        <w:tc>
          <w:tcPr>
            <w:tcW w:w="1380" w:type="dxa"/>
            <w:vMerge w:val="continue"/>
            <w:shd w:val="clear" w:color="auto" w:fill="auto"/>
          </w:tcPr>
          <w:p>
            <w:pPr>
              <w:pStyle w:val="13"/>
              <w:keepNext/>
              <w:keepLines/>
              <w:overflowPunct w:val="0"/>
              <w:snapToGrid w:val="0"/>
              <w:spacing w:line="240" w:lineRule="auto"/>
              <w:ind w:firstLine="0" w:firstLineChars="0"/>
              <w:rPr>
                <w:rFonts w:eastAsia="仿宋_GB2312"/>
                <w:bCs/>
                <w:iCs/>
                <w:snapToGrid w:val="0"/>
                <w:color w:val="auto"/>
                <w:sz w:val="32"/>
                <w:szCs w:val="32"/>
              </w:rPr>
            </w:pPr>
          </w:p>
        </w:tc>
      </w:tr>
    </w:tbl>
    <w:p>
      <w:pPr>
        <w:overflowPunct w:val="0"/>
        <w:adjustRightInd w:val="0"/>
        <w:snapToGrid w:val="0"/>
        <w:spacing w:line="560" w:lineRule="exact"/>
        <w:ind w:firstLine="637" w:firstLineChars="150"/>
        <w:rPr>
          <w:rFonts w:ascii="仿宋_GB2312" w:hAnsi="Times New Roman" w:eastAsia="仿宋_GB2312"/>
          <w:bCs/>
          <w:snapToGrid w:val="0"/>
          <w:kern w:val="0"/>
          <w:sz w:val="32"/>
          <w:szCs w:val="32"/>
        </w:rPr>
      </w:pPr>
      <w:r>
        <w:rPr>
          <w:rFonts w:hint="eastAsia" w:ascii="仿宋_GB2312" w:hAnsi="Times New Roman" w:eastAsia="仿宋_GB2312"/>
          <w:bCs/>
          <w:snapToGrid w:val="0"/>
          <w:kern w:val="0"/>
          <w:sz w:val="32"/>
          <w:szCs w:val="32"/>
        </w:rPr>
        <w:t>本指标要求自2023年6月</w:t>
      </w:r>
      <w:r>
        <w:rPr>
          <w:rFonts w:ascii="仿宋_GB2312" w:hAnsi="Times New Roman" w:eastAsia="仿宋_GB2312"/>
          <w:bCs/>
          <w:snapToGrid w:val="0"/>
          <w:kern w:val="0"/>
          <w:sz w:val="32"/>
          <w:szCs w:val="32"/>
        </w:rPr>
        <w:t>13</w:t>
      </w:r>
      <w:r>
        <w:rPr>
          <w:rFonts w:hint="eastAsia" w:ascii="仿宋_GB2312" w:hAnsi="Times New Roman" w:eastAsia="仿宋_GB2312"/>
          <w:bCs/>
          <w:snapToGrid w:val="0"/>
          <w:kern w:val="0"/>
          <w:sz w:val="32"/>
          <w:szCs w:val="32"/>
        </w:rPr>
        <w:t>日起施行，有效期至2028年6月</w:t>
      </w:r>
      <w:r>
        <w:rPr>
          <w:rFonts w:ascii="仿宋_GB2312" w:hAnsi="Times New Roman" w:eastAsia="仿宋_GB2312"/>
          <w:bCs/>
          <w:snapToGrid w:val="0"/>
          <w:kern w:val="0"/>
          <w:sz w:val="32"/>
          <w:szCs w:val="32"/>
        </w:rPr>
        <w:t>12</w:t>
      </w:r>
      <w:r>
        <w:rPr>
          <w:rFonts w:hint="eastAsia" w:ascii="仿宋_GB2312" w:hAnsi="Times New Roman" w:eastAsia="仿宋_GB2312"/>
          <w:bCs/>
          <w:snapToGrid w:val="0"/>
          <w:kern w:val="0"/>
          <w:sz w:val="32"/>
          <w:szCs w:val="32"/>
        </w:rPr>
        <w:t>日。</w:t>
      </w:r>
    </w:p>
    <w:sectPr>
      <w:headerReference r:id="rId3" w:type="default"/>
      <w:footerReference r:id="rId5" w:type="default"/>
      <w:headerReference r:id="rId4" w:type="even"/>
      <w:footerReference r:id="rId6" w:type="even"/>
      <w:pgSz w:w="11906" w:h="16838"/>
      <w:pgMar w:top="2098" w:right="1474" w:bottom="1984" w:left="1588" w:header="851" w:footer="1418" w:gutter="0"/>
      <w:pgNumType w:fmt="numberInDash" w:start="9"/>
      <w:cols w:space="425"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560" w:lineRule="exact"/>
      <w:ind w:left="210" w:leftChars="100" w:right="210" w:rightChars="100"/>
      <w:rPr>
        <w:rFonts w:hint="eastAsia" w:ascii="宋体" w:hAnsi="宋体"/>
        <w:sz w:val="28"/>
        <w:szCs w:val="28"/>
      </w:rPr>
    </w:pPr>
    <w:bookmarkStart w:id="0" w:name="_GoBack"/>
    <w:bookmarkEnd w:id="0"/>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spacing w:line="560" w:lineRule="exact"/>
                  <w:ind w:left="210" w:leftChars="100" w:right="210" w:rightChars="100"/>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M3MmM5YWY1ZmU0NTMyOWU1OTk2YjM0MjFlYWJhNDcifQ=="/>
  </w:docVars>
  <w:rsids>
    <w:rsidRoot w:val="00291DF8"/>
    <w:rsid w:val="000007BA"/>
    <w:rsid w:val="00002BE1"/>
    <w:rsid w:val="000126FC"/>
    <w:rsid w:val="0001671C"/>
    <w:rsid w:val="000208C0"/>
    <w:rsid w:val="00021942"/>
    <w:rsid w:val="0002680A"/>
    <w:rsid w:val="000508CE"/>
    <w:rsid w:val="0006153B"/>
    <w:rsid w:val="00082C2D"/>
    <w:rsid w:val="00084A31"/>
    <w:rsid w:val="000A587F"/>
    <w:rsid w:val="000B4850"/>
    <w:rsid w:val="000C17FA"/>
    <w:rsid w:val="000D08B6"/>
    <w:rsid w:val="000E1F7C"/>
    <w:rsid w:val="000F11CC"/>
    <w:rsid w:val="000F6147"/>
    <w:rsid w:val="000F6756"/>
    <w:rsid w:val="001268EF"/>
    <w:rsid w:val="00151C0A"/>
    <w:rsid w:val="00162B9A"/>
    <w:rsid w:val="001741C4"/>
    <w:rsid w:val="0017523F"/>
    <w:rsid w:val="00185680"/>
    <w:rsid w:val="001A5F0E"/>
    <w:rsid w:val="001B026E"/>
    <w:rsid w:val="001B0FA6"/>
    <w:rsid w:val="001C4D6D"/>
    <w:rsid w:val="001E123D"/>
    <w:rsid w:val="001F2B07"/>
    <w:rsid w:val="001F4ECC"/>
    <w:rsid w:val="00233C13"/>
    <w:rsid w:val="00235B54"/>
    <w:rsid w:val="00241A20"/>
    <w:rsid w:val="00246EF6"/>
    <w:rsid w:val="0025277C"/>
    <w:rsid w:val="002600E1"/>
    <w:rsid w:val="00271991"/>
    <w:rsid w:val="002769CD"/>
    <w:rsid w:val="00276F21"/>
    <w:rsid w:val="00291DF8"/>
    <w:rsid w:val="00296D50"/>
    <w:rsid w:val="002B2875"/>
    <w:rsid w:val="002B38CA"/>
    <w:rsid w:val="002B7AC5"/>
    <w:rsid w:val="002F160A"/>
    <w:rsid w:val="0030146B"/>
    <w:rsid w:val="003052A7"/>
    <w:rsid w:val="003137A5"/>
    <w:rsid w:val="00314F06"/>
    <w:rsid w:val="003356C0"/>
    <w:rsid w:val="003409BF"/>
    <w:rsid w:val="003567F5"/>
    <w:rsid w:val="00363F28"/>
    <w:rsid w:val="0038592F"/>
    <w:rsid w:val="003A22A2"/>
    <w:rsid w:val="003B1BD7"/>
    <w:rsid w:val="003D7A27"/>
    <w:rsid w:val="003E032C"/>
    <w:rsid w:val="003E6D5D"/>
    <w:rsid w:val="003E7DEF"/>
    <w:rsid w:val="003F5A79"/>
    <w:rsid w:val="003F6B8D"/>
    <w:rsid w:val="004013A1"/>
    <w:rsid w:val="00404808"/>
    <w:rsid w:val="004068F4"/>
    <w:rsid w:val="0042458A"/>
    <w:rsid w:val="00430A24"/>
    <w:rsid w:val="0045416C"/>
    <w:rsid w:val="00462537"/>
    <w:rsid w:val="00476165"/>
    <w:rsid w:val="00476BE2"/>
    <w:rsid w:val="00493F6D"/>
    <w:rsid w:val="00496649"/>
    <w:rsid w:val="004979F4"/>
    <w:rsid w:val="004B74A3"/>
    <w:rsid w:val="004C7479"/>
    <w:rsid w:val="004E0B41"/>
    <w:rsid w:val="004F60F1"/>
    <w:rsid w:val="0050158A"/>
    <w:rsid w:val="00501C49"/>
    <w:rsid w:val="00503799"/>
    <w:rsid w:val="00506C46"/>
    <w:rsid w:val="0051237E"/>
    <w:rsid w:val="005145D3"/>
    <w:rsid w:val="005441F4"/>
    <w:rsid w:val="00566030"/>
    <w:rsid w:val="005678E0"/>
    <w:rsid w:val="00567D73"/>
    <w:rsid w:val="005867FE"/>
    <w:rsid w:val="00594FF3"/>
    <w:rsid w:val="005B18C5"/>
    <w:rsid w:val="005B6E0E"/>
    <w:rsid w:val="005C3097"/>
    <w:rsid w:val="005E0CA2"/>
    <w:rsid w:val="005F596F"/>
    <w:rsid w:val="00601541"/>
    <w:rsid w:val="0061135E"/>
    <w:rsid w:val="006357CA"/>
    <w:rsid w:val="00640A7A"/>
    <w:rsid w:val="00643347"/>
    <w:rsid w:val="00657A20"/>
    <w:rsid w:val="00681A49"/>
    <w:rsid w:val="00692BAC"/>
    <w:rsid w:val="006A4D2E"/>
    <w:rsid w:val="006D14D8"/>
    <w:rsid w:val="006D2E45"/>
    <w:rsid w:val="006D4D60"/>
    <w:rsid w:val="006E52F9"/>
    <w:rsid w:val="006F5A2A"/>
    <w:rsid w:val="006F5FF6"/>
    <w:rsid w:val="006F6C3C"/>
    <w:rsid w:val="00715F3D"/>
    <w:rsid w:val="00722B4B"/>
    <w:rsid w:val="00724E83"/>
    <w:rsid w:val="00730AD6"/>
    <w:rsid w:val="00731FF0"/>
    <w:rsid w:val="00733869"/>
    <w:rsid w:val="00737DEA"/>
    <w:rsid w:val="00741326"/>
    <w:rsid w:val="00751DFB"/>
    <w:rsid w:val="007560AC"/>
    <w:rsid w:val="007613EA"/>
    <w:rsid w:val="00761C44"/>
    <w:rsid w:val="00767F36"/>
    <w:rsid w:val="007738D9"/>
    <w:rsid w:val="00782F63"/>
    <w:rsid w:val="007912FE"/>
    <w:rsid w:val="007A7D52"/>
    <w:rsid w:val="007B58E2"/>
    <w:rsid w:val="007C0FB5"/>
    <w:rsid w:val="007D10C3"/>
    <w:rsid w:val="007F46B9"/>
    <w:rsid w:val="00836295"/>
    <w:rsid w:val="00841694"/>
    <w:rsid w:val="00842D21"/>
    <w:rsid w:val="00852C43"/>
    <w:rsid w:val="008653EF"/>
    <w:rsid w:val="00874C59"/>
    <w:rsid w:val="00876EFE"/>
    <w:rsid w:val="008C7A6B"/>
    <w:rsid w:val="008D0F1D"/>
    <w:rsid w:val="009147A8"/>
    <w:rsid w:val="0092026B"/>
    <w:rsid w:val="00933897"/>
    <w:rsid w:val="00951033"/>
    <w:rsid w:val="009511AB"/>
    <w:rsid w:val="00952034"/>
    <w:rsid w:val="00953EC8"/>
    <w:rsid w:val="0095402E"/>
    <w:rsid w:val="00956CB2"/>
    <w:rsid w:val="00971964"/>
    <w:rsid w:val="00991901"/>
    <w:rsid w:val="009A3D68"/>
    <w:rsid w:val="009B1286"/>
    <w:rsid w:val="009B1842"/>
    <w:rsid w:val="009B45F6"/>
    <w:rsid w:val="009D2B0B"/>
    <w:rsid w:val="009D2C48"/>
    <w:rsid w:val="009F3603"/>
    <w:rsid w:val="00A064B9"/>
    <w:rsid w:val="00A1760F"/>
    <w:rsid w:val="00A610DD"/>
    <w:rsid w:val="00A625F8"/>
    <w:rsid w:val="00A66580"/>
    <w:rsid w:val="00A67589"/>
    <w:rsid w:val="00A900E8"/>
    <w:rsid w:val="00A90A8F"/>
    <w:rsid w:val="00AA34CD"/>
    <w:rsid w:val="00AA6765"/>
    <w:rsid w:val="00AC0F3E"/>
    <w:rsid w:val="00AC2115"/>
    <w:rsid w:val="00AE1210"/>
    <w:rsid w:val="00AF7873"/>
    <w:rsid w:val="00B000AB"/>
    <w:rsid w:val="00B11890"/>
    <w:rsid w:val="00B14E27"/>
    <w:rsid w:val="00B17451"/>
    <w:rsid w:val="00B260E1"/>
    <w:rsid w:val="00B26657"/>
    <w:rsid w:val="00B267DB"/>
    <w:rsid w:val="00B4028E"/>
    <w:rsid w:val="00B52D19"/>
    <w:rsid w:val="00B56433"/>
    <w:rsid w:val="00B642CA"/>
    <w:rsid w:val="00B81A59"/>
    <w:rsid w:val="00B87E49"/>
    <w:rsid w:val="00B904C9"/>
    <w:rsid w:val="00B91BDD"/>
    <w:rsid w:val="00B92727"/>
    <w:rsid w:val="00BA2346"/>
    <w:rsid w:val="00BB3A63"/>
    <w:rsid w:val="00BF3DC8"/>
    <w:rsid w:val="00BF7E85"/>
    <w:rsid w:val="00C01138"/>
    <w:rsid w:val="00C05B40"/>
    <w:rsid w:val="00C231F5"/>
    <w:rsid w:val="00C26898"/>
    <w:rsid w:val="00C33692"/>
    <w:rsid w:val="00C3746C"/>
    <w:rsid w:val="00C55C19"/>
    <w:rsid w:val="00C64373"/>
    <w:rsid w:val="00C7112A"/>
    <w:rsid w:val="00C80561"/>
    <w:rsid w:val="00C82BE6"/>
    <w:rsid w:val="00C83115"/>
    <w:rsid w:val="00C9635D"/>
    <w:rsid w:val="00CA310B"/>
    <w:rsid w:val="00CA47D9"/>
    <w:rsid w:val="00CB163C"/>
    <w:rsid w:val="00CC058B"/>
    <w:rsid w:val="00CD189A"/>
    <w:rsid w:val="00CD34D9"/>
    <w:rsid w:val="00CE29C7"/>
    <w:rsid w:val="00CE5567"/>
    <w:rsid w:val="00CF7D4A"/>
    <w:rsid w:val="00D23CF5"/>
    <w:rsid w:val="00D31FF1"/>
    <w:rsid w:val="00D359CF"/>
    <w:rsid w:val="00D52DEF"/>
    <w:rsid w:val="00D5648E"/>
    <w:rsid w:val="00D67D51"/>
    <w:rsid w:val="00D73F16"/>
    <w:rsid w:val="00D831F2"/>
    <w:rsid w:val="00D90212"/>
    <w:rsid w:val="00D904F2"/>
    <w:rsid w:val="00DA30D5"/>
    <w:rsid w:val="00DA3431"/>
    <w:rsid w:val="00DC6E38"/>
    <w:rsid w:val="00DD501C"/>
    <w:rsid w:val="00DD7934"/>
    <w:rsid w:val="00DE699C"/>
    <w:rsid w:val="00E114CD"/>
    <w:rsid w:val="00E24346"/>
    <w:rsid w:val="00E378C9"/>
    <w:rsid w:val="00E44360"/>
    <w:rsid w:val="00E46C9F"/>
    <w:rsid w:val="00E5491E"/>
    <w:rsid w:val="00E55CC8"/>
    <w:rsid w:val="00E62EF8"/>
    <w:rsid w:val="00E723E9"/>
    <w:rsid w:val="00E768DD"/>
    <w:rsid w:val="00E81CE6"/>
    <w:rsid w:val="00E947BD"/>
    <w:rsid w:val="00E94FFB"/>
    <w:rsid w:val="00ED1F0B"/>
    <w:rsid w:val="00F17B60"/>
    <w:rsid w:val="00F35913"/>
    <w:rsid w:val="00F407D9"/>
    <w:rsid w:val="00F4228A"/>
    <w:rsid w:val="00F56FF4"/>
    <w:rsid w:val="00F6099C"/>
    <w:rsid w:val="00F73999"/>
    <w:rsid w:val="00F82066"/>
    <w:rsid w:val="00F83F46"/>
    <w:rsid w:val="00F9692C"/>
    <w:rsid w:val="00FA038C"/>
    <w:rsid w:val="00FA2AD1"/>
    <w:rsid w:val="00FB1381"/>
    <w:rsid w:val="00FD0A2F"/>
    <w:rsid w:val="00FE52C0"/>
    <w:rsid w:val="076EBEEF"/>
    <w:rsid w:val="0FF69F6E"/>
    <w:rsid w:val="140725D3"/>
    <w:rsid w:val="33FDD50C"/>
    <w:rsid w:val="3AFFD373"/>
    <w:rsid w:val="3DBF6071"/>
    <w:rsid w:val="4B9EE787"/>
    <w:rsid w:val="4BFB356E"/>
    <w:rsid w:val="4EDF516B"/>
    <w:rsid w:val="5BDF0ECD"/>
    <w:rsid w:val="7BAA8D2F"/>
    <w:rsid w:val="7BDD8BC7"/>
    <w:rsid w:val="7BE80E85"/>
    <w:rsid w:val="7E7F2F0C"/>
    <w:rsid w:val="7EEF403A"/>
    <w:rsid w:val="7FFF7A4F"/>
    <w:rsid w:val="9D4B5CFF"/>
    <w:rsid w:val="AABDCAA4"/>
    <w:rsid w:val="B8EF1C25"/>
    <w:rsid w:val="BA7B23C6"/>
    <w:rsid w:val="BBDF4553"/>
    <w:rsid w:val="BDFFD2D8"/>
    <w:rsid w:val="BE761830"/>
    <w:rsid w:val="BEAB102C"/>
    <w:rsid w:val="D6EDB110"/>
    <w:rsid w:val="DDBF74EF"/>
    <w:rsid w:val="E7DA0B7B"/>
    <w:rsid w:val="EDF9964C"/>
    <w:rsid w:val="EE677C4B"/>
    <w:rsid w:val="EFFFDA53"/>
    <w:rsid w:val="F7F7288E"/>
    <w:rsid w:val="F9F74CE1"/>
    <w:rsid w:val="FAB3A633"/>
    <w:rsid w:val="FCF33C6B"/>
    <w:rsid w:val="FE734873"/>
    <w:rsid w:val="FE8E1460"/>
    <w:rsid w:val="FFCD2184"/>
    <w:rsid w:val="FFFDBBF4"/>
    <w:rsid w:val="FFFDD70E"/>
  </w:rsids>
  <m:mathPr>
    <m:mathFont m:val="Cambria Math"/>
    <m:brkBin m:val="before"/>
    <m:brkBinSub m:val="--"/>
    <m:smallFrac m:val="1"/>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annotation reference"/>
    <w:semiHidden/>
    <w:unhideWhenUsed/>
    <w:qFormat/>
    <w:uiPriority w:val="99"/>
    <w:rPr>
      <w:sz w:val="21"/>
      <w:szCs w:val="21"/>
    </w:rPr>
  </w:style>
  <w:style w:type="character" w:customStyle="1" w:styleId="11">
    <w:name w:val="页眉 字符"/>
    <w:link w:val="5"/>
    <w:qFormat/>
    <w:uiPriority w:val="99"/>
    <w:rPr>
      <w:sz w:val="18"/>
      <w:szCs w:val="18"/>
    </w:rPr>
  </w:style>
  <w:style w:type="character" w:customStyle="1" w:styleId="12">
    <w:name w:val="页脚 字符"/>
    <w:link w:val="4"/>
    <w:qFormat/>
    <w:uiPriority w:val="99"/>
    <w:rPr>
      <w:sz w:val="18"/>
      <w:szCs w:val="18"/>
    </w:rPr>
  </w:style>
  <w:style w:type="paragraph" w:customStyle="1" w:styleId="13">
    <w:name w:val="段"/>
    <w:basedOn w:val="1"/>
    <w:link w:val="14"/>
    <w:qFormat/>
    <w:uiPriority w:val="0"/>
    <w:pPr>
      <w:autoSpaceDE w:val="0"/>
      <w:autoSpaceDN w:val="0"/>
      <w:adjustRightInd w:val="0"/>
      <w:spacing w:line="360" w:lineRule="exact"/>
      <w:ind w:firstLine="200" w:firstLineChars="200"/>
      <w:textAlignment w:val="center"/>
    </w:pPr>
    <w:rPr>
      <w:rFonts w:ascii="Times New Roman" w:hAnsi="Times New Roman" w:eastAsia="宋体" w:cs="Times New Roman"/>
      <w:color w:val="000000"/>
      <w:kern w:val="0"/>
      <w:szCs w:val="21"/>
      <w:lang w:val="zh-CN"/>
    </w:rPr>
  </w:style>
  <w:style w:type="character" w:customStyle="1" w:styleId="14">
    <w:name w:val="段 Char"/>
    <w:link w:val="13"/>
    <w:qFormat/>
    <w:uiPriority w:val="0"/>
    <w:rPr>
      <w:rFonts w:ascii="Times New Roman" w:hAnsi="Times New Roman" w:eastAsia="宋体" w:cs="Times New Roman"/>
      <w:color w:val="000000"/>
      <w:kern w:val="0"/>
      <w:szCs w:val="21"/>
      <w:lang w:val="zh-CN"/>
    </w:rPr>
  </w:style>
  <w:style w:type="character" w:customStyle="1" w:styleId="15">
    <w:name w:val="批注框文本 字符"/>
    <w:link w:val="3"/>
    <w:semiHidden/>
    <w:qFormat/>
    <w:uiPriority w:val="99"/>
    <w:rPr>
      <w:sz w:val="18"/>
      <w:szCs w:val="18"/>
    </w:rPr>
  </w:style>
  <w:style w:type="character" w:customStyle="1" w:styleId="16">
    <w:name w:val="批注文字 字符"/>
    <w:basedOn w:val="9"/>
    <w:link w:val="2"/>
    <w:semiHidden/>
    <w:qFormat/>
    <w:uiPriority w:val="99"/>
  </w:style>
  <w:style w:type="character" w:customStyle="1" w:styleId="17">
    <w:name w:val="批注主题 字符"/>
    <w:link w:val="6"/>
    <w:semiHidden/>
    <w:qFormat/>
    <w:uiPriority w:val="99"/>
    <w:rPr>
      <w:b/>
      <w:bCs/>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2598</Words>
  <Characters>2849</Characters>
  <Lines>22</Lines>
  <Paragraphs>6</Paragraphs>
  <TotalTime>0</TotalTime>
  <ScaleCrop>false</ScaleCrop>
  <LinksUpToDate>false</LinksUpToDate>
  <CharactersWithSpaces>2855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2023-06-07T17:14:00Z</dcterms:created>
  <dc:creator>xtzj</dc:creator>
  <cp:lastModifiedBy>风雨彩虹</cp:lastModifiedBy>
  <dcterms:modified xsi:type="dcterms:W3CDTF">2023-06-19T07:08:13Z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ED7A3AB9A09E4764832A037897481F89</vt:lpwstr>
  </property>
</Properties>
</file>