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B08F" w14:textId="07442F84" w:rsidR="00416E8B" w:rsidRDefault="00000000">
      <w:pPr>
        <w:widowControl/>
        <w:jc w:val="left"/>
        <w:rPr>
          <w:rFonts w:ascii="黑体" w:eastAsia="黑体" w:hAnsi="黑体" w:cs="仿宋_GB2312"/>
          <w:sz w:val="32"/>
          <w:szCs w:val="32"/>
        </w:rPr>
      </w:pPr>
      <w:bookmarkStart w:id="0" w:name="_Toc241290712"/>
      <w:r>
        <w:rPr>
          <w:rFonts w:ascii="黑体" w:eastAsia="黑体" w:hAnsi="黑体" w:cs="仿宋_GB2312" w:hint="eastAsia"/>
          <w:sz w:val="32"/>
          <w:szCs w:val="32"/>
        </w:rPr>
        <w:t>附件</w:t>
      </w:r>
    </w:p>
    <w:p w14:paraId="60F14BA4" w14:textId="77777777" w:rsidR="00416E8B" w:rsidRDefault="00416E8B" w:rsidP="00A50C37">
      <w:pPr>
        <w:adjustRightInd w:val="0"/>
        <w:snapToGrid w:val="0"/>
        <w:spacing w:line="580" w:lineRule="exact"/>
        <w:jc w:val="center"/>
        <w:rPr>
          <w:rFonts w:ascii="方正小标宋简体" w:eastAsia="方正小标宋简体" w:hAnsi="Arial" w:cs="Arial"/>
          <w:sz w:val="44"/>
          <w:szCs w:val="44"/>
        </w:rPr>
      </w:pPr>
    </w:p>
    <w:p w14:paraId="23EFCFC9" w14:textId="77777777" w:rsidR="00416E8B" w:rsidRPr="00A50C37" w:rsidRDefault="00000000" w:rsidP="00A50C37">
      <w:pPr>
        <w:adjustRightInd w:val="0"/>
        <w:snapToGrid w:val="0"/>
        <w:spacing w:line="580" w:lineRule="exact"/>
        <w:jc w:val="center"/>
        <w:rPr>
          <w:rFonts w:ascii="创艺简标宋" w:eastAsia="创艺简标宋" w:hAnsi="Arial" w:cs="Arial"/>
          <w:sz w:val="40"/>
          <w:szCs w:val="40"/>
        </w:rPr>
      </w:pPr>
      <w:r w:rsidRPr="00A50C37">
        <w:rPr>
          <w:rFonts w:ascii="创艺简标宋" w:eastAsia="创艺简标宋" w:hAnsi="Arial" w:cs="Arial" w:hint="eastAsia"/>
          <w:sz w:val="40"/>
          <w:szCs w:val="40"/>
        </w:rPr>
        <w:t>上海市详细规划实施深化适用清单</w:t>
      </w:r>
    </w:p>
    <w:p w14:paraId="42031980" w14:textId="77777777" w:rsidR="00416E8B" w:rsidRDefault="00416E8B" w:rsidP="00A50C37">
      <w:pPr>
        <w:adjustRightInd w:val="0"/>
        <w:snapToGrid w:val="0"/>
        <w:spacing w:line="580" w:lineRule="exact"/>
        <w:ind w:firstLineChars="200" w:firstLine="640"/>
        <w:rPr>
          <w:rFonts w:ascii="Arial" w:eastAsia="黑体" w:hAnsi="Arial" w:cs="黑体"/>
          <w:sz w:val="32"/>
          <w:szCs w:val="32"/>
        </w:rPr>
      </w:pPr>
      <w:bookmarkStart w:id="1" w:name="_Toc241290717"/>
      <w:bookmarkStart w:id="2" w:name="_Toc261103674"/>
      <w:bookmarkStart w:id="3" w:name="_Toc241290715"/>
      <w:bookmarkStart w:id="4" w:name="_Toc233190902"/>
      <w:bookmarkEnd w:id="0"/>
    </w:p>
    <w:p w14:paraId="0BF62848" w14:textId="77777777" w:rsidR="00416E8B" w:rsidRDefault="00000000" w:rsidP="00A50C37">
      <w:pPr>
        <w:adjustRightInd w:val="0"/>
        <w:snapToGrid w:val="0"/>
        <w:spacing w:line="580" w:lineRule="exact"/>
        <w:ind w:firstLineChars="200" w:firstLine="640"/>
        <w:rPr>
          <w:rFonts w:ascii="黑体" w:eastAsia="黑体" w:hAnsi="黑体"/>
          <w:bCs/>
          <w:sz w:val="32"/>
          <w:szCs w:val="32"/>
        </w:rPr>
      </w:pPr>
      <w:r>
        <w:rPr>
          <w:rFonts w:ascii="黑体" w:eastAsia="黑体" w:hAnsi="黑体" w:cs="楷体_GB2312" w:hint="eastAsia"/>
          <w:bCs/>
          <w:sz w:val="32"/>
          <w:szCs w:val="32"/>
        </w:rPr>
        <w:t>一、关于用地范围、用地面积</w:t>
      </w:r>
      <w:bookmarkEnd w:id="1"/>
      <w:bookmarkEnd w:id="2"/>
    </w:p>
    <w:p w14:paraId="7D741164" w14:textId="77777777" w:rsidR="00416E8B" w:rsidRDefault="00000000" w:rsidP="00A50C37">
      <w:pPr>
        <w:adjustRightInd w:val="0"/>
        <w:snapToGrid w:val="0"/>
        <w:spacing w:line="580" w:lineRule="exact"/>
        <w:ind w:firstLineChars="200" w:firstLine="640"/>
        <w:rPr>
          <w:rFonts w:ascii="楷体_GB2312" w:eastAsia="楷体_GB2312" w:hAnsi="Arial" w:cs="Arial"/>
          <w:b/>
          <w:bCs/>
          <w:sz w:val="32"/>
          <w:szCs w:val="32"/>
        </w:rPr>
      </w:pPr>
      <w:bookmarkStart w:id="5" w:name="_Toc233190909"/>
      <w:bookmarkEnd w:id="3"/>
      <w:bookmarkEnd w:id="4"/>
      <w:r>
        <w:rPr>
          <w:rFonts w:ascii="楷体_GB2312" w:eastAsia="楷体_GB2312" w:hAnsi="Arial" w:cs="Arial" w:hint="eastAsia"/>
          <w:b/>
          <w:bCs/>
          <w:sz w:val="32"/>
          <w:szCs w:val="32"/>
        </w:rPr>
        <w:t>（一）用地范围、用地面积微调的适用情形</w:t>
      </w:r>
    </w:p>
    <w:p w14:paraId="68CC3538"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Arial"/>
          <w:sz w:val="32"/>
          <w:szCs w:val="32"/>
        </w:rPr>
        <w:t>1</w:t>
      </w:r>
      <w:r>
        <w:rPr>
          <w:rFonts w:ascii="仿宋_GB2312" w:eastAsia="仿宋_GB2312" w:hAnsi="Arial" w:cs="仿宋_GB2312" w:hint="eastAsia"/>
          <w:sz w:val="32"/>
          <w:szCs w:val="32"/>
        </w:rPr>
        <w:t>.因规划用地范围与权属边界不一致，按权属边界对用地范围进行修正的。</w:t>
      </w:r>
    </w:p>
    <w:p w14:paraId="7D2283FA" w14:textId="77777777" w:rsidR="00416E8B" w:rsidRDefault="00000000" w:rsidP="00A50C37">
      <w:pPr>
        <w:adjustRightInd w:val="0"/>
        <w:snapToGrid w:val="0"/>
        <w:spacing w:line="580" w:lineRule="exact"/>
        <w:ind w:firstLineChars="200" w:firstLine="640"/>
        <w:rPr>
          <w:rFonts w:ascii="仿宋_GB2312" w:eastAsia="仿宋_GB2312" w:hAnsi="Arial"/>
          <w:sz w:val="32"/>
          <w:szCs w:val="32"/>
        </w:rPr>
      </w:pPr>
      <w:r>
        <w:rPr>
          <w:rFonts w:ascii="仿宋_GB2312" w:eastAsia="仿宋_GB2312" w:hAnsi="Arial" w:cs="Arial"/>
          <w:sz w:val="32"/>
          <w:szCs w:val="32"/>
        </w:rPr>
        <w:t>2</w:t>
      </w:r>
      <w:r>
        <w:rPr>
          <w:rFonts w:ascii="仿宋_GB2312" w:eastAsia="仿宋_GB2312" w:hAnsi="Arial" w:cs="仿宋_GB2312" w:hint="eastAsia"/>
          <w:sz w:val="32"/>
          <w:szCs w:val="32"/>
        </w:rPr>
        <w:t>.因历史建筑保护需要，经相关主管部门认定，按历史建筑边界范围，兼顾道路设计规范要求，对道路红线、用地范围进行调整的。</w:t>
      </w:r>
    </w:p>
    <w:p w14:paraId="302DF778"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Arial"/>
          <w:sz w:val="32"/>
          <w:szCs w:val="32"/>
        </w:rPr>
        <w:t>3</w:t>
      </w:r>
      <w:r>
        <w:rPr>
          <w:rFonts w:ascii="仿宋_GB2312" w:eastAsia="仿宋_GB2312" w:hAnsi="Arial" w:cs="仿宋_GB2312" w:hint="eastAsia"/>
          <w:sz w:val="32"/>
          <w:szCs w:val="32"/>
        </w:rPr>
        <w:t>.市政交通设施用地，因设施工艺和运营要求，在满足技术规定和相关专业规范的前提下，对用地范围进行微调，调整用地面积不超过原规划控制用地面积15%的。</w:t>
      </w:r>
    </w:p>
    <w:p w14:paraId="6E7B94ED"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Arial"/>
          <w:sz w:val="32"/>
          <w:szCs w:val="32"/>
        </w:rPr>
        <w:t>4</w:t>
      </w:r>
      <w:r>
        <w:rPr>
          <w:rFonts w:ascii="仿宋_GB2312" w:eastAsia="仿宋_GB2312" w:hAnsi="Arial" w:cs="仿宋_GB2312" w:hint="eastAsia"/>
          <w:sz w:val="32"/>
          <w:szCs w:val="32"/>
        </w:rPr>
        <w:t>.经区政府或区政府指定部门认定，独立用地的社区级公共服务设施、基础教育设施等非经营性设施用地、广场用地、绿地因具体建设需求，在满足用地规模要求的前提下，对用地范围进行微调，调整用地面积不超过原规划用地面积</w:t>
      </w:r>
      <w:r>
        <w:rPr>
          <w:rFonts w:ascii="仿宋_GB2312" w:eastAsia="仿宋_GB2312" w:hAnsi="Arial" w:cs="Arial"/>
          <w:sz w:val="32"/>
          <w:szCs w:val="32"/>
        </w:rPr>
        <w:t>15%</w:t>
      </w:r>
      <w:r>
        <w:rPr>
          <w:rFonts w:ascii="仿宋_GB2312" w:eastAsia="仿宋_GB2312" w:hAnsi="Arial" w:cs="仿宋_GB2312" w:hint="eastAsia"/>
          <w:sz w:val="32"/>
          <w:szCs w:val="32"/>
        </w:rPr>
        <w:t>的。</w:t>
      </w:r>
    </w:p>
    <w:p w14:paraId="160D3C3D" w14:textId="77777777" w:rsidR="00416E8B" w:rsidRDefault="00000000" w:rsidP="00A50C37">
      <w:pPr>
        <w:adjustRightInd w:val="0"/>
        <w:snapToGrid w:val="0"/>
        <w:spacing w:line="580" w:lineRule="exact"/>
        <w:ind w:firstLineChars="200" w:firstLine="640"/>
        <w:rPr>
          <w:rFonts w:ascii="楷体_GB2312" w:eastAsia="楷体_GB2312" w:hAnsi="Arial" w:cs="Arial"/>
          <w:b/>
          <w:bCs/>
          <w:sz w:val="32"/>
          <w:szCs w:val="32"/>
        </w:rPr>
      </w:pPr>
      <w:r>
        <w:rPr>
          <w:rFonts w:ascii="楷体_GB2312" w:eastAsia="楷体_GB2312" w:hAnsi="Arial" w:cs="Arial" w:hint="eastAsia"/>
          <w:b/>
          <w:bCs/>
          <w:sz w:val="32"/>
          <w:szCs w:val="32"/>
        </w:rPr>
        <w:t>（二）地块拆分、合并的适用情形</w:t>
      </w:r>
    </w:p>
    <w:p w14:paraId="14CCB89E" w14:textId="77777777" w:rsidR="00416E8B" w:rsidRDefault="00000000" w:rsidP="00A50C37">
      <w:pPr>
        <w:adjustRightInd w:val="0"/>
        <w:snapToGrid w:val="0"/>
        <w:spacing w:line="580" w:lineRule="exact"/>
        <w:ind w:firstLineChars="200" w:firstLine="640"/>
        <w:rPr>
          <w:rFonts w:ascii="仿宋_GB2312" w:eastAsia="仿宋_GB2312" w:hAnsi="Arial"/>
          <w:sz w:val="32"/>
          <w:szCs w:val="32"/>
        </w:rPr>
      </w:pPr>
      <w:r>
        <w:rPr>
          <w:rFonts w:ascii="仿宋_GB2312" w:eastAsia="仿宋_GB2312" w:hAnsi="Arial" w:cs="Arial"/>
          <w:sz w:val="32"/>
          <w:szCs w:val="32"/>
        </w:rPr>
        <w:t>1</w:t>
      </w:r>
      <w:r>
        <w:rPr>
          <w:rFonts w:ascii="仿宋_GB2312" w:eastAsia="仿宋_GB2312" w:hAnsi="Arial" w:cs="仿宋_GB2312" w:hint="eastAsia"/>
          <w:sz w:val="32"/>
          <w:szCs w:val="32"/>
        </w:rPr>
        <w:t>.产业基地、产业社区内的工业、仓储、研发用地，同一街坊、相同用地性质的相邻地块，根据实际建设需要，对地块进行</w:t>
      </w:r>
      <w:r>
        <w:rPr>
          <w:rFonts w:ascii="仿宋_GB2312" w:eastAsia="仿宋_GB2312" w:hAnsi="Arial" w:cs="仿宋_GB2312" w:hint="eastAsia"/>
          <w:sz w:val="32"/>
          <w:szCs w:val="32"/>
        </w:rPr>
        <w:lastRenderedPageBreak/>
        <w:t>拆分、合并的，其中已经出让的土地，权属应为同一主体所有。</w:t>
      </w:r>
    </w:p>
    <w:p w14:paraId="0CD351AE" w14:textId="77777777" w:rsidR="00416E8B" w:rsidRDefault="00000000" w:rsidP="00A50C37">
      <w:pPr>
        <w:adjustRightInd w:val="0"/>
        <w:snapToGrid w:val="0"/>
        <w:spacing w:line="580" w:lineRule="exact"/>
        <w:ind w:firstLineChars="200" w:firstLine="640"/>
        <w:rPr>
          <w:rFonts w:ascii="仿宋_GB2312" w:eastAsia="仿宋_GB2312" w:hAnsi="Arial"/>
          <w:sz w:val="32"/>
          <w:szCs w:val="32"/>
        </w:rPr>
      </w:pPr>
      <w:r>
        <w:rPr>
          <w:rFonts w:ascii="仿宋_GB2312" w:eastAsia="仿宋_GB2312" w:hAnsi="Arial" w:cs="Arial"/>
          <w:sz w:val="32"/>
          <w:szCs w:val="32"/>
        </w:rPr>
        <w:t>2</w:t>
      </w:r>
      <w:r>
        <w:rPr>
          <w:rFonts w:ascii="仿宋_GB2312" w:eastAsia="仿宋_GB2312" w:hAnsi="Arial" w:cs="仿宋_GB2312" w:hint="eastAsia"/>
          <w:sz w:val="32"/>
          <w:szCs w:val="32"/>
        </w:rPr>
        <w:t>.除产业基地、产业社区内的工业、仓储、研发用地以外的其它用地，同一街坊、相同用地性质、相同容积率和建筑高度控制的相邻地块，根据实际建设需要，对地块进行拆分、合并的，其中已经出让的土地，权属应为同一主体所有。</w:t>
      </w:r>
    </w:p>
    <w:p w14:paraId="21F1303E"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Arial"/>
          <w:sz w:val="32"/>
          <w:szCs w:val="32"/>
        </w:rPr>
        <w:t>3</w:t>
      </w:r>
      <w:r>
        <w:rPr>
          <w:rFonts w:ascii="仿宋_GB2312" w:eastAsia="仿宋_GB2312" w:hAnsi="Arial" w:cs="仿宋_GB2312" w:hint="eastAsia"/>
          <w:sz w:val="32"/>
          <w:szCs w:val="32"/>
        </w:rPr>
        <w:t>.保障性住房和经营性设施混合用地，因供地方式不同，在满足拆分前后各类用地比例不变、建筑量不变，拆分后保障性住房和经营性设施同步实施的前提下，混合用地进行拆分的。</w:t>
      </w:r>
    </w:p>
    <w:p w14:paraId="3CD47E8F"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Arial"/>
          <w:sz w:val="32"/>
          <w:szCs w:val="32"/>
        </w:rPr>
        <w:t>4</w:t>
      </w:r>
      <w:r>
        <w:rPr>
          <w:rFonts w:ascii="仿宋_GB2312" w:eastAsia="仿宋_GB2312" w:hAnsi="Arial" w:cs="仿宋_GB2312" w:hint="eastAsia"/>
          <w:sz w:val="32"/>
          <w:szCs w:val="32"/>
        </w:rPr>
        <w:t>.同一街坊内市政、交通等基础设施用地、基础教育设施用地、社区级公共服务设施用地，在满足用地规模、建筑规模要求的前提下，与相邻地块合并形成混合用地的。</w:t>
      </w:r>
    </w:p>
    <w:p w14:paraId="3F080B17" w14:textId="77777777" w:rsidR="00416E8B" w:rsidRDefault="00000000" w:rsidP="00A50C37">
      <w:pPr>
        <w:adjustRightInd w:val="0"/>
        <w:snapToGrid w:val="0"/>
        <w:spacing w:line="580" w:lineRule="exact"/>
        <w:ind w:firstLineChars="200" w:firstLine="640"/>
        <w:rPr>
          <w:rFonts w:ascii="仿宋_GB2312" w:eastAsia="仿宋_GB2312" w:hAnsi="Arial"/>
          <w:sz w:val="32"/>
          <w:szCs w:val="32"/>
        </w:rPr>
      </w:pPr>
      <w:r>
        <w:rPr>
          <w:rFonts w:ascii="仿宋_GB2312" w:eastAsia="仿宋_GB2312" w:hAnsi="Arial" w:cs="Arial"/>
          <w:sz w:val="32"/>
          <w:szCs w:val="32"/>
        </w:rPr>
        <w:t>5</w:t>
      </w:r>
      <w:r>
        <w:rPr>
          <w:rFonts w:ascii="仿宋_GB2312" w:eastAsia="仿宋_GB2312" w:hAnsi="Arial" w:cs="仿宋_GB2312" w:hint="eastAsia"/>
          <w:sz w:val="32"/>
          <w:szCs w:val="32"/>
        </w:rPr>
        <w:t>.在地块内增加具备独立用地条件的社区级公共服务设施、基础教育设施、广场用地或公共绿地，对地块进行拆分的。</w:t>
      </w:r>
    </w:p>
    <w:p w14:paraId="329E54B6" w14:textId="77777777" w:rsidR="00416E8B" w:rsidRDefault="00000000" w:rsidP="00A50C37">
      <w:pPr>
        <w:adjustRightInd w:val="0"/>
        <w:snapToGrid w:val="0"/>
        <w:spacing w:line="580" w:lineRule="exact"/>
        <w:ind w:firstLineChars="200" w:firstLine="640"/>
        <w:rPr>
          <w:rFonts w:ascii="楷体_GB2312" w:eastAsia="楷体_GB2312" w:hAnsi="Arial" w:cs="Arial"/>
          <w:b/>
          <w:bCs/>
          <w:sz w:val="32"/>
          <w:szCs w:val="32"/>
        </w:rPr>
      </w:pPr>
      <w:r>
        <w:rPr>
          <w:rFonts w:ascii="楷体_GB2312" w:eastAsia="楷体_GB2312" w:hAnsi="Arial" w:cs="Arial" w:hint="eastAsia"/>
          <w:b/>
          <w:bCs/>
          <w:sz w:val="32"/>
          <w:szCs w:val="32"/>
        </w:rPr>
        <w:t>（三）地块位置调整的适用情形</w:t>
      </w:r>
    </w:p>
    <w:p w14:paraId="7F249E68"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Arial"/>
          <w:sz w:val="32"/>
          <w:szCs w:val="32"/>
        </w:rPr>
        <w:t>1</w:t>
      </w:r>
      <w:r>
        <w:rPr>
          <w:rFonts w:ascii="仿宋_GB2312" w:eastAsia="仿宋_GB2312" w:hAnsi="Arial" w:cs="仿宋_GB2312" w:hint="eastAsia"/>
          <w:sz w:val="32"/>
          <w:szCs w:val="32"/>
        </w:rPr>
        <w:t>.产业基地、产业社区内</w:t>
      </w:r>
      <w:r>
        <w:rPr>
          <w:rFonts w:ascii="仿宋_GB2312" w:eastAsia="仿宋_GB2312" w:hAnsi="Arial" w:cs="Arial" w:hint="eastAsia"/>
          <w:sz w:val="32"/>
          <w:szCs w:val="32"/>
        </w:rPr>
        <w:t>，</w:t>
      </w:r>
      <w:r>
        <w:rPr>
          <w:rFonts w:ascii="仿宋_GB2312" w:eastAsia="仿宋_GB2312" w:hAnsi="Arial" w:cs="仿宋_GB2312" w:hint="eastAsia"/>
          <w:sz w:val="32"/>
          <w:szCs w:val="32"/>
        </w:rPr>
        <w:t>独立用地的小型市政设施，在同一街坊内调整位置的。</w:t>
      </w:r>
    </w:p>
    <w:p w14:paraId="3ADE093F" w14:textId="77777777" w:rsidR="00416E8B" w:rsidRDefault="00000000" w:rsidP="00A50C37">
      <w:pPr>
        <w:adjustRightInd w:val="0"/>
        <w:snapToGrid w:val="0"/>
        <w:spacing w:line="580" w:lineRule="exact"/>
        <w:ind w:firstLineChars="200" w:firstLine="640"/>
        <w:rPr>
          <w:rFonts w:ascii="仿宋_GB2312" w:eastAsia="仿宋_GB2312" w:hAnsi="Arial" w:cs="Arial"/>
          <w:sz w:val="32"/>
          <w:szCs w:val="32"/>
        </w:rPr>
      </w:pPr>
      <w:r>
        <w:rPr>
          <w:rFonts w:ascii="仿宋_GB2312" w:eastAsia="仿宋_GB2312" w:hAnsi="Arial" w:cs="仿宋_GB2312"/>
          <w:sz w:val="32"/>
          <w:szCs w:val="32"/>
        </w:rPr>
        <w:t>2</w:t>
      </w:r>
      <w:r>
        <w:rPr>
          <w:rFonts w:ascii="仿宋_GB2312" w:eastAsia="仿宋_GB2312" w:hAnsi="Arial" w:cs="仿宋_GB2312" w:hint="eastAsia"/>
          <w:sz w:val="32"/>
          <w:szCs w:val="32"/>
        </w:rPr>
        <w:t>.满足绿地优先实施，用地面积不变或增加的前提下，同一街坊内绿地位置调整的。</w:t>
      </w:r>
    </w:p>
    <w:p w14:paraId="73158D53" w14:textId="77777777" w:rsidR="00416E8B" w:rsidRDefault="00000000" w:rsidP="00A50C37">
      <w:pPr>
        <w:adjustRightInd w:val="0"/>
        <w:snapToGrid w:val="0"/>
        <w:spacing w:line="580" w:lineRule="exact"/>
        <w:ind w:firstLineChars="200" w:firstLine="640"/>
        <w:rPr>
          <w:rFonts w:ascii="黑体" w:eastAsia="黑体" w:hAnsi="黑体"/>
          <w:bCs/>
          <w:sz w:val="32"/>
          <w:szCs w:val="32"/>
        </w:rPr>
      </w:pPr>
      <w:r>
        <w:rPr>
          <w:rFonts w:ascii="黑体" w:eastAsia="黑体" w:hAnsi="黑体" w:cs="楷体_GB2312" w:hint="eastAsia"/>
          <w:bCs/>
          <w:sz w:val="32"/>
          <w:szCs w:val="32"/>
        </w:rPr>
        <w:t>二、关于土地使用性质</w:t>
      </w:r>
    </w:p>
    <w:p w14:paraId="1CDBA862" w14:textId="77777777" w:rsidR="00416E8B" w:rsidRDefault="00000000" w:rsidP="00A50C37">
      <w:pPr>
        <w:adjustRightInd w:val="0"/>
        <w:snapToGrid w:val="0"/>
        <w:spacing w:line="580" w:lineRule="exact"/>
        <w:ind w:firstLineChars="200" w:firstLine="640"/>
        <w:rPr>
          <w:rFonts w:ascii="楷体_GB2312" w:eastAsia="楷体_GB2312" w:hAnsi="Arial" w:cs="Arial"/>
          <w:b/>
          <w:bCs/>
          <w:sz w:val="32"/>
          <w:szCs w:val="32"/>
        </w:rPr>
      </w:pPr>
      <w:r>
        <w:rPr>
          <w:rFonts w:ascii="楷体_GB2312" w:eastAsia="楷体_GB2312" w:hAnsi="Arial" w:cs="Arial" w:hint="eastAsia"/>
          <w:b/>
          <w:bCs/>
          <w:sz w:val="32"/>
          <w:szCs w:val="32"/>
        </w:rPr>
        <w:t>（一）用地性质转换的适用情形</w:t>
      </w:r>
    </w:p>
    <w:p w14:paraId="31D77B90"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Arial"/>
          <w:sz w:val="32"/>
          <w:szCs w:val="32"/>
        </w:rPr>
        <w:t>1</w:t>
      </w:r>
      <w:r>
        <w:rPr>
          <w:rFonts w:ascii="仿宋_GB2312" w:eastAsia="仿宋_GB2312" w:hAnsi="Arial" w:cs="仿宋_GB2312" w:hint="eastAsia"/>
          <w:sz w:val="32"/>
          <w:szCs w:val="32"/>
        </w:rPr>
        <w:t>.土地出让前，用地性质在商业服务业用地与商务办公用地</w:t>
      </w:r>
      <w:r>
        <w:rPr>
          <w:rFonts w:ascii="仿宋_GB2312" w:eastAsia="仿宋_GB2312" w:hAnsi="Arial" w:cs="仿宋_GB2312" w:hint="eastAsia"/>
          <w:sz w:val="32"/>
          <w:szCs w:val="32"/>
        </w:rPr>
        <w:lastRenderedPageBreak/>
        <w:t>之间相互转换的。</w:t>
      </w:r>
    </w:p>
    <w:p w14:paraId="32AC137D"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2</w:t>
      </w:r>
      <w:r>
        <w:rPr>
          <w:rFonts w:ascii="仿宋_GB2312" w:eastAsia="仿宋_GB2312" w:hAnsi="Arial" w:cs="仿宋_GB2312" w:hint="eastAsia"/>
          <w:sz w:val="32"/>
          <w:szCs w:val="32"/>
        </w:rPr>
        <w:t>.土地出让后，为优化布局、完善功能，商业商办混合用地建筑量比例调整，调整比例不超过</w:t>
      </w:r>
      <w:r>
        <w:rPr>
          <w:rFonts w:ascii="仿宋_GB2312" w:eastAsia="仿宋_GB2312" w:hAnsi="Arial" w:cs="Arial" w:hint="eastAsia"/>
          <w:sz w:val="32"/>
          <w:szCs w:val="32"/>
        </w:rPr>
        <w:t>5%的</w:t>
      </w:r>
      <w:r>
        <w:rPr>
          <w:rFonts w:ascii="仿宋_GB2312" w:eastAsia="仿宋_GB2312" w:hAnsi="Arial" w:cs="仿宋_GB2312" w:hint="eastAsia"/>
          <w:sz w:val="32"/>
          <w:szCs w:val="32"/>
        </w:rPr>
        <w:t>。</w:t>
      </w:r>
    </w:p>
    <w:p w14:paraId="0E746387" w14:textId="77777777" w:rsidR="00416E8B" w:rsidRDefault="00000000" w:rsidP="00A50C37">
      <w:pPr>
        <w:adjustRightInd w:val="0"/>
        <w:snapToGrid w:val="0"/>
        <w:spacing w:line="580" w:lineRule="exact"/>
        <w:ind w:firstLineChars="200" w:firstLine="640"/>
        <w:rPr>
          <w:rFonts w:ascii="仿宋_GB2312" w:eastAsia="仿宋_GB2312" w:hAnsi="Arial"/>
          <w:sz w:val="32"/>
          <w:szCs w:val="32"/>
        </w:rPr>
      </w:pPr>
      <w:r>
        <w:rPr>
          <w:rFonts w:ascii="仿宋_GB2312" w:eastAsia="仿宋_GB2312" w:hAnsi="Arial" w:cs="Arial"/>
          <w:sz w:val="32"/>
          <w:szCs w:val="32"/>
        </w:rPr>
        <w:t>3</w:t>
      </w:r>
      <w:r>
        <w:rPr>
          <w:rFonts w:ascii="仿宋_GB2312" w:eastAsia="仿宋_GB2312" w:hAnsi="Arial" w:cs="仿宋_GB2312" w:hint="eastAsia"/>
          <w:sz w:val="32"/>
          <w:szCs w:val="32"/>
        </w:rPr>
        <w:t>.产业基地、产业社区内，用地性质在工业用地与仓储物流用地（危险品仓储用地除外）之间相互转换的。其中产业基地内工业用地调整为仓储物流用地的，还应满足上位规划或相关文件确定的工业用地总量控制要求。</w:t>
      </w:r>
    </w:p>
    <w:p w14:paraId="221ADF9A" w14:textId="77777777" w:rsidR="00416E8B" w:rsidRDefault="00000000" w:rsidP="00A50C37">
      <w:pPr>
        <w:adjustRightInd w:val="0"/>
        <w:snapToGrid w:val="0"/>
        <w:spacing w:line="580" w:lineRule="exact"/>
        <w:ind w:firstLineChars="200" w:firstLine="640"/>
        <w:rPr>
          <w:rFonts w:ascii="仿宋_GB2312" w:eastAsia="仿宋_GB2312" w:hAnsi="Arial"/>
          <w:sz w:val="32"/>
          <w:szCs w:val="32"/>
        </w:rPr>
      </w:pPr>
      <w:r>
        <w:rPr>
          <w:rFonts w:ascii="仿宋_GB2312" w:eastAsia="仿宋_GB2312" w:hAnsi="Arial" w:cs="Arial"/>
          <w:sz w:val="32"/>
          <w:szCs w:val="32"/>
        </w:rPr>
        <w:t>4</w:t>
      </w:r>
      <w:r>
        <w:rPr>
          <w:rFonts w:ascii="仿宋_GB2312" w:eastAsia="仿宋_GB2312" w:hAnsi="Arial" w:cs="仿宋_GB2312" w:hint="eastAsia"/>
          <w:sz w:val="32"/>
          <w:szCs w:val="32"/>
        </w:rPr>
        <w:t>.产业基地、产业社区外，研发用地调整为商业商办用地的。</w:t>
      </w:r>
    </w:p>
    <w:p w14:paraId="7C00DB34" w14:textId="77777777" w:rsidR="00416E8B" w:rsidRDefault="00000000" w:rsidP="00A50C37">
      <w:pPr>
        <w:adjustRightInd w:val="0"/>
        <w:snapToGrid w:val="0"/>
        <w:spacing w:line="580" w:lineRule="exact"/>
        <w:ind w:firstLineChars="200" w:firstLine="640"/>
        <w:rPr>
          <w:rFonts w:ascii="仿宋_GB2312" w:eastAsia="仿宋_GB2312" w:hAnsi="Arial"/>
          <w:sz w:val="32"/>
          <w:szCs w:val="32"/>
        </w:rPr>
      </w:pPr>
      <w:r>
        <w:rPr>
          <w:rFonts w:ascii="仿宋_GB2312" w:eastAsia="仿宋_GB2312" w:hAnsi="Arial" w:cs="Arial"/>
          <w:sz w:val="32"/>
          <w:szCs w:val="32"/>
        </w:rPr>
        <w:t>5</w:t>
      </w:r>
      <w:r>
        <w:rPr>
          <w:rFonts w:ascii="仿宋_GB2312" w:eastAsia="仿宋_GB2312" w:hAnsi="Arial" w:cs="仿宋_GB2312" w:hint="eastAsia"/>
          <w:sz w:val="32"/>
          <w:szCs w:val="32"/>
        </w:rPr>
        <w:t>.经区政府或区政府指定部门同意，在满足用地规模、建筑规模、符合服务半径要求的前提下，基础教育设施用地性质在小类之间互相转换、社区级公共服务设施用地性质在小类之间互相转换的。</w:t>
      </w:r>
    </w:p>
    <w:p w14:paraId="47E645F0" w14:textId="77777777" w:rsidR="00416E8B" w:rsidRDefault="00000000" w:rsidP="00A50C37">
      <w:pPr>
        <w:adjustRightInd w:val="0"/>
        <w:snapToGrid w:val="0"/>
        <w:spacing w:line="580" w:lineRule="exact"/>
        <w:ind w:firstLineChars="200" w:firstLine="640"/>
        <w:rPr>
          <w:rFonts w:ascii="仿宋_GB2312" w:eastAsia="仿宋_GB2312" w:hAnsi="Arial"/>
          <w:sz w:val="32"/>
          <w:szCs w:val="32"/>
        </w:rPr>
      </w:pPr>
      <w:r>
        <w:rPr>
          <w:rFonts w:ascii="仿宋_GB2312" w:eastAsia="仿宋_GB2312" w:hAnsi="Arial" w:cs="Arial"/>
          <w:sz w:val="32"/>
          <w:szCs w:val="32"/>
        </w:rPr>
        <w:t>6</w:t>
      </w:r>
      <w:r>
        <w:rPr>
          <w:rFonts w:ascii="仿宋_GB2312" w:eastAsia="仿宋_GB2312" w:hAnsi="Arial" w:cs="仿宋_GB2312" w:hint="eastAsia"/>
          <w:sz w:val="32"/>
          <w:szCs w:val="32"/>
        </w:rPr>
        <w:t>.经市主管部门、区政府或区政府指定部门同意，在满足上位规划中区级公共服务设施数量、规模要求和相关行业标准的前提下，区级文化、体育、医疗卫生、养老福利设施用地调整为同类型的社区级公共服务设施用地的。</w:t>
      </w:r>
    </w:p>
    <w:p w14:paraId="6815DF54" w14:textId="77777777" w:rsidR="00416E8B" w:rsidRDefault="00000000" w:rsidP="00A50C37">
      <w:pPr>
        <w:adjustRightInd w:val="0"/>
        <w:snapToGrid w:val="0"/>
        <w:spacing w:line="580" w:lineRule="exact"/>
        <w:ind w:firstLineChars="200" w:firstLine="640"/>
        <w:rPr>
          <w:rFonts w:ascii="仿宋_GB2312" w:eastAsia="仿宋_GB2312" w:hAnsi="Arial"/>
          <w:sz w:val="32"/>
          <w:szCs w:val="32"/>
        </w:rPr>
      </w:pPr>
      <w:r>
        <w:rPr>
          <w:rFonts w:ascii="仿宋_GB2312" w:eastAsia="仿宋_GB2312" w:hAnsi="Arial" w:cs="Arial"/>
          <w:sz w:val="32"/>
          <w:szCs w:val="32"/>
        </w:rPr>
        <w:t>7</w:t>
      </w:r>
      <w:r>
        <w:rPr>
          <w:rFonts w:ascii="仿宋_GB2312" w:eastAsia="仿宋_GB2312" w:hAnsi="Arial" w:cs="仿宋_GB2312" w:hint="eastAsia"/>
          <w:sz w:val="32"/>
          <w:szCs w:val="32"/>
        </w:rPr>
        <w:t>.居住用地以外，用地性质从小</w:t>
      </w:r>
      <w:proofErr w:type="gramStart"/>
      <w:r>
        <w:rPr>
          <w:rFonts w:ascii="仿宋_GB2312" w:eastAsia="仿宋_GB2312" w:hAnsi="Arial" w:cs="仿宋_GB2312" w:hint="eastAsia"/>
          <w:sz w:val="32"/>
          <w:szCs w:val="32"/>
        </w:rPr>
        <w:t>类调整</w:t>
      </w:r>
      <w:proofErr w:type="gramEnd"/>
      <w:r>
        <w:rPr>
          <w:rFonts w:ascii="仿宋_GB2312" w:eastAsia="仿宋_GB2312" w:hAnsi="Arial" w:cs="仿宋_GB2312" w:hint="eastAsia"/>
          <w:sz w:val="32"/>
          <w:szCs w:val="32"/>
        </w:rPr>
        <w:t>为中类的。</w:t>
      </w:r>
    </w:p>
    <w:p w14:paraId="2A257CDF"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Arial"/>
          <w:sz w:val="32"/>
          <w:szCs w:val="32"/>
        </w:rPr>
        <w:t>8</w:t>
      </w:r>
      <w:r>
        <w:rPr>
          <w:rFonts w:ascii="仿宋_GB2312" w:eastAsia="仿宋_GB2312" w:hAnsi="Arial" w:cs="仿宋_GB2312" w:hint="eastAsia"/>
          <w:sz w:val="32"/>
          <w:szCs w:val="32"/>
        </w:rPr>
        <w:t>.一类、二类、三类住宅用地调整为四类住宅用地（社会租赁房）的。</w:t>
      </w:r>
    </w:p>
    <w:p w14:paraId="7B344B4E" w14:textId="77777777" w:rsidR="00416E8B" w:rsidRDefault="00000000" w:rsidP="00A50C37">
      <w:pPr>
        <w:adjustRightInd w:val="0"/>
        <w:snapToGrid w:val="0"/>
        <w:spacing w:line="580" w:lineRule="exact"/>
        <w:ind w:firstLineChars="200" w:firstLine="640"/>
        <w:rPr>
          <w:rFonts w:ascii="仿宋_GB2312" w:eastAsia="仿宋_GB2312" w:hAnsi="Arial" w:cs="Arial"/>
          <w:sz w:val="32"/>
          <w:szCs w:val="32"/>
        </w:rPr>
      </w:pPr>
      <w:r>
        <w:rPr>
          <w:rFonts w:ascii="仿宋_GB2312" w:eastAsia="仿宋_GB2312" w:hAnsi="Arial" w:cs="Arial"/>
          <w:sz w:val="32"/>
          <w:szCs w:val="32"/>
        </w:rPr>
        <w:t>9</w:t>
      </w:r>
      <w:r>
        <w:rPr>
          <w:rFonts w:ascii="仿宋_GB2312" w:eastAsia="仿宋_GB2312" w:hAnsi="Arial" w:cs="仿宋_GB2312" w:hint="eastAsia"/>
          <w:sz w:val="32"/>
          <w:szCs w:val="32"/>
        </w:rPr>
        <w:t>.</w:t>
      </w:r>
      <w:r>
        <w:rPr>
          <w:rFonts w:ascii="仿宋_GB2312" w:eastAsia="仿宋_GB2312" w:hAnsi="Arial" w:cs="Arial" w:hint="eastAsia"/>
          <w:sz w:val="32"/>
          <w:szCs w:val="32"/>
        </w:rPr>
        <w:t>符合建筑高度控制的前提下，</w:t>
      </w:r>
      <w:r>
        <w:rPr>
          <w:rFonts w:ascii="仿宋_GB2312" w:eastAsia="仿宋_GB2312" w:hAnsi="Arial" w:cs="仿宋_GB2312" w:hint="eastAsia"/>
          <w:sz w:val="32"/>
          <w:szCs w:val="32"/>
        </w:rPr>
        <w:t>用地性质在</w:t>
      </w:r>
      <w:r>
        <w:rPr>
          <w:rFonts w:ascii="仿宋_GB2312" w:eastAsia="仿宋_GB2312" w:hAnsi="Arial" w:cs="Arial" w:hint="eastAsia"/>
          <w:sz w:val="32"/>
          <w:szCs w:val="32"/>
        </w:rPr>
        <w:t>一、二、三类住宅用地之间相互转换的。</w:t>
      </w:r>
    </w:p>
    <w:p w14:paraId="2039D671" w14:textId="77777777" w:rsidR="00416E8B" w:rsidRDefault="00000000" w:rsidP="00A50C37">
      <w:pPr>
        <w:adjustRightInd w:val="0"/>
        <w:snapToGrid w:val="0"/>
        <w:spacing w:line="580" w:lineRule="exact"/>
        <w:ind w:firstLineChars="200" w:firstLine="640"/>
        <w:rPr>
          <w:rFonts w:ascii="仿宋_GB2312" w:eastAsia="仿宋_GB2312" w:hAnsi="Arial"/>
          <w:sz w:val="32"/>
          <w:szCs w:val="32"/>
        </w:rPr>
      </w:pPr>
      <w:r>
        <w:rPr>
          <w:rFonts w:ascii="仿宋_GB2312" w:eastAsia="仿宋_GB2312" w:hAnsi="Arial" w:cs="Arial"/>
          <w:sz w:val="32"/>
          <w:szCs w:val="32"/>
        </w:rPr>
        <w:lastRenderedPageBreak/>
        <w:t>10</w:t>
      </w:r>
      <w:r>
        <w:rPr>
          <w:rFonts w:ascii="仿宋_GB2312" w:eastAsia="仿宋_GB2312" w:hAnsi="Arial" w:cs="仿宋_GB2312" w:hint="eastAsia"/>
          <w:sz w:val="32"/>
          <w:szCs w:val="32"/>
        </w:rPr>
        <w:t>.工业研发用地调整为教育科研设计用地的。</w:t>
      </w:r>
    </w:p>
    <w:p w14:paraId="65E45E20" w14:textId="77777777" w:rsidR="00416E8B" w:rsidRDefault="00000000" w:rsidP="00A50C37">
      <w:pPr>
        <w:adjustRightInd w:val="0"/>
        <w:snapToGrid w:val="0"/>
        <w:spacing w:line="580" w:lineRule="exact"/>
        <w:ind w:firstLineChars="200" w:firstLine="640"/>
        <w:rPr>
          <w:rFonts w:ascii="楷体_GB2312" w:eastAsia="楷体_GB2312" w:hAnsi="Arial" w:cs="Arial"/>
          <w:b/>
          <w:bCs/>
          <w:sz w:val="32"/>
          <w:szCs w:val="32"/>
        </w:rPr>
      </w:pPr>
      <w:r>
        <w:rPr>
          <w:rFonts w:ascii="楷体_GB2312" w:eastAsia="楷体_GB2312" w:hAnsi="Arial" w:cs="Arial" w:hint="eastAsia"/>
          <w:b/>
          <w:bCs/>
          <w:sz w:val="32"/>
          <w:szCs w:val="32"/>
        </w:rPr>
        <w:t>（二）用地性质兼容的适用情形</w:t>
      </w:r>
    </w:p>
    <w:p w14:paraId="04FBF0DB"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1</w:t>
      </w:r>
      <w:r>
        <w:rPr>
          <w:rFonts w:ascii="仿宋_GB2312" w:eastAsia="仿宋_GB2312" w:hAnsi="Arial" w:cs="仿宋_GB2312" w:hint="eastAsia"/>
          <w:sz w:val="32"/>
          <w:szCs w:val="32"/>
        </w:rPr>
        <w:t>.地块内</w:t>
      </w:r>
      <w:proofErr w:type="gramStart"/>
      <w:r>
        <w:rPr>
          <w:rFonts w:ascii="仿宋_GB2312" w:eastAsia="仿宋_GB2312" w:hAnsi="Arial" w:cs="仿宋_GB2312" w:hint="eastAsia"/>
          <w:sz w:val="32"/>
          <w:szCs w:val="32"/>
        </w:rPr>
        <w:t>除规划</w:t>
      </w:r>
      <w:proofErr w:type="gramEnd"/>
      <w:r>
        <w:rPr>
          <w:rFonts w:ascii="仿宋_GB2312" w:eastAsia="仿宋_GB2312" w:hAnsi="Arial" w:cs="仿宋_GB2312" w:hint="eastAsia"/>
          <w:sz w:val="32"/>
          <w:szCs w:val="32"/>
        </w:rPr>
        <w:t>确定的用地性质之外，其他使用性质的地上建筑面积占地上建筑总面积比例调整至不超过</w:t>
      </w:r>
      <w:r>
        <w:rPr>
          <w:rFonts w:ascii="仿宋_GB2312" w:eastAsia="仿宋_GB2312" w:hAnsi="Arial" w:cs="仿宋_GB2312"/>
          <w:sz w:val="32"/>
          <w:szCs w:val="32"/>
        </w:rPr>
        <w:t>15%</w:t>
      </w:r>
      <w:r>
        <w:rPr>
          <w:rFonts w:ascii="仿宋_GB2312" w:eastAsia="仿宋_GB2312" w:hAnsi="Arial" w:cs="仿宋_GB2312" w:hint="eastAsia"/>
          <w:sz w:val="32"/>
          <w:szCs w:val="32"/>
        </w:rPr>
        <w:t>的。</w:t>
      </w:r>
    </w:p>
    <w:p w14:paraId="5053C55E"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2</w:t>
      </w:r>
      <w:r>
        <w:rPr>
          <w:rFonts w:ascii="仿宋_GB2312" w:eastAsia="仿宋_GB2312" w:hAnsi="Arial" w:cs="仿宋_GB2312" w:hint="eastAsia"/>
          <w:sz w:val="32"/>
          <w:szCs w:val="32"/>
        </w:rPr>
        <w:t>.在地块内增加社区级公共服务设施、基础教育设施、公共停车泊位、公共空间、公共通道、广场用地或公共绿地的。</w:t>
      </w:r>
    </w:p>
    <w:p w14:paraId="38C78FC0"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3</w:t>
      </w:r>
      <w:r>
        <w:rPr>
          <w:rFonts w:ascii="仿宋_GB2312" w:eastAsia="仿宋_GB2312" w:hAnsi="Arial" w:cs="仿宋_GB2312" w:hint="eastAsia"/>
          <w:sz w:val="32"/>
          <w:szCs w:val="32"/>
        </w:rPr>
        <w:t>.单一用途工业、仓储、研发用地地块内，生活配套设施的地上建筑面积占地上总建筑面积比例调整至不超过30%，其中用于配套零售、餐饮、宿舍等功能不超过15%的。</w:t>
      </w:r>
    </w:p>
    <w:p w14:paraId="5AE2821A"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4</w:t>
      </w:r>
      <w:r>
        <w:rPr>
          <w:rFonts w:ascii="仿宋_GB2312" w:eastAsia="仿宋_GB2312" w:hAnsi="Arial" w:cs="仿宋_GB2312" w:hint="eastAsia"/>
          <w:sz w:val="32"/>
          <w:szCs w:val="32"/>
        </w:rPr>
        <w:t>.产业基地、产业社区内，增加为地区服务的小型市政设施的。</w:t>
      </w:r>
    </w:p>
    <w:p w14:paraId="3EA618FB" w14:textId="77777777" w:rsidR="00416E8B" w:rsidRDefault="00000000" w:rsidP="00A50C37">
      <w:pPr>
        <w:adjustRightInd w:val="0"/>
        <w:snapToGrid w:val="0"/>
        <w:spacing w:line="580" w:lineRule="exact"/>
        <w:ind w:firstLineChars="200" w:firstLine="640"/>
        <w:rPr>
          <w:rFonts w:ascii="黑体" w:eastAsia="黑体" w:hAnsi="黑体"/>
          <w:sz w:val="32"/>
          <w:szCs w:val="32"/>
        </w:rPr>
      </w:pPr>
      <w:r>
        <w:rPr>
          <w:rFonts w:ascii="黑体" w:eastAsia="黑体" w:hAnsi="黑体" w:cs="楷体_GB2312" w:hint="eastAsia"/>
          <w:sz w:val="32"/>
          <w:szCs w:val="32"/>
        </w:rPr>
        <w:t>三、关于容积率和建筑高度</w:t>
      </w:r>
    </w:p>
    <w:p w14:paraId="0519207E" w14:textId="77777777" w:rsidR="00416E8B" w:rsidRDefault="00000000" w:rsidP="00A50C37">
      <w:pPr>
        <w:adjustRightInd w:val="0"/>
        <w:snapToGrid w:val="0"/>
        <w:spacing w:line="580" w:lineRule="exact"/>
        <w:ind w:firstLineChars="200" w:firstLine="640"/>
        <w:rPr>
          <w:rFonts w:ascii="楷体_GB2312" w:eastAsia="楷体_GB2312" w:hAnsi="Arial" w:cs="Arial"/>
          <w:b/>
          <w:bCs/>
          <w:sz w:val="32"/>
          <w:szCs w:val="32"/>
        </w:rPr>
      </w:pPr>
      <w:r>
        <w:rPr>
          <w:rFonts w:ascii="楷体_GB2312" w:eastAsia="楷体_GB2312" w:hAnsi="Arial" w:cs="Arial" w:hint="eastAsia"/>
          <w:b/>
          <w:bCs/>
          <w:sz w:val="32"/>
          <w:szCs w:val="32"/>
        </w:rPr>
        <w:t>在满足日照、消防要求，以及黄浦江沿岸、苏州河沿岸、历史风貌区、机场、崇明生态岛等特定地区限高要求前提下，容积率和建筑高度的适用情形：</w:t>
      </w:r>
    </w:p>
    <w:p w14:paraId="300023F1"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1</w:t>
      </w:r>
      <w:r>
        <w:rPr>
          <w:rFonts w:ascii="仿宋_GB2312" w:eastAsia="仿宋_GB2312" w:hAnsi="Arial" w:cs="仿宋_GB2312" w:hint="eastAsia"/>
          <w:sz w:val="32"/>
          <w:szCs w:val="32"/>
        </w:rPr>
        <w:t>.因增加社区级公共服务设施、基础教育设施、公共停车泊位、建筑底层或内部空间向公众开放，增加建筑面积，增加幅度不超过原规划地块总建筑面积的</w:t>
      </w:r>
      <w:r>
        <w:rPr>
          <w:rFonts w:ascii="仿宋_GB2312" w:eastAsia="仿宋_GB2312" w:hAnsi="Arial" w:cs="仿宋_GB2312"/>
          <w:sz w:val="32"/>
          <w:szCs w:val="32"/>
        </w:rPr>
        <w:t>1</w:t>
      </w:r>
      <w:r>
        <w:rPr>
          <w:rFonts w:ascii="仿宋_GB2312" w:eastAsia="仿宋_GB2312" w:hAnsi="Arial" w:cs="仿宋_GB2312" w:hint="eastAsia"/>
          <w:sz w:val="32"/>
          <w:szCs w:val="32"/>
        </w:rPr>
        <w:t>5％的，上述建筑面积不计入地块容积率。</w:t>
      </w:r>
    </w:p>
    <w:p w14:paraId="106FA7CD"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2</w:t>
      </w:r>
      <w:r>
        <w:rPr>
          <w:rFonts w:ascii="仿宋_GB2312" w:eastAsia="仿宋_GB2312" w:hAnsi="Arial" w:cs="仿宋_GB2312" w:hint="eastAsia"/>
          <w:sz w:val="32"/>
          <w:szCs w:val="32"/>
        </w:rPr>
        <w:t>.经市主管部门同意，社区级公共服务设施、基础教育设施以外的非经营性设施，因自身功能完善增加建筑面积，不超过</w:t>
      </w:r>
      <w:r>
        <w:rPr>
          <w:rFonts w:ascii="仿宋_GB2312" w:eastAsia="仿宋_GB2312" w:hAnsi="Arial" w:cs="仿宋_GB2312"/>
          <w:sz w:val="32"/>
          <w:szCs w:val="32"/>
        </w:rPr>
        <w:lastRenderedPageBreak/>
        <w:t>20</w:t>
      </w:r>
      <w:r>
        <w:rPr>
          <w:rFonts w:ascii="仿宋_GB2312" w:eastAsia="仿宋_GB2312" w:hAnsi="Arial" w:cs="仿宋_GB2312" w:hint="eastAsia"/>
          <w:sz w:val="32"/>
          <w:szCs w:val="32"/>
        </w:rPr>
        <w:t>％幅度，且不超过</w:t>
      </w:r>
      <w:r>
        <w:rPr>
          <w:rFonts w:ascii="仿宋_GB2312" w:eastAsia="仿宋_GB2312" w:hAnsi="Arial" w:cs="仿宋_GB2312"/>
          <w:sz w:val="32"/>
          <w:szCs w:val="32"/>
        </w:rPr>
        <w:t>5000</w:t>
      </w:r>
      <w:r>
        <w:rPr>
          <w:rFonts w:ascii="仿宋_GB2312" w:eastAsia="仿宋_GB2312" w:hAnsi="Arial" w:cs="仿宋_GB2312" w:hint="eastAsia"/>
          <w:sz w:val="32"/>
          <w:szCs w:val="32"/>
        </w:rPr>
        <w:t>平方米的，其中增加建筑面积不超过500平方米的不受幅度限制。但中心</w:t>
      </w:r>
      <w:proofErr w:type="gramStart"/>
      <w:r>
        <w:rPr>
          <w:rFonts w:ascii="仿宋_GB2312" w:eastAsia="仿宋_GB2312" w:hAnsi="Arial" w:cs="仿宋_GB2312" w:hint="eastAsia"/>
          <w:sz w:val="32"/>
          <w:szCs w:val="32"/>
        </w:rPr>
        <w:t>城医疗</w:t>
      </w:r>
      <w:proofErr w:type="gramEnd"/>
      <w:r>
        <w:rPr>
          <w:rFonts w:ascii="仿宋_GB2312" w:eastAsia="仿宋_GB2312" w:hAnsi="Arial" w:cs="仿宋_GB2312" w:hint="eastAsia"/>
          <w:sz w:val="32"/>
          <w:szCs w:val="32"/>
        </w:rPr>
        <w:t>卫生设施因核定床位数增加而增加建筑面积的除外。</w:t>
      </w:r>
    </w:p>
    <w:p w14:paraId="26850F62"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3</w:t>
      </w:r>
      <w:r>
        <w:rPr>
          <w:rFonts w:ascii="仿宋_GB2312" w:eastAsia="仿宋_GB2312" w:hAnsi="Arial" w:cs="仿宋_GB2312" w:hint="eastAsia"/>
          <w:sz w:val="32"/>
          <w:szCs w:val="32"/>
        </w:rPr>
        <w:t>.因优化城市景观，提高建筑高度，</w:t>
      </w:r>
      <w:r>
        <w:rPr>
          <w:rFonts w:ascii="仿宋_GB2312" w:eastAsia="仿宋_GB2312" w:hAnsi="Arial" w:cs="仿宋_GB2312"/>
          <w:sz w:val="32"/>
          <w:szCs w:val="32"/>
        </w:rPr>
        <w:t>50</w:t>
      </w:r>
      <w:r>
        <w:rPr>
          <w:rFonts w:ascii="仿宋_GB2312" w:eastAsia="仿宋_GB2312" w:hAnsi="Arial" w:cs="仿宋_GB2312" w:hint="eastAsia"/>
          <w:sz w:val="32"/>
          <w:szCs w:val="32"/>
        </w:rPr>
        <w:t>米及以下高度提高不超过</w:t>
      </w:r>
      <w:r>
        <w:rPr>
          <w:rFonts w:ascii="仿宋_GB2312" w:eastAsia="仿宋_GB2312" w:hAnsi="Arial" w:cs="仿宋_GB2312"/>
          <w:sz w:val="32"/>
          <w:szCs w:val="32"/>
        </w:rPr>
        <w:t>5</w:t>
      </w:r>
      <w:r>
        <w:rPr>
          <w:rFonts w:ascii="仿宋_GB2312" w:eastAsia="仿宋_GB2312" w:hAnsi="Arial" w:cs="仿宋_GB2312" w:hint="eastAsia"/>
          <w:sz w:val="32"/>
          <w:szCs w:val="32"/>
        </w:rPr>
        <w:t>米，</w:t>
      </w:r>
      <w:r>
        <w:rPr>
          <w:rFonts w:ascii="仿宋_GB2312" w:eastAsia="仿宋_GB2312" w:hAnsi="Arial" w:cs="仿宋_GB2312"/>
          <w:sz w:val="32"/>
          <w:szCs w:val="32"/>
        </w:rPr>
        <w:t>50</w:t>
      </w:r>
      <w:r>
        <w:rPr>
          <w:rFonts w:ascii="仿宋_GB2312" w:eastAsia="仿宋_GB2312" w:hAnsi="Arial" w:cs="仿宋_GB2312" w:hint="eastAsia"/>
          <w:sz w:val="32"/>
          <w:szCs w:val="32"/>
        </w:rPr>
        <w:t>米以上高度提高不超过</w:t>
      </w:r>
      <w:r>
        <w:rPr>
          <w:rFonts w:ascii="仿宋_GB2312" w:eastAsia="仿宋_GB2312" w:hAnsi="Arial" w:cs="仿宋_GB2312"/>
          <w:sz w:val="32"/>
          <w:szCs w:val="32"/>
        </w:rPr>
        <w:t>10%</w:t>
      </w:r>
      <w:r>
        <w:rPr>
          <w:rFonts w:ascii="仿宋_GB2312" w:eastAsia="仿宋_GB2312" w:hAnsi="Arial" w:cs="仿宋_GB2312" w:hint="eastAsia"/>
          <w:sz w:val="32"/>
          <w:szCs w:val="32"/>
        </w:rPr>
        <w:t>，且不超过</w:t>
      </w:r>
      <w:r>
        <w:rPr>
          <w:rFonts w:ascii="仿宋_GB2312" w:eastAsia="仿宋_GB2312" w:hAnsi="Arial" w:cs="仿宋_GB2312"/>
          <w:sz w:val="32"/>
          <w:szCs w:val="32"/>
        </w:rPr>
        <w:t>10</w:t>
      </w:r>
      <w:r>
        <w:rPr>
          <w:rFonts w:ascii="仿宋_GB2312" w:eastAsia="仿宋_GB2312" w:hAnsi="Arial" w:cs="仿宋_GB2312" w:hint="eastAsia"/>
          <w:sz w:val="32"/>
          <w:szCs w:val="32"/>
        </w:rPr>
        <w:t>米的。</w:t>
      </w:r>
    </w:p>
    <w:p w14:paraId="59ABE703"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4</w:t>
      </w:r>
      <w:r>
        <w:rPr>
          <w:rFonts w:ascii="仿宋_GB2312" w:eastAsia="仿宋_GB2312" w:hAnsi="Arial" w:cs="仿宋_GB2312" w:hint="eastAsia"/>
          <w:sz w:val="32"/>
          <w:szCs w:val="32"/>
        </w:rPr>
        <w:t>.市政设施根据工艺和运营要求调整建筑面积和建筑高度的。</w:t>
      </w:r>
    </w:p>
    <w:p w14:paraId="32CA31B6"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5</w:t>
      </w:r>
      <w:r>
        <w:rPr>
          <w:rFonts w:ascii="仿宋_GB2312" w:eastAsia="仿宋_GB2312" w:hAnsi="Arial" w:cs="仿宋_GB2312" w:hint="eastAsia"/>
          <w:sz w:val="32"/>
          <w:szCs w:val="32"/>
        </w:rPr>
        <w:t>.经区政府或区政府指定部门同意，社区级公共服务设施、基础教育设施，根据功能调整容积率和建筑高度的。</w:t>
      </w:r>
    </w:p>
    <w:p w14:paraId="11E1E1DF"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6</w:t>
      </w:r>
      <w:r>
        <w:rPr>
          <w:rFonts w:ascii="仿宋_GB2312" w:eastAsia="仿宋_GB2312" w:hAnsi="Arial" w:cs="仿宋_GB2312" w:hint="eastAsia"/>
          <w:sz w:val="32"/>
          <w:szCs w:val="32"/>
        </w:rPr>
        <w:t>.产业基地、产业社区内，工业、仓储用地容积率</w:t>
      </w:r>
      <w:r>
        <w:rPr>
          <w:rFonts w:ascii="仿宋_GB2312" w:eastAsia="仿宋_GB2312" w:hAnsi="Arial" w:cs="仿宋_GB2312"/>
          <w:sz w:val="32"/>
          <w:szCs w:val="32"/>
        </w:rPr>
        <w:t>2.0</w:t>
      </w:r>
      <w:r>
        <w:rPr>
          <w:rFonts w:ascii="仿宋_GB2312" w:eastAsia="仿宋_GB2312" w:hAnsi="Arial" w:cs="仿宋_GB2312" w:hint="eastAsia"/>
          <w:sz w:val="32"/>
          <w:szCs w:val="32"/>
        </w:rPr>
        <w:t>、建筑高度30米，研发用地容积率</w:t>
      </w:r>
      <w:r>
        <w:rPr>
          <w:rFonts w:ascii="仿宋_GB2312" w:eastAsia="仿宋_GB2312" w:hAnsi="Arial" w:cs="仿宋_GB2312"/>
          <w:sz w:val="32"/>
          <w:szCs w:val="32"/>
        </w:rPr>
        <w:t>3.0</w:t>
      </w:r>
      <w:r>
        <w:rPr>
          <w:rFonts w:ascii="仿宋_GB2312" w:eastAsia="仿宋_GB2312" w:hAnsi="Arial" w:cs="仿宋_GB2312" w:hint="eastAsia"/>
          <w:sz w:val="32"/>
          <w:szCs w:val="32"/>
        </w:rPr>
        <w:t>、建筑高度50米以内调整的；因功能需求，容积率不超过上述指标的前提下，经产业、科技和规划资源等部门专题论证同意，工业、仓储、研发用地建筑高度可以适当提高。</w:t>
      </w:r>
    </w:p>
    <w:p w14:paraId="21A2D7D1" w14:textId="77777777" w:rsidR="00416E8B" w:rsidRDefault="00000000" w:rsidP="00A50C37">
      <w:pPr>
        <w:adjustRightInd w:val="0"/>
        <w:snapToGrid w:val="0"/>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四、关于市政交通基础设施控制要求</w:t>
      </w:r>
    </w:p>
    <w:p w14:paraId="7F3E426A" w14:textId="77777777" w:rsidR="00416E8B" w:rsidRDefault="00000000" w:rsidP="00A50C37">
      <w:pPr>
        <w:adjustRightInd w:val="0"/>
        <w:snapToGrid w:val="0"/>
        <w:spacing w:line="580" w:lineRule="exact"/>
        <w:ind w:firstLineChars="200" w:firstLine="640"/>
        <w:rPr>
          <w:rFonts w:ascii="楷体_GB2312" w:eastAsia="楷体_GB2312" w:hAnsi="Arial" w:cs="仿宋_GB2312"/>
          <w:b/>
          <w:sz w:val="32"/>
          <w:szCs w:val="32"/>
        </w:rPr>
      </w:pPr>
      <w:r>
        <w:rPr>
          <w:rFonts w:ascii="楷体_GB2312" w:eastAsia="楷体_GB2312" w:hAnsi="Arial" w:cs="仿宋_GB2312" w:hint="eastAsia"/>
          <w:b/>
          <w:sz w:val="32"/>
          <w:szCs w:val="32"/>
        </w:rPr>
        <w:t>在不涉及系统功能调整、对周边地块不产生安全影响的前提下，道路红线、河道蓝线、电力黄线、铁路黑线及轨道交通等规划控制线、项目建设形式以及附属设施布局等规划控制要素结合项目实施进行调整的适用情形</w:t>
      </w:r>
    </w:p>
    <w:p w14:paraId="1286E661"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1</w:t>
      </w:r>
      <w:r>
        <w:rPr>
          <w:rFonts w:ascii="仿宋_GB2312" w:eastAsia="仿宋_GB2312" w:hAnsi="Arial" w:cs="仿宋_GB2312" w:hint="eastAsia"/>
          <w:sz w:val="32"/>
          <w:szCs w:val="32"/>
        </w:rPr>
        <w:t>.线位调整幅度原则上不超过</w:t>
      </w:r>
      <w:proofErr w:type="gramStart"/>
      <w:r>
        <w:rPr>
          <w:rFonts w:ascii="仿宋_GB2312" w:eastAsia="仿宋_GB2312" w:hAnsi="Arial" w:cs="仿宋_GB2312" w:hint="eastAsia"/>
          <w:sz w:val="32"/>
          <w:szCs w:val="32"/>
        </w:rPr>
        <w:t>原控制</w:t>
      </w:r>
      <w:proofErr w:type="gramEnd"/>
      <w:r>
        <w:rPr>
          <w:rFonts w:ascii="仿宋_GB2312" w:eastAsia="仿宋_GB2312" w:hAnsi="Arial" w:cs="仿宋_GB2312" w:hint="eastAsia"/>
          <w:sz w:val="32"/>
          <w:szCs w:val="32"/>
        </w:rPr>
        <w:t>线宽度的</w:t>
      </w:r>
      <w:r>
        <w:rPr>
          <w:rFonts w:ascii="仿宋_GB2312" w:eastAsia="仿宋_GB2312" w:hAnsi="Arial" w:cs="仿宋_GB2312"/>
          <w:sz w:val="32"/>
          <w:szCs w:val="32"/>
        </w:rPr>
        <w:t>15%</w:t>
      </w:r>
      <w:r>
        <w:rPr>
          <w:rFonts w:ascii="仿宋_GB2312" w:eastAsia="仿宋_GB2312" w:hAnsi="Arial" w:cs="仿宋_GB2312" w:hint="eastAsia"/>
          <w:sz w:val="32"/>
          <w:szCs w:val="32"/>
        </w:rPr>
        <w:t>，局部区</w:t>
      </w:r>
      <w:r>
        <w:rPr>
          <w:rFonts w:ascii="仿宋_GB2312" w:eastAsia="仿宋_GB2312" w:hAnsi="Arial" w:cs="仿宋_GB2312" w:hint="eastAsia"/>
          <w:sz w:val="32"/>
          <w:szCs w:val="32"/>
        </w:rPr>
        <w:lastRenderedPageBreak/>
        <w:t>段最大不超过</w:t>
      </w:r>
      <w:r>
        <w:rPr>
          <w:rFonts w:ascii="仿宋_GB2312" w:eastAsia="仿宋_GB2312" w:hAnsi="Arial" w:cs="仿宋_GB2312"/>
          <w:sz w:val="32"/>
          <w:szCs w:val="32"/>
        </w:rPr>
        <w:t>30%</w:t>
      </w:r>
      <w:r>
        <w:rPr>
          <w:rFonts w:ascii="仿宋_GB2312" w:eastAsia="仿宋_GB2312" w:hAnsi="Arial" w:cs="仿宋_GB2312" w:hint="eastAsia"/>
          <w:sz w:val="32"/>
          <w:szCs w:val="32"/>
        </w:rPr>
        <w:t>的。</w:t>
      </w:r>
    </w:p>
    <w:p w14:paraId="5C40D31B"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2</w:t>
      </w:r>
      <w:r>
        <w:rPr>
          <w:rFonts w:ascii="仿宋_GB2312" w:eastAsia="仿宋_GB2312" w:hAnsi="Arial" w:cs="仿宋_GB2312" w:hint="eastAsia"/>
          <w:sz w:val="32"/>
          <w:szCs w:val="32"/>
        </w:rPr>
        <w:t>.建设形式按工程方案深化需求进行调整，如敷设方式在高架、地面及地下之间相互转换的。</w:t>
      </w:r>
    </w:p>
    <w:p w14:paraId="3DEF91AB"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3</w:t>
      </w:r>
      <w:r>
        <w:rPr>
          <w:rFonts w:ascii="仿宋_GB2312" w:eastAsia="仿宋_GB2312" w:hAnsi="Arial" w:cs="仿宋_GB2312" w:hint="eastAsia"/>
          <w:sz w:val="32"/>
          <w:szCs w:val="32"/>
        </w:rPr>
        <w:t>.对于主线工程必须的附属特定建（构）筑物，结合工程建设推进需求对于具体位置和布局进行优化调整的。</w:t>
      </w:r>
    </w:p>
    <w:p w14:paraId="2AB42550" w14:textId="77777777" w:rsidR="00416E8B" w:rsidRDefault="00000000" w:rsidP="00A50C37">
      <w:pPr>
        <w:adjustRightInd w:val="0"/>
        <w:snapToGrid w:val="0"/>
        <w:spacing w:line="580" w:lineRule="exact"/>
        <w:ind w:firstLineChars="200" w:firstLine="640"/>
        <w:rPr>
          <w:rFonts w:ascii="黑体" w:eastAsia="黑体" w:hAnsi="黑体"/>
          <w:b/>
          <w:bCs/>
          <w:sz w:val="32"/>
          <w:szCs w:val="32"/>
        </w:rPr>
      </w:pPr>
      <w:r>
        <w:rPr>
          <w:rFonts w:ascii="黑体" w:eastAsia="黑体" w:hAnsi="黑体" w:cs="仿宋_GB2312" w:hint="eastAsia"/>
          <w:sz w:val="32"/>
          <w:szCs w:val="32"/>
        </w:rPr>
        <w:t>五、其他</w:t>
      </w:r>
    </w:p>
    <w:p w14:paraId="5C083FE2" w14:textId="77777777" w:rsidR="00416E8B" w:rsidRDefault="00000000" w:rsidP="00A50C37">
      <w:pPr>
        <w:adjustRightInd w:val="0"/>
        <w:snapToGrid w:val="0"/>
        <w:spacing w:line="580" w:lineRule="exact"/>
        <w:ind w:firstLineChars="200" w:firstLine="640"/>
        <w:rPr>
          <w:rFonts w:ascii="楷体_GB2312" w:eastAsia="楷体_GB2312" w:hAnsi="Arial" w:cs="Arial"/>
          <w:b/>
          <w:bCs/>
          <w:sz w:val="32"/>
          <w:szCs w:val="32"/>
        </w:rPr>
      </w:pPr>
      <w:r>
        <w:rPr>
          <w:rFonts w:ascii="楷体_GB2312" w:eastAsia="楷体_GB2312" w:hAnsi="Arial" w:cs="Arial" w:hint="eastAsia"/>
          <w:b/>
          <w:bCs/>
          <w:sz w:val="32"/>
          <w:szCs w:val="32"/>
        </w:rPr>
        <w:t>（一）住宅套数调整的适用情形</w:t>
      </w:r>
    </w:p>
    <w:p w14:paraId="4387A86E"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1</w:t>
      </w:r>
      <w:r>
        <w:rPr>
          <w:rFonts w:ascii="仿宋_GB2312" w:eastAsia="仿宋_GB2312" w:hAnsi="Arial" w:cs="仿宋_GB2312" w:hint="eastAsia"/>
          <w:sz w:val="32"/>
          <w:szCs w:val="32"/>
        </w:rPr>
        <w:t>.土地出让前，商品住宅套数在</w:t>
      </w:r>
      <w:r>
        <w:rPr>
          <w:rFonts w:ascii="仿宋_GB2312" w:eastAsia="仿宋_GB2312" w:hAnsi="Arial" w:cs="仿宋_GB2312"/>
          <w:sz w:val="32"/>
          <w:szCs w:val="32"/>
        </w:rPr>
        <w:t>20%</w:t>
      </w:r>
      <w:r>
        <w:rPr>
          <w:rFonts w:ascii="仿宋_GB2312" w:eastAsia="仿宋_GB2312" w:hAnsi="Arial" w:cs="仿宋_GB2312" w:hint="eastAsia"/>
          <w:sz w:val="32"/>
          <w:szCs w:val="32"/>
        </w:rPr>
        <w:t>幅度以内调整的。</w:t>
      </w:r>
    </w:p>
    <w:p w14:paraId="465549F2"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2</w:t>
      </w:r>
      <w:r>
        <w:rPr>
          <w:rFonts w:ascii="仿宋_GB2312" w:eastAsia="仿宋_GB2312" w:hAnsi="Arial" w:cs="仿宋_GB2312" w:hint="eastAsia"/>
          <w:sz w:val="32"/>
          <w:szCs w:val="32"/>
        </w:rPr>
        <w:t>.土地出让前，经区政府或区政府指定部门认定，在全区统筹基础上，按照区位条件和市场要求，商品住宅套数进行适度调整的。</w:t>
      </w:r>
    </w:p>
    <w:p w14:paraId="5102956A"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3</w:t>
      </w:r>
      <w:r>
        <w:rPr>
          <w:rFonts w:ascii="仿宋_GB2312" w:eastAsia="仿宋_GB2312" w:hAnsi="Arial" w:cs="仿宋_GB2312" w:hint="eastAsia"/>
          <w:sz w:val="32"/>
          <w:szCs w:val="32"/>
        </w:rPr>
        <w:t>.土地出让后，因平面布局、日照等原因，商品住宅套数在5%幅度以内调整的。</w:t>
      </w:r>
    </w:p>
    <w:p w14:paraId="6B2AEECE"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4</w:t>
      </w:r>
      <w:r>
        <w:rPr>
          <w:rFonts w:ascii="仿宋_GB2312" w:eastAsia="仿宋_GB2312" w:hAnsi="Arial" w:cs="仿宋_GB2312" w:hint="eastAsia"/>
          <w:sz w:val="32"/>
          <w:szCs w:val="32"/>
        </w:rPr>
        <w:t>.保障性住房根据房管部门意见确定住宅套数的。</w:t>
      </w:r>
    </w:p>
    <w:p w14:paraId="691832DE" w14:textId="77777777" w:rsidR="00416E8B" w:rsidRDefault="00000000" w:rsidP="00A50C37">
      <w:pPr>
        <w:adjustRightInd w:val="0"/>
        <w:snapToGrid w:val="0"/>
        <w:spacing w:line="580" w:lineRule="exact"/>
        <w:ind w:firstLineChars="200" w:firstLine="640"/>
        <w:rPr>
          <w:rFonts w:ascii="楷体_GB2312" w:eastAsia="楷体_GB2312" w:hAnsi="Arial" w:cs="Arial"/>
          <w:b/>
          <w:bCs/>
          <w:sz w:val="32"/>
          <w:szCs w:val="32"/>
        </w:rPr>
      </w:pPr>
      <w:r>
        <w:rPr>
          <w:rFonts w:ascii="楷体_GB2312" w:eastAsia="楷体_GB2312" w:hAnsi="Arial" w:cs="Arial" w:hint="eastAsia"/>
          <w:b/>
          <w:bCs/>
          <w:sz w:val="32"/>
          <w:szCs w:val="32"/>
        </w:rPr>
        <w:t>（二）增加特定建（构）筑物的适用情形</w:t>
      </w:r>
    </w:p>
    <w:p w14:paraId="60646D5A"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1</w:t>
      </w:r>
      <w:r>
        <w:rPr>
          <w:rFonts w:ascii="仿宋_GB2312" w:eastAsia="仿宋_GB2312" w:hAnsi="Arial" w:cs="仿宋_GB2312" w:hint="eastAsia"/>
          <w:sz w:val="32"/>
          <w:szCs w:val="32"/>
        </w:rPr>
        <w:t>.因项目建设需要，结合地块增加设置轨道交通出入口、风井、冷却塔等附属设施、人行天桥或地下通道、公交停靠站、出租车</w:t>
      </w:r>
      <w:proofErr w:type="gramStart"/>
      <w:r>
        <w:rPr>
          <w:rFonts w:ascii="仿宋_GB2312" w:eastAsia="仿宋_GB2312" w:hAnsi="Arial" w:cs="仿宋_GB2312" w:hint="eastAsia"/>
          <w:sz w:val="32"/>
          <w:szCs w:val="32"/>
        </w:rPr>
        <w:t>扬招站</w:t>
      </w:r>
      <w:proofErr w:type="gramEnd"/>
      <w:r>
        <w:rPr>
          <w:rFonts w:ascii="仿宋_GB2312" w:eastAsia="仿宋_GB2312" w:hAnsi="Arial" w:cs="仿宋_GB2312" w:hint="eastAsia"/>
          <w:sz w:val="32"/>
          <w:szCs w:val="32"/>
        </w:rPr>
        <w:t>、出租车候客站等特定建（构）筑物的，上述建筑面积不计入地块容积率。</w:t>
      </w:r>
    </w:p>
    <w:p w14:paraId="07C3F575"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t>2</w:t>
      </w:r>
      <w:r>
        <w:rPr>
          <w:rFonts w:ascii="仿宋_GB2312" w:eastAsia="仿宋_GB2312" w:hAnsi="Arial" w:cs="仿宋_GB2312" w:hint="eastAsia"/>
          <w:sz w:val="32"/>
          <w:szCs w:val="32"/>
        </w:rPr>
        <w:t>.在满足城市安全和水务行政主管部门管理要求的前提下，增加跨河步行桥梁或下穿河道的地下连通道的。</w:t>
      </w:r>
    </w:p>
    <w:p w14:paraId="03AC423B" w14:textId="77777777" w:rsidR="00416E8B" w:rsidRDefault="00000000" w:rsidP="00A50C37">
      <w:pPr>
        <w:adjustRightInd w:val="0"/>
        <w:snapToGrid w:val="0"/>
        <w:spacing w:line="580" w:lineRule="exact"/>
        <w:ind w:firstLineChars="200" w:firstLine="640"/>
        <w:rPr>
          <w:rFonts w:ascii="仿宋_GB2312" w:eastAsia="仿宋_GB2312" w:hAnsi="Arial" w:cs="仿宋_GB2312"/>
          <w:sz w:val="32"/>
          <w:szCs w:val="32"/>
        </w:rPr>
      </w:pPr>
      <w:r>
        <w:rPr>
          <w:rFonts w:ascii="仿宋_GB2312" w:eastAsia="仿宋_GB2312" w:hAnsi="Arial" w:cs="仿宋_GB2312"/>
          <w:sz w:val="32"/>
          <w:szCs w:val="32"/>
        </w:rPr>
        <w:lastRenderedPageBreak/>
        <w:t>3</w:t>
      </w:r>
      <w:r>
        <w:rPr>
          <w:rFonts w:ascii="仿宋_GB2312" w:eastAsia="仿宋_GB2312" w:hAnsi="Arial" w:cs="仿宋_GB2312" w:hint="eastAsia"/>
          <w:sz w:val="32"/>
          <w:szCs w:val="32"/>
        </w:rPr>
        <w:t>.在满足城市道路通行要求及地下管线安全的前提下，在相邻街坊间增加地面连通道、空中连廊、地下连通道或地下连接体的。</w:t>
      </w:r>
    </w:p>
    <w:p w14:paraId="027571CF" w14:textId="77777777" w:rsidR="00416E8B" w:rsidRDefault="00000000" w:rsidP="00A50C37">
      <w:pPr>
        <w:adjustRightInd w:val="0"/>
        <w:snapToGrid w:val="0"/>
        <w:spacing w:line="580" w:lineRule="exact"/>
        <w:ind w:firstLineChars="200" w:firstLine="640"/>
        <w:rPr>
          <w:rFonts w:ascii="Arial" w:eastAsia="楷体_GB2312" w:hAnsi="Arial" w:cs="楷体_GB2312"/>
          <w:b/>
          <w:bCs/>
          <w:sz w:val="32"/>
          <w:szCs w:val="32"/>
        </w:rPr>
      </w:pPr>
      <w:r>
        <w:rPr>
          <w:rFonts w:ascii="Arial" w:eastAsia="楷体_GB2312" w:hAnsi="Arial" w:cs="楷体_GB2312" w:hint="eastAsia"/>
          <w:b/>
          <w:bCs/>
          <w:sz w:val="32"/>
          <w:szCs w:val="32"/>
        </w:rPr>
        <w:t>（三）地下空间利用</w:t>
      </w:r>
      <w:r>
        <w:rPr>
          <w:rFonts w:ascii="楷体_GB2312" w:eastAsia="楷体_GB2312" w:hAnsi="Arial" w:cs="Arial" w:hint="eastAsia"/>
          <w:b/>
          <w:bCs/>
          <w:sz w:val="32"/>
          <w:szCs w:val="32"/>
        </w:rPr>
        <w:t>的适用情形</w:t>
      </w:r>
    </w:p>
    <w:p w14:paraId="6E9BB14B" w14:textId="77777777" w:rsidR="00416E8B" w:rsidRDefault="00000000" w:rsidP="00A50C37">
      <w:pPr>
        <w:adjustRightInd w:val="0"/>
        <w:snapToGrid w:val="0"/>
        <w:spacing w:line="580" w:lineRule="exact"/>
        <w:ind w:firstLineChars="200" w:firstLine="640"/>
        <w:rPr>
          <w:rFonts w:ascii="Arial" w:eastAsia="仿宋_GB2312" w:hAnsi="Arial" w:cs="仿宋_GB2312"/>
          <w:sz w:val="32"/>
          <w:szCs w:val="32"/>
        </w:rPr>
      </w:pPr>
      <w:r>
        <w:rPr>
          <w:rFonts w:ascii="Arial" w:eastAsia="仿宋_GB2312" w:hAnsi="Arial" w:cs="仿宋_GB2312" w:hint="eastAsia"/>
          <w:sz w:val="32"/>
          <w:szCs w:val="32"/>
        </w:rPr>
        <w:t>在满足绿化种植、环境、安全等要求的前提下，利用公共绿地的地下空间增加建设公共停车库、市政设施的。</w:t>
      </w:r>
      <w:bookmarkEnd w:id="5"/>
    </w:p>
    <w:p w14:paraId="65ED72B2" w14:textId="77777777" w:rsidR="00416E8B" w:rsidRDefault="00000000" w:rsidP="00A50C37">
      <w:pPr>
        <w:adjustRightInd w:val="0"/>
        <w:snapToGrid w:val="0"/>
        <w:spacing w:line="580" w:lineRule="exact"/>
        <w:ind w:firstLineChars="200" w:firstLine="640"/>
        <w:rPr>
          <w:rFonts w:ascii="Arial" w:eastAsia="楷体_GB2312" w:hAnsi="Arial" w:cs="楷体_GB2312"/>
          <w:b/>
          <w:bCs/>
          <w:sz w:val="32"/>
          <w:szCs w:val="32"/>
        </w:rPr>
      </w:pPr>
      <w:r>
        <w:rPr>
          <w:rFonts w:ascii="Arial" w:eastAsia="楷体_GB2312" w:hAnsi="Arial" w:cs="楷体_GB2312" w:hint="eastAsia"/>
          <w:b/>
          <w:bCs/>
          <w:sz w:val="32"/>
          <w:szCs w:val="32"/>
        </w:rPr>
        <w:t>（四）保留用地</w:t>
      </w:r>
      <w:r>
        <w:rPr>
          <w:rFonts w:ascii="楷体_GB2312" w:eastAsia="楷体_GB2312" w:hAnsi="Arial" w:cs="Arial" w:hint="eastAsia"/>
          <w:b/>
          <w:bCs/>
          <w:sz w:val="32"/>
          <w:szCs w:val="32"/>
        </w:rPr>
        <w:t>的适用情形</w:t>
      </w:r>
    </w:p>
    <w:p w14:paraId="61560F86" w14:textId="77777777" w:rsidR="00416E8B" w:rsidRDefault="00000000" w:rsidP="00A50C37">
      <w:pPr>
        <w:adjustRightInd w:val="0"/>
        <w:snapToGrid w:val="0"/>
        <w:spacing w:line="580" w:lineRule="exact"/>
        <w:ind w:firstLineChars="200" w:firstLine="640"/>
        <w:rPr>
          <w:rFonts w:ascii="Arial" w:eastAsia="仿宋_GB2312" w:hAnsi="Arial" w:cs="仿宋_GB2312"/>
          <w:sz w:val="32"/>
          <w:szCs w:val="32"/>
        </w:rPr>
      </w:pPr>
      <w:r>
        <w:rPr>
          <w:rFonts w:ascii="Arial" w:eastAsia="仿宋_GB2312" w:hAnsi="Arial" w:cs="仿宋_GB2312" w:hint="eastAsia"/>
          <w:sz w:val="32"/>
          <w:szCs w:val="32"/>
        </w:rPr>
        <w:t>保留用地在不改变现状用地性质、建筑使用性质、建筑主体高度（水箱、电梯井、天线等必要设施的高度改变不计</w:t>
      </w:r>
      <w:proofErr w:type="gramStart"/>
      <w:r>
        <w:rPr>
          <w:rFonts w:ascii="Arial" w:eastAsia="仿宋_GB2312" w:hAnsi="Arial" w:cs="仿宋_GB2312" w:hint="eastAsia"/>
          <w:sz w:val="32"/>
          <w:szCs w:val="32"/>
        </w:rPr>
        <w:t>入建筑</w:t>
      </w:r>
      <w:proofErr w:type="gramEnd"/>
      <w:r>
        <w:rPr>
          <w:rFonts w:ascii="Arial" w:eastAsia="仿宋_GB2312" w:hAnsi="Arial" w:cs="仿宋_GB2312" w:hint="eastAsia"/>
          <w:sz w:val="32"/>
          <w:szCs w:val="32"/>
        </w:rPr>
        <w:t>限高），在已取得的产证、土地出让合同核定的建筑面积（含地下空间）范围内进行改建、扩建的；但因完善消防、卫生、交通、确保安全增加电梯等附属设施，不受上述建筑面积范围的限制。</w:t>
      </w:r>
    </w:p>
    <w:p w14:paraId="3D9E60FF" w14:textId="77777777" w:rsidR="00416E8B" w:rsidRDefault="00000000" w:rsidP="00A50C37">
      <w:pPr>
        <w:adjustRightInd w:val="0"/>
        <w:snapToGrid w:val="0"/>
        <w:spacing w:line="580" w:lineRule="exact"/>
        <w:ind w:firstLineChars="200" w:firstLine="640"/>
        <w:rPr>
          <w:rFonts w:ascii="Arial" w:eastAsia="楷体_GB2312" w:hAnsi="Arial" w:cs="楷体_GB2312"/>
          <w:b/>
          <w:bCs/>
          <w:sz w:val="32"/>
          <w:szCs w:val="32"/>
        </w:rPr>
      </w:pPr>
      <w:r>
        <w:rPr>
          <w:rFonts w:ascii="Arial" w:eastAsia="楷体_GB2312" w:hAnsi="Arial" w:cs="楷体_GB2312" w:hint="eastAsia"/>
          <w:b/>
          <w:bCs/>
          <w:sz w:val="32"/>
          <w:szCs w:val="32"/>
        </w:rPr>
        <w:t>（五）现状用地</w:t>
      </w:r>
      <w:r>
        <w:rPr>
          <w:rFonts w:ascii="楷体_GB2312" w:eastAsia="楷体_GB2312" w:hAnsi="Arial" w:cs="Arial" w:hint="eastAsia"/>
          <w:b/>
          <w:bCs/>
          <w:sz w:val="32"/>
          <w:szCs w:val="32"/>
        </w:rPr>
        <w:t>的适用情形</w:t>
      </w:r>
    </w:p>
    <w:p w14:paraId="7FFBDDE4" w14:textId="77777777" w:rsidR="00416E8B" w:rsidRDefault="00000000" w:rsidP="00A50C37">
      <w:pPr>
        <w:adjustRightInd w:val="0"/>
        <w:snapToGrid w:val="0"/>
        <w:spacing w:line="580" w:lineRule="exact"/>
        <w:ind w:firstLineChars="200" w:firstLine="640"/>
        <w:rPr>
          <w:rFonts w:ascii="Arial" w:eastAsia="仿宋_GB2312" w:hAnsi="Arial" w:cs="仿宋_GB2312"/>
          <w:sz w:val="32"/>
          <w:szCs w:val="32"/>
        </w:rPr>
      </w:pPr>
      <w:r>
        <w:rPr>
          <w:rFonts w:ascii="Arial" w:eastAsia="仿宋_GB2312" w:hAnsi="Arial" w:cs="仿宋_GB2312" w:hint="eastAsia"/>
          <w:sz w:val="32"/>
          <w:szCs w:val="32"/>
        </w:rPr>
        <w:t>现状用地（指已取得合法权证的土地，其各项指标与控制性详细规划不符的或控制性详细规划尚未覆盖的用地），与近期规划实施不冲突，在不改变现状用地性质、建筑使用性质、建筑主体高度（水箱、电梯井、天线等必要设施的高度改变不计</w:t>
      </w:r>
      <w:proofErr w:type="gramStart"/>
      <w:r>
        <w:rPr>
          <w:rFonts w:ascii="Arial" w:eastAsia="仿宋_GB2312" w:hAnsi="Arial" w:cs="仿宋_GB2312" w:hint="eastAsia"/>
          <w:sz w:val="32"/>
          <w:szCs w:val="32"/>
        </w:rPr>
        <w:t>入建筑</w:t>
      </w:r>
      <w:proofErr w:type="gramEnd"/>
      <w:r>
        <w:rPr>
          <w:rFonts w:ascii="Arial" w:eastAsia="仿宋_GB2312" w:hAnsi="Arial" w:cs="仿宋_GB2312" w:hint="eastAsia"/>
          <w:sz w:val="32"/>
          <w:szCs w:val="32"/>
        </w:rPr>
        <w:t>限高），土地权利人承诺无条件服从政府实施规划收回土地的前提下，在已取得的产证、土地出让合同核定的建筑面积（含地下空间）范围内进行改建、扩建的。</w:t>
      </w:r>
    </w:p>
    <w:p w14:paraId="7C7C6A10" w14:textId="77777777" w:rsidR="00416E8B" w:rsidRDefault="00000000" w:rsidP="00A50C37">
      <w:pPr>
        <w:adjustRightInd w:val="0"/>
        <w:snapToGrid w:val="0"/>
        <w:spacing w:line="580" w:lineRule="exact"/>
        <w:ind w:firstLineChars="200" w:firstLine="640"/>
        <w:rPr>
          <w:rFonts w:ascii="楷体_GB2312" w:eastAsia="楷体_GB2312" w:hAnsi="Arial" w:cs="Arial"/>
          <w:b/>
          <w:bCs/>
          <w:sz w:val="32"/>
          <w:szCs w:val="32"/>
        </w:rPr>
      </w:pPr>
      <w:r>
        <w:rPr>
          <w:rFonts w:ascii="楷体_GB2312" w:eastAsia="楷体_GB2312" w:hAnsi="Arial" w:cs="Arial" w:hint="eastAsia"/>
          <w:b/>
          <w:bCs/>
          <w:sz w:val="32"/>
          <w:szCs w:val="32"/>
        </w:rPr>
        <w:t>（六）建筑退界线、</w:t>
      </w:r>
      <w:r>
        <w:rPr>
          <w:rFonts w:ascii="Arial" w:eastAsia="楷体_GB2312" w:hAnsi="Arial" w:cs="楷体_GB2312" w:hint="eastAsia"/>
          <w:b/>
          <w:bCs/>
          <w:sz w:val="32"/>
          <w:szCs w:val="32"/>
        </w:rPr>
        <w:t>绿地率、建筑密度</w:t>
      </w:r>
      <w:r>
        <w:rPr>
          <w:rFonts w:ascii="楷体_GB2312" w:eastAsia="楷体_GB2312" w:hAnsi="Arial" w:cs="Arial" w:hint="eastAsia"/>
          <w:b/>
          <w:bCs/>
          <w:sz w:val="32"/>
          <w:szCs w:val="32"/>
        </w:rPr>
        <w:t>调整的适用情形</w:t>
      </w:r>
    </w:p>
    <w:p w14:paraId="4BFDD9EE" w14:textId="77777777" w:rsidR="00416E8B" w:rsidRDefault="00000000" w:rsidP="00A50C37">
      <w:pPr>
        <w:adjustRightInd w:val="0"/>
        <w:snapToGrid w:val="0"/>
        <w:spacing w:line="580" w:lineRule="exact"/>
        <w:ind w:firstLineChars="200" w:firstLine="640"/>
        <w:rPr>
          <w:rFonts w:ascii="Arial" w:eastAsia="仿宋_GB2312" w:hAnsi="Arial"/>
          <w:sz w:val="32"/>
          <w:szCs w:val="32"/>
        </w:rPr>
      </w:pPr>
      <w:r>
        <w:rPr>
          <w:rFonts w:ascii="仿宋_GB2312" w:eastAsia="仿宋_GB2312" w:hAnsi="Arial" w:cs="仿宋_GB2312" w:hint="eastAsia"/>
          <w:sz w:val="32"/>
          <w:szCs w:val="32"/>
        </w:rPr>
        <w:lastRenderedPageBreak/>
        <w:t>《上海市控制性详细规划技术准则》（2011版）执行之前已批的控制性详细规划中包含建筑退界线、绿地率、建筑密度</w:t>
      </w:r>
      <w:r>
        <w:rPr>
          <w:rFonts w:ascii="Arial" w:eastAsia="仿宋_GB2312" w:hAnsi="Arial" w:cs="仿宋_GB2312" w:hint="eastAsia"/>
          <w:sz w:val="32"/>
          <w:szCs w:val="32"/>
        </w:rPr>
        <w:t>指标，因优化建筑设计、沿街界面或景观要求，需要对上述指标进行调整的。</w:t>
      </w:r>
    </w:p>
    <w:p w14:paraId="649E4B83" w14:textId="77777777" w:rsidR="00416E8B" w:rsidRDefault="00000000" w:rsidP="00A50C37">
      <w:pPr>
        <w:adjustRightInd w:val="0"/>
        <w:snapToGrid w:val="0"/>
        <w:spacing w:line="580" w:lineRule="exact"/>
        <w:ind w:firstLineChars="200" w:firstLine="640"/>
        <w:rPr>
          <w:rFonts w:ascii="楷体_GB2312" w:eastAsia="楷体_GB2312" w:hAnsi="Arial" w:cs="Arial"/>
          <w:b/>
          <w:bCs/>
          <w:sz w:val="32"/>
          <w:szCs w:val="32"/>
        </w:rPr>
      </w:pPr>
      <w:r>
        <w:rPr>
          <w:rFonts w:ascii="楷体_GB2312" w:eastAsia="楷体_GB2312" w:hAnsi="Arial" w:cs="Arial" w:hint="eastAsia"/>
          <w:b/>
          <w:bCs/>
          <w:sz w:val="32"/>
          <w:szCs w:val="32"/>
        </w:rPr>
        <w:t>（七）其他控制要素的适用情形</w:t>
      </w:r>
    </w:p>
    <w:p w14:paraId="305EC309" w14:textId="4C2D0719" w:rsidR="00416E8B" w:rsidRPr="00555523" w:rsidRDefault="00000000" w:rsidP="00555523">
      <w:pPr>
        <w:adjustRightInd w:val="0"/>
        <w:snapToGrid w:val="0"/>
        <w:spacing w:line="580" w:lineRule="exact"/>
        <w:ind w:firstLineChars="200" w:firstLine="640"/>
        <w:rPr>
          <w:rFonts w:ascii="仿宋_GB2312" w:eastAsia="仿宋_GB2312" w:hAnsi="Arial" w:cs="仿宋_GB2312" w:hint="eastAsia"/>
          <w:sz w:val="32"/>
          <w:szCs w:val="32"/>
        </w:rPr>
      </w:pPr>
      <w:r>
        <w:rPr>
          <w:rFonts w:ascii="仿宋_GB2312" w:eastAsia="仿宋_GB2312" w:hAnsi="Arial" w:cs="仿宋_GB2312" w:hint="eastAsia"/>
          <w:sz w:val="32"/>
          <w:szCs w:val="32"/>
        </w:rPr>
        <w:t>控制性详细规划中确定的其他控制要素，包括建筑界面控制线位置和</w:t>
      </w:r>
      <w:proofErr w:type="gramStart"/>
      <w:r>
        <w:rPr>
          <w:rFonts w:ascii="仿宋_GB2312" w:eastAsia="仿宋_GB2312" w:hAnsi="Arial" w:cs="仿宋_GB2312" w:hint="eastAsia"/>
          <w:sz w:val="32"/>
          <w:szCs w:val="32"/>
        </w:rPr>
        <w:t>贴线率</w:t>
      </w:r>
      <w:proofErr w:type="gramEnd"/>
      <w:r>
        <w:rPr>
          <w:rFonts w:ascii="仿宋_GB2312" w:eastAsia="仿宋_GB2312" w:hAnsi="Arial" w:cs="仿宋_GB2312" w:hint="eastAsia"/>
          <w:sz w:val="32"/>
          <w:szCs w:val="32"/>
        </w:rPr>
        <w:t>、公共通道、开放空间、标志性建筑塔楼控制范围、机动车禁止开口段、地下空间等，需要进行调整的。</w:t>
      </w:r>
    </w:p>
    <w:sectPr w:rsidR="00416E8B" w:rsidRPr="00555523">
      <w:headerReference w:type="default" r:id="rId7"/>
      <w:footerReference w:type="even" r:id="rId8"/>
      <w:footerReference w:type="default" r:id="rId9"/>
      <w:pgSz w:w="11907" w:h="16840"/>
      <w:pgMar w:top="2098" w:right="1531" w:bottom="1985" w:left="1531" w:header="851" w:footer="1588" w:gutter="0"/>
      <w:cols w:space="425"/>
      <w:docGrid w:type="lines" w:linePitch="318" w:charSpace="208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CDEB" w14:textId="77777777" w:rsidR="00D100D9" w:rsidRDefault="00D100D9">
      <w:r>
        <w:separator/>
      </w:r>
    </w:p>
  </w:endnote>
  <w:endnote w:type="continuationSeparator" w:id="0">
    <w:p w14:paraId="3BA72E94" w14:textId="77777777" w:rsidR="00D100D9" w:rsidRDefault="00D1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00"/>
    <w:family w:val="modern"/>
    <w:pitch w:val="default"/>
    <w:sig w:usb0="00000001" w:usb1="080E0000" w:usb2="00000010" w:usb3="00000000" w:csb0="00040000" w:csb1="00000000"/>
  </w:font>
  <w:font w:name="方正小标宋简体">
    <w:altName w:val="微软雅黑"/>
    <w:charset w:val="86"/>
    <w:family w:val="script"/>
    <w:pitch w:val="default"/>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创艺简标宋">
    <w:altName w:val="微软雅黑"/>
    <w:charset w:val="00"/>
    <w:family w:val="auto"/>
    <w:pitch w:val="default"/>
    <w:sig w:usb0="00000001" w:usb1="080E0000" w:usb2="00000010" w:usb3="00000000" w:csb0="00040000" w:csb1="00000000"/>
  </w:font>
  <w:font w:name="楷体_GB2312">
    <w:altName w:val="微软雅黑"/>
    <w:charset w:val="00"/>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8D5B" w14:textId="77777777" w:rsidR="00416E8B" w:rsidRDefault="00000000">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697B8258" w14:textId="77777777" w:rsidR="00416E8B" w:rsidRDefault="00416E8B">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97AF" w14:textId="77777777" w:rsidR="00416E8B" w:rsidRDefault="00000000">
    <w:pPr>
      <w:pStyle w:val="a5"/>
      <w:framePr w:wrap="around" w:vAnchor="text" w:hAnchor="margin" w:xAlign="outside" w:y="1"/>
      <w:ind w:leftChars="146" w:left="307" w:rightChars="146" w:right="307"/>
      <w:rPr>
        <w:rStyle w:val="a8"/>
        <w:rFonts w:ascii="宋体" w:hAnsi="宋体"/>
        <w:sz w:val="28"/>
        <w:szCs w:val="28"/>
      </w:rPr>
    </w:pPr>
    <w:r>
      <w:rPr>
        <w:rFonts w:ascii="宋体" w:hAnsi="宋体" w:hint="eastAsia"/>
        <w:sz w:val="28"/>
        <w:szCs w:val="28"/>
      </w:rPr>
      <w:t>－</w:t>
    </w:r>
    <w:r>
      <w:rPr>
        <w:rStyle w:val="a8"/>
        <w:rFonts w:ascii="宋体" w:hAnsi="宋体" w:hint="eastAsia"/>
        <w:sz w:val="28"/>
        <w:szCs w:val="28"/>
      </w:rPr>
      <w:t xml:space="preserve"> </w:t>
    </w:r>
    <w:r>
      <w:rPr>
        <w:rStyle w:val="a8"/>
        <w:rFonts w:ascii="宋体" w:hAnsi="宋体" w:hint="eastAsia"/>
        <w:sz w:val="28"/>
        <w:szCs w:val="28"/>
      </w:rPr>
      <w:fldChar w:fldCharType="begin"/>
    </w:r>
    <w:r>
      <w:rPr>
        <w:rStyle w:val="a8"/>
        <w:rFonts w:ascii="宋体" w:hAnsi="宋体" w:hint="eastAsia"/>
        <w:sz w:val="28"/>
        <w:szCs w:val="28"/>
      </w:rPr>
      <w:instrText xml:space="preserve">PAGE  </w:instrText>
    </w:r>
    <w:r>
      <w:rPr>
        <w:rStyle w:val="a8"/>
        <w:rFonts w:ascii="宋体" w:hAnsi="宋体" w:hint="eastAsia"/>
        <w:sz w:val="28"/>
        <w:szCs w:val="28"/>
      </w:rPr>
      <w:fldChar w:fldCharType="separate"/>
    </w:r>
    <w:r>
      <w:rPr>
        <w:rStyle w:val="a8"/>
        <w:rFonts w:ascii="宋体" w:hAnsi="宋体"/>
        <w:sz w:val="28"/>
        <w:szCs w:val="28"/>
      </w:rPr>
      <w:t>3</w:t>
    </w:r>
    <w:r>
      <w:rPr>
        <w:rStyle w:val="a8"/>
        <w:rFonts w:ascii="宋体" w:hAnsi="宋体" w:hint="eastAsia"/>
        <w:sz w:val="28"/>
        <w:szCs w:val="28"/>
      </w:rPr>
      <w:fldChar w:fldCharType="end"/>
    </w:r>
    <w:r>
      <w:rPr>
        <w:rStyle w:val="a8"/>
        <w:rFonts w:ascii="宋体" w:hAnsi="宋体" w:hint="eastAsia"/>
        <w:sz w:val="28"/>
        <w:szCs w:val="28"/>
      </w:rPr>
      <w:t xml:space="preserve"> </w:t>
    </w:r>
    <w:r>
      <w:rPr>
        <w:rFonts w:ascii="宋体" w:hAnsi="宋体" w:hint="eastAsia"/>
        <w:sz w:val="28"/>
        <w:szCs w:val="28"/>
      </w:rPr>
      <w:t xml:space="preserve">－ </w:t>
    </w:r>
  </w:p>
  <w:p w14:paraId="632DED96" w14:textId="77777777" w:rsidR="00416E8B" w:rsidRDefault="00416E8B">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7EE0" w14:textId="77777777" w:rsidR="00D100D9" w:rsidRDefault="00D100D9">
      <w:r>
        <w:separator/>
      </w:r>
    </w:p>
  </w:footnote>
  <w:footnote w:type="continuationSeparator" w:id="0">
    <w:p w14:paraId="01A6E2EE" w14:textId="77777777" w:rsidR="00D100D9" w:rsidRDefault="00D10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9891" w14:textId="77777777" w:rsidR="00416E8B" w:rsidRDefault="00416E8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6"/>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5BB"/>
    <w:rsid w:val="00011C98"/>
    <w:rsid w:val="000246CC"/>
    <w:rsid w:val="00024FC9"/>
    <w:rsid w:val="00027E64"/>
    <w:rsid w:val="00033949"/>
    <w:rsid w:val="00036362"/>
    <w:rsid w:val="00081754"/>
    <w:rsid w:val="00084E14"/>
    <w:rsid w:val="000A6C83"/>
    <w:rsid w:val="000C2289"/>
    <w:rsid w:val="000C4C81"/>
    <w:rsid w:val="000D42AA"/>
    <w:rsid w:val="000E192A"/>
    <w:rsid w:val="000E4958"/>
    <w:rsid w:val="000E4BDC"/>
    <w:rsid w:val="000E5995"/>
    <w:rsid w:val="000F0E6D"/>
    <w:rsid w:val="000F1A22"/>
    <w:rsid w:val="0012496C"/>
    <w:rsid w:val="00152EBC"/>
    <w:rsid w:val="00165A67"/>
    <w:rsid w:val="00170B7E"/>
    <w:rsid w:val="001779BC"/>
    <w:rsid w:val="00190FBD"/>
    <w:rsid w:val="001C1BDE"/>
    <w:rsid w:val="001E3CB2"/>
    <w:rsid w:val="002057F0"/>
    <w:rsid w:val="00206871"/>
    <w:rsid w:val="00217E37"/>
    <w:rsid w:val="002205D9"/>
    <w:rsid w:val="00244355"/>
    <w:rsid w:val="00256514"/>
    <w:rsid w:val="002704E3"/>
    <w:rsid w:val="00295B73"/>
    <w:rsid w:val="00297456"/>
    <w:rsid w:val="002A133E"/>
    <w:rsid w:val="002A2395"/>
    <w:rsid w:val="002B0B1E"/>
    <w:rsid w:val="002C4EC0"/>
    <w:rsid w:val="002C62EA"/>
    <w:rsid w:val="002D386F"/>
    <w:rsid w:val="002F04FF"/>
    <w:rsid w:val="002F487F"/>
    <w:rsid w:val="002F4EF5"/>
    <w:rsid w:val="0030201E"/>
    <w:rsid w:val="00302DF6"/>
    <w:rsid w:val="00304AC3"/>
    <w:rsid w:val="00314FB4"/>
    <w:rsid w:val="00321860"/>
    <w:rsid w:val="00325F52"/>
    <w:rsid w:val="00343531"/>
    <w:rsid w:val="00351463"/>
    <w:rsid w:val="0035793B"/>
    <w:rsid w:val="0036038A"/>
    <w:rsid w:val="0037114A"/>
    <w:rsid w:val="00371C36"/>
    <w:rsid w:val="00374C48"/>
    <w:rsid w:val="00392C04"/>
    <w:rsid w:val="003946BB"/>
    <w:rsid w:val="003A0B9D"/>
    <w:rsid w:val="003A5BE7"/>
    <w:rsid w:val="003B721F"/>
    <w:rsid w:val="003D7346"/>
    <w:rsid w:val="003E42E4"/>
    <w:rsid w:val="003E6C67"/>
    <w:rsid w:val="00416E8B"/>
    <w:rsid w:val="004310C1"/>
    <w:rsid w:val="004442A6"/>
    <w:rsid w:val="00451CC5"/>
    <w:rsid w:val="00461DCB"/>
    <w:rsid w:val="00464BF3"/>
    <w:rsid w:val="00467F96"/>
    <w:rsid w:val="00471B79"/>
    <w:rsid w:val="00475249"/>
    <w:rsid w:val="00480C45"/>
    <w:rsid w:val="00484731"/>
    <w:rsid w:val="0049734B"/>
    <w:rsid w:val="004A1790"/>
    <w:rsid w:val="004A6BB0"/>
    <w:rsid w:val="004D26A8"/>
    <w:rsid w:val="004D2D53"/>
    <w:rsid w:val="004D6284"/>
    <w:rsid w:val="004D6EFC"/>
    <w:rsid w:val="004F2A07"/>
    <w:rsid w:val="004F3207"/>
    <w:rsid w:val="0050405C"/>
    <w:rsid w:val="00510730"/>
    <w:rsid w:val="00517FCB"/>
    <w:rsid w:val="00531E29"/>
    <w:rsid w:val="00536C33"/>
    <w:rsid w:val="00537EB0"/>
    <w:rsid w:val="0054011B"/>
    <w:rsid w:val="00541048"/>
    <w:rsid w:val="005417AA"/>
    <w:rsid w:val="0055239B"/>
    <w:rsid w:val="00555391"/>
    <w:rsid w:val="00555523"/>
    <w:rsid w:val="00555947"/>
    <w:rsid w:val="00564DBD"/>
    <w:rsid w:val="00567B64"/>
    <w:rsid w:val="0057056E"/>
    <w:rsid w:val="005814F0"/>
    <w:rsid w:val="0059294B"/>
    <w:rsid w:val="00592C9A"/>
    <w:rsid w:val="00594CC5"/>
    <w:rsid w:val="005952FE"/>
    <w:rsid w:val="005B1155"/>
    <w:rsid w:val="005B30A2"/>
    <w:rsid w:val="005C024A"/>
    <w:rsid w:val="005C36E1"/>
    <w:rsid w:val="005D4DBE"/>
    <w:rsid w:val="005D5222"/>
    <w:rsid w:val="005D7D4B"/>
    <w:rsid w:val="005D7FCF"/>
    <w:rsid w:val="005F49FF"/>
    <w:rsid w:val="00612706"/>
    <w:rsid w:val="00614968"/>
    <w:rsid w:val="00621261"/>
    <w:rsid w:val="00626E64"/>
    <w:rsid w:val="0063206B"/>
    <w:rsid w:val="00656039"/>
    <w:rsid w:val="0066153F"/>
    <w:rsid w:val="006700A1"/>
    <w:rsid w:val="00670F7C"/>
    <w:rsid w:val="00680704"/>
    <w:rsid w:val="00686F73"/>
    <w:rsid w:val="006A4A41"/>
    <w:rsid w:val="006A57F8"/>
    <w:rsid w:val="006D27C4"/>
    <w:rsid w:val="006D7BEE"/>
    <w:rsid w:val="006E04E9"/>
    <w:rsid w:val="006E2808"/>
    <w:rsid w:val="006E74D7"/>
    <w:rsid w:val="0071592A"/>
    <w:rsid w:val="00721037"/>
    <w:rsid w:val="007256C3"/>
    <w:rsid w:val="00741D67"/>
    <w:rsid w:val="00742AF6"/>
    <w:rsid w:val="007464C5"/>
    <w:rsid w:val="00750285"/>
    <w:rsid w:val="00755837"/>
    <w:rsid w:val="00765D76"/>
    <w:rsid w:val="00774D9C"/>
    <w:rsid w:val="007806A1"/>
    <w:rsid w:val="00787258"/>
    <w:rsid w:val="007A36BD"/>
    <w:rsid w:val="007A4DF3"/>
    <w:rsid w:val="007B6F90"/>
    <w:rsid w:val="007C4F19"/>
    <w:rsid w:val="007C6CCE"/>
    <w:rsid w:val="007D53D0"/>
    <w:rsid w:val="007D5A5B"/>
    <w:rsid w:val="0081016F"/>
    <w:rsid w:val="0081298F"/>
    <w:rsid w:val="0081772C"/>
    <w:rsid w:val="00817C3A"/>
    <w:rsid w:val="0082783A"/>
    <w:rsid w:val="00852882"/>
    <w:rsid w:val="0086018D"/>
    <w:rsid w:val="0086534F"/>
    <w:rsid w:val="008679A2"/>
    <w:rsid w:val="00874678"/>
    <w:rsid w:val="00883EDB"/>
    <w:rsid w:val="00886C62"/>
    <w:rsid w:val="008A37C3"/>
    <w:rsid w:val="008C1799"/>
    <w:rsid w:val="008E57A1"/>
    <w:rsid w:val="008F006A"/>
    <w:rsid w:val="008F3862"/>
    <w:rsid w:val="00902350"/>
    <w:rsid w:val="00903CA5"/>
    <w:rsid w:val="0091549C"/>
    <w:rsid w:val="009274B0"/>
    <w:rsid w:val="00934218"/>
    <w:rsid w:val="00934BBF"/>
    <w:rsid w:val="009654F9"/>
    <w:rsid w:val="009655C8"/>
    <w:rsid w:val="009766AA"/>
    <w:rsid w:val="00976B4B"/>
    <w:rsid w:val="00984D33"/>
    <w:rsid w:val="00985E49"/>
    <w:rsid w:val="00997B0B"/>
    <w:rsid w:val="009B0C06"/>
    <w:rsid w:val="009B3DDB"/>
    <w:rsid w:val="009E2AEB"/>
    <w:rsid w:val="009E7D23"/>
    <w:rsid w:val="00A264E1"/>
    <w:rsid w:val="00A272AE"/>
    <w:rsid w:val="00A310AA"/>
    <w:rsid w:val="00A45955"/>
    <w:rsid w:val="00A50C37"/>
    <w:rsid w:val="00A53B3E"/>
    <w:rsid w:val="00A54333"/>
    <w:rsid w:val="00A579FB"/>
    <w:rsid w:val="00A905E2"/>
    <w:rsid w:val="00A96C2C"/>
    <w:rsid w:val="00AB46FD"/>
    <w:rsid w:val="00AD219A"/>
    <w:rsid w:val="00AD5527"/>
    <w:rsid w:val="00AF5037"/>
    <w:rsid w:val="00AF71DE"/>
    <w:rsid w:val="00B03D93"/>
    <w:rsid w:val="00B133F6"/>
    <w:rsid w:val="00B32E8B"/>
    <w:rsid w:val="00B45209"/>
    <w:rsid w:val="00B5090B"/>
    <w:rsid w:val="00B51EA8"/>
    <w:rsid w:val="00B54E36"/>
    <w:rsid w:val="00B5779A"/>
    <w:rsid w:val="00B62ED4"/>
    <w:rsid w:val="00B66B25"/>
    <w:rsid w:val="00B8018B"/>
    <w:rsid w:val="00B82960"/>
    <w:rsid w:val="00B87789"/>
    <w:rsid w:val="00BB4B78"/>
    <w:rsid w:val="00BC5B12"/>
    <w:rsid w:val="00BC76F3"/>
    <w:rsid w:val="00BE4871"/>
    <w:rsid w:val="00C140C7"/>
    <w:rsid w:val="00C14C30"/>
    <w:rsid w:val="00C16D84"/>
    <w:rsid w:val="00C355E3"/>
    <w:rsid w:val="00C47A96"/>
    <w:rsid w:val="00C512CB"/>
    <w:rsid w:val="00C5318D"/>
    <w:rsid w:val="00C6135E"/>
    <w:rsid w:val="00C66D2A"/>
    <w:rsid w:val="00C73E39"/>
    <w:rsid w:val="00C75931"/>
    <w:rsid w:val="00C85DFD"/>
    <w:rsid w:val="00C905BB"/>
    <w:rsid w:val="00CA0A0E"/>
    <w:rsid w:val="00CA6FCD"/>
    <w:rsid w:val="00CB3010"/>
    <w:rsid w:val="00CB4F1F"/>
    <w:rsid w:val="00CE1403"/>
    <w:rsid w:val="00D02F46"/>
    <w:rsid w:val="00D100D9"/>
    <w:rsid w:val="00D16F87"/>
    <w:rsid w:val="00D23BE5"/>
    <w:rsid w:val="00D35289"/>
    <w:rsid w:val="00D5192E"/>
    <w:rsid w:val="00D54130"/>
    <w:rsid w:val="00D55B82"/>
    <w:rsid w:val="00D57DBD"/>
    <w:rsid w:val="00D72B2C"/>
    <w:rsid w:val="00D801C0"/>
    <w:rsid w:val="00DC7584"/>
    <w:rsid w:val="00DD013B"/>
    <w:rsid w:val="00DD33C4"/>
    <w:rsid w:val="00DE3780"/>
    <w:rsid w:val="00DE5205"/>
    <w:rsid w:val="00DF2A7C"/>
    <w:rsid w:val="00E061F1"/>
    <w:rsid w:val="00E13783"/>
    <w:rsid w:val="00E30783"/>
    <w:rsid w:val="00E44623"/>
    <w:rsid w:val="00E44C3C"/>
    <w:rsid w:val="00E465D6"/>
    <w:rsid w:val="00E533C2"/>
    <w:rsid w:val="00E71EEC"/>
    <w:rsid w:val="00E8246B"/>
    <w:rsid w:val="00EC017A"/>
    <w:rsid w:val="00EC7096"/>
    <w:rsid w:val="00ED05B3"/>
    <w:rsid w:val="00ED0AC6"/>
    <w:rsid w:val="00EE0D2A"/>
    <w:rsid w:val="00EE1257"/>
    <w:rsid w:val="00EF1529"/>
    <w:rsid w:val="00F06640"/>
    <w:rsid w:val="00F30ABD"/>
    <w:rsid w:val="00F37838"/>
    <w:rsid w:val="00F42A1F"/>
    <w:rsid w:val="00F54975"/>
    <w:rsid w:val="00F63B3E"/>
    <w:rsid w:val="00F7472E"/>
    <w:rsid w:val="00F92435"/>
    <w:rsid w:val="00FB255D"/>
    <w:rsid w:val="00FB3A9C"/>
    <w:rsid w:val="00FB50A7"/>
    <w:rsid w:val="00FB6937"/>
    <w:rsid w:val="00FB717B"/>
    <w:rsid w:val="00FD2948"/>
    <w:rsid w:val="00FD5572"/>
    <w:rsid w:val="00FD5D35"/>
    <w:rsid w:val="00FD761B"/>
    <w:rsid w:val="00FE55B1"/>
    <w:rsid w:val="5FFF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D17EB"/>
  <w15:docId w15:val="{6813B512-4240-4965-9A61-36953C3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styleId="a9">
    <w:name w:val="Revision"/>
    <w:hidden/>
    <w:uiPriority w:val="99"/>
    <w:semiHidden/>
    <w:rsid w:val="00A50C3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512</Words>
  <Characters>2919</Characters>
  <Application>Microsoft Office Word</Application>
  <DocSecurity>0</DocSecurity>
  <Lines>24</Lines>
  <Paragraphs>6</Paragraphs>
  <ScaleCrop>false</ScaleCrop>
  <Company>acer</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acer</dc:creator>
  <cp:lastModifiedBy>Lee Gu</cp:lastModifiedBy>
  <cp:revision>44</cp:revision>
  <cp:lastPrinted>2020-11-06T13:35:00Z</cp:lastPrinted>
  <dcterms:created xsi:type="dcterms:W3CDTF">2018-11-22T17:11:00Z</dcterms:created>
  <dcterms:modified xsi:type="dcterms:W3CDTF">2022-08-05T06:15:00Z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