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atLeast"/>
        <w:ind w:left="1120" w:hanging="1120" w:hangingChars="350"/>
        <w:textAlignment w:val="auto"/>
        <w:outlineLvl w:val="9"/>
        <w:rPr>
          <w:rFonts w:hint="eastAsia" w:ascii="黑体" w:hAnsi="Arial" w:eastAsia="黑体" w:cs="Arial"/>
          <w:sz w:val="32"/>
          <w:szCs w:val="32"/>
          <w:lang w:val="en-US" w:eastAsia="zh-CN" w:bidi="ar-SA"/>
        </w:rPr>
      </w:pPr>
      <w:r>
        <w:rPr>
          <w:rFonts w:hint="eastAsia" w:ascii="黑体" w:hAnsi="Arial" w:eastAsia="黑体" w:cs="Arial"/>
          <w:sz w:val="32"/>
          <w:szCs w:val="32"/>
          <w:lang w:val="en-US" w:eastAsia="zh-CN" w:bidi="ar-SA"/>
        </w:rPr>
        <w:t>附件3</w:t>
      </w:r>
    </w:p>
    <w:p>
      <w:pPr>
        <w:keepNext w:val="0"/>
        <w:keepLines w:val="0"/>
        <w:pageBreakBefore w:val="0"/>
        <w:widowControl w:val="0"/>
        <w:kinsoku/>
        <w:wordWrap/>
        <w:overflowPunct/>
        <w:topLinePunct w:val="0"/>
        <w:autoSpaceDE/>
        <w:autoSpaceDN/>
        <w:bidi w:val="0"/>
        <w:adjustRightInd/>
        <w:snapToGrid w:val="0"/>
        <w:spacing w:line="560" w:lineRule="atLeast"/>
        <w:ind w:left="1120" w:hanging="1120" w:hangingChars="350"/>
        <w:textAlignment w:val="auto"/>
        <w:outlineLvl w:val="9"/>
        <w:rPr>
          <w:rFonts w:hint="eastAsia" w:ascii="黑体" w:hAnsi="Arial" w:eastAsia="黑体" w:cs="Arial"/>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240" w:lineRule="exact"/>
        <w:ind w:left="0" w:hanging="1120" w:hangingChars="350"/>
        <w:textAlignment w:val="auto"/>
        <w:outlineLvl w:val="9"/>
        <w:rPr>
          <w:rFonts w:hint="eastAsia" w:ascii="黑体" w:hAnsi="Arial" w:eastAsia="黑体" w:cs="Arial"/>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560" w:lineRule="atLeast"/>
        <w:ind w:left="1260" w:hanging="1400" w:hangingChars="350"/>
        <w:jc w:val="center"/>
        <w:textAlignment w:val="auto"/>
        <w:outlineLvl w:val="9"/>
        <w:rPr>
          <w:rFonts w:hint="eastAsia" w:ascii="方正小标宋简体" w:hAnsi="黑体" w:eastAsia="方正小标宋简体" w:cs="Arial"/>
          <w:sz w:val="40"/>
          <w:szCs w:val="40"/>
          <w:lang w:val="en-US" w:eastAsia="zh-CN" w:bidi="ar-SA"/>
        </w:rPr>
      </w:pPr>
      <w:bookmarkStart w:id="0" w:name="_GoBack"/>
      <w:r>
        <w:rPr>
          <w:rFonts w:hint="eastAsia" w:ascii="方正小标宋简体" w:hAnsi="黑体" w:eastAsia="方正小标宋简体" w:cs="Arial"/>
          <w:sz w:val="40"/>
          <w:szCs w:val="40"/>
          <w:lang w:val="en-US" w:eastAsia="zh-CN" w:bidi="ar-SA"/>
        </w:rPr>
        <w:t>《福建省工程研究中心评价数据表》及有关说明</w:t>
      </w:r>
    </w:p>
    <w:bookmarkEnd w:id="0"/>
    <w:p>
      <w:pPr>
        <w:keepNext w:val="0"/>
        <w:keepLines w:val="0"/>
        <w:pageBreakBefore w:val="0"/>
        <w:widowControl w:val="0"/>
        <w:kinsoku/>
        <w:wordWrap/>
        <w:overflowPunct/>
        <w:topLinePunct w:val="0"/>
        <w:autoSpaceDE/>
        <w:autoSpaceDN/>
        <w:bidi w:val="0"/>
        <w:adjustRightInd/>
        <w:spacing w:beforeLines="0" w:afterLines="0" w:line="400" w:lineRule="exact"/>
        <w:jc w:val="center"/>
        <w:textAlignment w:val="auto"/>
        <w:outlineLvl w:val="9"/>
        <w:rPr>
          <w:rFonts w:hint="eastAsia" w:ascii="FZXBSK--GBK1-0" w:hAnsi="FZXBSK--GBK1-0" w:eastAsia="FZXBSK--GBK1-0"/>
          <w:sz w:val="40"/>
        </w:rPr>
      </w:pPr>
    </w:p>
    <w:p>
      <w:pPr>
        <w:keepNext w:val="0"/>
        <w:keepLines w:val="0"/>
        <w:pageBreakBefore w:val="0"/>
        <w:widowControl w:val="0"/>
        <w:kinsoku/>
        <w:wordWrap/>
        <w:overflowPunct/>
        <w:topLinePunct w:val="0"/>
        <w:autoSpaceDE/>
        <w:autoSpaceDN/>
        <w:bidi w:val="0"/>
        <w:adjustRightInd/>
        <w:spacing w:beforeLines="0" w:afterLines="0"/>
        <w:ind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一、福建省工程研究中心评价数据表</w:t>
      </w:r>
    </w:p>
    <w:tbl>
      <w:tblPr>
        <w:tblStyle w:val="3"/>
        <w:tblW w:w="0" w:type="auto"/>
        <w:tblInd w:w="-25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30"/>
        <w:gridCol w:w="1108"/>
        <w:gridCol w:w="76"/>
        <w:gridCol w:w="1524"/>
        <w:gridCol w:w="528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9222" w:type="dxa"/>
            <w:gridSpan w:val="5"/>
            <w:noWrap w:val="0"/>
            <w:vAlign w:val="top"/>
          </w:tcPr>
          <w:p>
            <w:pPr>
              <w:pStyle w:val="5"/>
              <w:keepNext w:val="0"/>
              <w:keepLines w:val="0"/>
              <w:pageBreakBefore w:val="0"/>
              <w:widowControl w:val="0"/>
              <w:kinsoku/>
              <w:wordWrap/>
              <w:overflowPunct/>
              <w:topLinePunct w:val="0"/>
              <w:autoSpaceDE/>
              <w:autoSpaceDN/>
              <w:bidi w:val="0"/>
              <w:adjustRightInd/>
              <w:spacing w:before="94"/>
              <w:ind w:left="0" w:firstLine="0" w:firstLineChars="0"/>
              <w:textAlignment w:val="auto"/>
              <w:outlineLvl w:val="9"/>
              <w:rPr>
                <w:rFonts w:hint="eastAsia" w:ascii="宋体" w:hAnsi="宋体" w:eastAsia="宋体" w:cs="宋体"/>
                <w:sz w:val="24"/>
                <w:szCs w:val="24"/>
              </w:rPr>
            </w:pPr>
            <w:r>
              <w:rPr>
                <w:rFonts w:hint="eastAsia" w:ascii="宋体" w:hAnsi="宋体" w:eastAsia="宋体" w:cs="宋体"/>
                <w:b/>
                <w:bCs/>
                <w:sz w:val="24"/>
                <w:szCs w:val="24"/>
              </w:rPr>
              <w:t>★基本信息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exact"/>
        </w:trPr>
        <w:tc>
          <w:tcPr>
            <w:tcW w:w="3938" w:type="dxa"/>
            <w:gridSpan w:val="4"/>
            <w:tcBorders>
              <w:bottom w:val="single" w:color="000000" w:sz="4" w:space="0"/>
              <w:right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before="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福建省工程研究中心名称</w:t>
            </w:r>
          </w:p>
        </w:tc>
        <w:tc>
          <w:tcPr>
            <w:tcW w:w="5284" w:type="dxa"/>
            <w:tcBorders>
              <w:left w:val="single" w:color="000000" w:sz="4" w:space="0"/>
              <w:bottom w:val="single" w:color="000000" w:sz="4" w:space="0"/>
            </w:tcBorders>
            <w:noWrap w:val="0"/>
            <w:vAlign w:val="top"/>
          </w:tcPr>
          <w:p>
            <w:pPr>
              <w:pStyle w:val="5"/>
              <w:keepNext w:val="0"/>
              <w:keepLines w:val="0"/>
              <w:pageBreakBefore w:val="0"/>
              <w:widowControl w:val="0"/>
              <w:kinsoku/>
              <w:wordWrap/>
              <w:overflowPunct/>
              <w:topLinePunct w:val="0"/>
              <w:autoSpaceDE/>
              <w:autoSpaceDN/>
              <w:bidi w:val="0"/>
              <w:adjustRightInd/>
              <w:jc w:val="center"/>
              <w:textAlignment w:val="auto"/>
              <w:outlineLvl w:val="9"/>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3" w:hRule="atLeast"/>
        </w:trPr>
        <w:tc>
          <w:tcPr>
            <w:tcW w:w="3938" w:type="dxa"/>
            <w:gridSpan w:val="4"/>
            <w:tcBorders>
              <w:top w:val="single" w:color="000000" w:sz="4" w:space="0"/>
              <w:bottom w:val="single" w:color="000000" w:sz="4" w:space="0"/>
              <w:right w:val="single" w:color="000000" w:sz="4" w:space="0"/>
            </w:tcBorders>
            <w:noWrap w:val="0"/>
            <w:vAlign w:val="top"/>
          </w:tcPr>
          <w:p>
            <w:pPr>
              <w:pStyle w:val="5"/>
              <w:keepNext w:val="0"/>
              <w:keepLines w:val="0"/>
              <w:pageBreakBefore w:val="0"/>
              <w:widowControl w:val="0"/>
              <w:kinsoku/>
              <w:wordWrap/>
              <w:overflowPunct/>
              <w:topLinePunct w:val="0"/>
              <w:autoSpaceDE/>
              <w:autoSpaceDN/>
              <w:bidi w:val="0"/>
              <w:adjustRightInd/>
              <w:spacing w:before="149"/>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批复时间及文号</w:t>
            </w:r>
          </w:p>
        </w:tc>
        <w:tc>
          <w:tcPr>
            <w:tcW w:w="5284" w:type="dxa"/>
            <w:tcBorders>
              <w:top w:val="single" w:color="000000" w:sz="4" w:space="0"/>
              <w:left w:val="single" w:color="000000" w:sz="4" w:space="0"/>
              <w:bottom w:val="single" w:color="000000" w:sz="4" w:space="0"/>
            </w:tcBorders>
            <w:noWrap w:val="0"/>
            <w:vAlign w:val="top"/>
          </w:tcPr>
          <w:p>
            <w:pPr>
              <w:pStyle w:val="5"/>
              <w:keepNext w:val="0"/>
              <w:keepLines w:val="0"/>
              <w:pageBreakBefore w:val="0"/>
              <w:widowControl w:val="0"/>
              <w:kinsoku/>
              <w:wordWrap/>
              <w:overflowPunct/>
              <w:topLinePunct w:val="0"/>
              <w:autoSpaceDE/>
              <w:autoSpaceDN/>
              <w:bidi w:val="0"/>
              <w:adjustRightInd/>
              <w:jc w:val="center"/>
              <w:textAlignment w:val="auto"/>
              <w:outlineLvl w:val="9"/>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6" w:hRule="atLeast"/>
        </w:trPr>
        <w:tc>
          <w:tcPr>
            <w:tcW w:w="3938" w:type="dxa"/>
            <w:gridSpan w:val="4"/>
            <w:tcBorders>
              <w:top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ind w:right="86"/>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运行模式</w:t>
            </w:r>
          </w:p>
        </w:tc>
        <w:tc>
          <w:tcPr>
            <w:tcW w:w="5284" w:type="dxa"/>
            <w:tcBorders>
              <w:top w:val="single" w:color="000000" w:sz="4" w:space="0"/>
              <w:left w:val="single" w:color="000000" w:sz="4" w:space="0"/>
              <w:bottom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before="0" w:line="400" w:lineRule="exact"/>
              <w:ind w:left="119"/>
              <w:jc w:val="both"/>
              <w:textAlignment w:val="auto"/>
              <w:outlineLvl w:val="9"/>
              <w:rPr>
                <w:rFonts w:hint="eastAsia" w:cs="宋体"/>
                <w:sz w:val="24"/>
                <w:szCs w:val="24"/>
                <w:lang w:val="en-US" w:eastAsia="zh-CN"/>
              </w:rPr>
            </w:pPr>
            <w:r>
              <w:rPr>
                <w:rFonts w:hint="eastAsia" w:ascii="宋体" w:hAnsi="宋体" w:eastAsia="宋体" w:cs="宋体"/>
                <w:sz w:val="24"/>
                <w:szCs w:val="24"/>
              </w:rPr>
              <w:t>□法人实体</w:t>
            </w:r>
            <w:r>
              <w:rPr>
                <w:rFonts w:hint="eastAsia" w:cs="宋体"/>
                <w:sz w:val="24"/>
                <w:szCs w:val="24"/>
                <w:lang w:val="en-US" w:eastAsia="zh-CN"/>
              </w:rPr>
              <w:t xml:space="preserve">  </w:t>
            </w:r>
          </w:p>
          <w:p>
            <w:pPr>
              <w:pStyle w:val="5"/>
              <w:keepNext w:val="0"/>
              <w:keepLines w:val="0"/>
              <w:pageBreakBefore w:val="0"/>
              <w:widowControl w:val="0"/>
              <w:kinsoku/>
              <w:wordWrap/>
              <w:overflowPunct/>
              <w:topLinePunct w:val="0"/>
              <w:autoSpaceDE/>
              <w:autoSpaceDN/>
              <w:bidi w:val="0"/>
              <w:adjustRightInd/>
              <w:spacing w:before="0" w:line="400" w:lineRule="exact"/>
              <w:ind w:left="119"/>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□非法人实</w:t>
            </w:r>
            <w:r>
              <w:rPr>
                <w:rFonts w:hint="eastAsia" w:ascii="宋体" w:hAnsi="宋体" w:eastAsia="宋体" w:cs="宋体"/>
                <w:spacing w:val="-8"/>
                <w:sz w:val="24"/>
                <w:szCs w:val="24"/>
              </w:rPr>
              <w:t>体</w:t>
            </w:r>
            <w:r>
              <w:rPr>
                <w:rFonts w:hint="eastAsia" w:ascii="宋体" w:hAnsi="宋体" w:eastAsia="宋体" w:cs="宋体"/>
                <w:sz w:val="24"/>
                <w:szCs w:val="24"/>
              </w:rPr>
              <w:t>（依托单位：</w:t>
            </w:r>
            <w:r>
              <w:rPr>
                <w:rFonts w:hint="eastAsia" w:ascii="宋体" w:hAnsi="宋体" w:eastAsia="宋体" w:cs="宋体"/>
                <w:sz w:val="24"/>
                <w:szCs w:val="24"/>
              </w:rPr>
              <w:tab/>
            </w:r>
            <w:r>
              <w:rPr>
                <w:rFonts w:hint="eastAsia" w:cs="宋体"/>
                <w:sz w:val="24"/>
                <w:szCs w:val="24"/>
                <w:lang w:val="en-US" w:eastAsia="zh-CN"/>
              </w:rPr>
              <w:t xml:space="preserve">              </w:t>
            </w:r>
            <w:r>
              <w:rPr>
                <w:rFonts w:hint="eastAsia" w:ascii="宋体" w:hAnsi="宋体" w:eastAsia="宋体" w:cs="宋体"/>
                <w:spacing w:val="-17"/>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3" w:hRule="atLeast"/>
        </w:trPr>
        <w:tc>
          <w:tcPr>
            <w:tcW w:w="3938" w:type="dxa"/>
            <w:gridSpan w:val="4"/>
            <w:tcBorders>
              <w:top w:val="single" w:color="000000" w:sz="4" w:space="0"/>
              <w:bottom w:val="single" w:color="000000" w:sz="4" w:space="0"/>
              <w:right w:val="single" w:color="000000" w:sz="4" w:space="0"/>
            </w:tcBorders>
            <w:noWrap w:val="0"/>
            <w:vAlign w:val="top"/>
          </w:tcPr>
          <w:p>
            <w:pPr>
              <w:pStyle w:val="5"/>
              <w:keepNext w:val="0"/>
              <w:keepLines w:val="0"/>
              <w:pageBreakBefore w:val="0"/>
              <w:widowControl w:val="0"/>
              <w:kinsoku/>
              <w:wordWrap/>
              <w:overflowPunct/>
              <w:topLinePunct w:val="0"/>
              <w:autoSpaceDE/>
              <w:autoSpaceDN/>
              <w:bidi w:val="0"/>
              <w:adjustRightInd/>
              <w:spacing w:before="95"/>
              <w:ind w:right="86"/>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评价期</w:t>
            </w:r>
          </w:p>
        </w:tc>
        <w:tc>
          <w:tcPr>
            <w:tcW w:w="5284" w:type="dxa"/>
            <w:tcBorders>
              <w:top w:val="single" w:color="000000" w:sz="4" w:space="0"/>
              <w:left w:val="single" w:color="000000" w:sz="4" w:space="0"/>
              <w:bottom w:val="single" w:color="000000" w:sz="4" w:space="0"/>
            </w:tcBorders>
            <w:noWrap w:val="0"/>
            <w:vAlign w:val="top"/>
          </w:tcPr>
          <w:p>
            <w:pPr>
              <w:pStyle w:val="5"/>
              <w:keepNext w:val="0"/>
              <w:keepLines w:val="0"/>
              <w:pageBreakBefore w:val="0"/>
              <w:widowControl w:val="0"/>
              <w:kinsoku/>
              <w:wordWrap/>
              <w:overflowPunct/>
              <w:topLinePunct w:val="0"/>
              <w:autoSpaceDE/>
              <w:autoSpaceDN/>
              <w:bidi w:val="0"/>
              <w:adjustRightInd/>
              <w:jc w:val="center"/>
              <w:textAlignment w:val="auto"/>
              <w:outlineLvl w:val="9"/>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3938" w:type="dxa"/>
            <w:gridSpan w:val="4"/>
            <w:tcBorders>
              <w:top w:val="single" w:color="000000" w:sz="4" w:space="0"/>
              <w:bottom w:val="single" w:color="000000" w:sz="4" w:space="0"/>
              <w:right w:val="single" w:color="000000" w:sz="4" w:space="0"/>
            </w:tcBorders>
            <w:noWrap w:val="0"/>
            <w:vAlign w:val="top"/>
          </w:tcPr>
          <w:p>
            <w:pPr>
              <w:pStyle w:val="5"/>
              <w:keepNext w:val="0"/>
              <w:keepLines w:val="0"/>
              <w:pageBreakBefore w:val="0"/>
              <w:widowControl w:val="0"/>
              <w:kinsoku/>
              <w:wordWrap/>
              <w:overflowPunct/>
              <w:topLinePunct w:val="0"/>
              <w:autoSpaceDE/>
              <w:autoSpaceDN/>
              <w:bidi w:val="0"/>
              <w:adjustRightInd/>
              <w:spacing w:before="95"/>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行业领域、行业细分领域</w:t>
            </w:r>
          </w:p>
        </w:tc>
        <w:tc>
          <w:tcPr>
            <w:tcW w:w="5284" w:type="dxa"/>
            <w:tcBorders>
              <w:top w:val="single" w:color="000000" w:sz="4" w:space="0"/>
              <w:left w:val="single" w:color="000000" w:sz="4" w:space="0"/>
              <w:bottom w:val="single" w:color="000000" w:sz="4" w:space="0"/>
            </w:tcBorders>
            <w:noWrap w:val="0"/>
            <w:vAlign w:val="top"/>
          </w:tcPr>
          <w:p>
            <w:pPr>
              <w:pStyle w:val="5"/>
              <w:keepNext w:val="0"/>
              <w:keepLines w:val="0"/>
              <w:pageBreakBefore w:val="0"/>
              <w:widowControl w:val="0"/>
              <w:kinsoku/>
              <w:wordWrap/>
              <w:overflowPunct/>
              <w:topLinePunct w:val="0"/>
              <w:autoSpaceDE/>
              <w:autoSpaceDN/>
              <w:bidi w:val="0"/>
              <w:adjustRightInd/>
              <w:jc w:val="center"/>
              <w:textAlignment w:val="auto"/>
              <w:outlineLvl w:val="9"/>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3938" w:type="dxa"/>
            <w:gridSpan w:val="4"/>
            <w:tcBorders>
              <w:top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before="0" w:beforeLines="0" w:afterLines="0"/>
              <w:ind w:right="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战略性新兴产业行业领域、细分领域</w:t>
            </w:r>
          </w:p>
        </w:tc>
        <w:tc>
          <w:tcPr>
            <w:tcW w:w="5284" w:type="dxa"/>
            <w:tcBorders>
              <w:top w:val="single" w:color="000000" w:sz="4" w:space="0"/>
              <w:left w:val="single" w:color="000000" w:sz="4" w:space="0"/>
              <w:bottom w:val="single" w:color="000000" w:sz="4" w:space="0"/>
            </w:tcBorders>
            <w:noWrap w:val="0"/>
            <w:vAlign w:val="top"/>
          </w:tcPr>
          <w:p>
            <w:pPr>
              <w:pStyle w:val="5"/>
              <w:keepNext w:val="0"/>
              <w:keepLines w:val="0"/>
              <w:pageBreakBefore w:val="0"/>
              <w:widowControl w:val="0"/>
              <w:kinsoku/>
              <w:wordWrap/>
              <w:overflowPunct/>
              <w:topLinePunct w:val="0"/>
              <w:autoSpaceDE/>
              <w:autoSpaceDN/>
              <w:bidi w:val="0"/>
              <w:adjustRightInd/>
              <w:jc w:val="center"/>
              <w:textAlignment w:val="auto"/>
              <w:outlineLvl w:val="9"/>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2338" w:type="dxa"/>
            <w:gridSpan w:val="2"/>
            <w:vMerge w:val="restart"/>
            <w:tcBorders>
              <w:top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before="0" w:beforeLines="0" w:afterLines="0" w:line="240" w:lineRule="auto"/>
              <w:ind w:right="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工程研究中心负责人</w:t>
            </w:r>
          </w:p>
        </w:tc>
        <w:tc>
          <w:tcPr>
            <w:tcW w:w="160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before="96"/>
              <w:ind w:right="86"/>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姓名</w:t>
            </w:r>
          </w:p>
        </w:tc>
        <w:tc>
          <w:tcPr>
            <w:tcW w:w="5284" w:type="dxa"/>
            <w:tcBorders>
              <w:top w:val="single" w:color="000000" w:sz="4" w:space="0"/>
              <w:left w:val="single" w:color="000000" w:sz="4" w:space="0"/>
              <w:bottom w:val="single" w:color="000000" w:sz="4" w:space="0"/>
            </w:tcBorders>
            <w:noWrap w:val="0"/>
            <w:vAlign w:val="top"/>
          </w:tcPr>
          <w:p>
            <w:pPr>
              <w:pStyle w:val="5"/>
              <w:keepNext w:val="0"/>
              <w:keepLines w:val="0"/>
              <w:pageBreakBefore w:val="0"/>
              <w:widowControl w:val="0"/>
              <w:kinsoku/>
              <w:wordWrap/>
              <w:overflowPunct/>
              <w:topLinePunct w:val="0"/>
              <w:autoSpaceDE/>
              <w:autoSpaceDN/>
              <w:bidi w:val="0"/>
              <w:adjustRightInd/>
              <w:jc w:val="center"/>
              <w:textAlignment w:val="auto"/>
              <w:outlineLvl w:val="9"/>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2338" w:type="dxa"/>
            <w:gridSpan w:val="2"/>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jc w:val="center"/>
              <w:textAlignment w:val="auto"/>
              <w:outlineLvl w:val="9"/>
              <w:rPr>
                <w:rFonts w:hint="eastAsia" w:ascii="宋体" w:hAnsi="宋体" w:eastAsia="宋体" w:cs="宋体"/>
                <w:sz w:val="24"/>
                <w:szCs w:val="24"/>
                <w:lang w:val="zh-CN" w:eastAsia="zh-CN" w:bidi="zh-CN"/>
              </w:rPr>
            </w:pPr>
          </w:p>
        </w:tc>
        <w:tc>
          <w:tcPr>
            <w:tcW w:w="160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before="95"/>
              <w:ind w:right="86"/>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联系电话</w:t>
            </w:r>
          </w:p>
        </w:tc>
        <w:tc>
          <w:tcPr>
            <w:tcW w:w="5284" w:type="dxa"/>
            <w:tcBorders>
              <w:top w:val="single" w:color="000000" w:sz="4" w:space="0"/>
              <w:left w:val="single" w:color="000000" w:sz="4" w:space="0"/>
              <w:bottom w:val="single" w:color="000000" w:sz="4" w:space="0"/>
            </w:tcBorders>
            <w:noWrap w:val="0"/>
            <w:vAlign w:val="top"/>
          </w:tcPr>
          <w:p>
            <w:pPr>
              <w:pStyle w:val="5"/>
              <w:keepNext w:val="0"/>
              <w:keepLines w:val="0"/>
              <w:pageBreakBefore w:val="0"/>
              <w:widowControl w:val="0"/>
              <w:kinsoku/>
              <w:wordWrap/>
              <w:overflowPunct/>
              <w:topLinePunct w:val="0"/>
              <w:autoSpaceDE/>
              <w:autoSpaceDN/>
              <w:bidi w:val="0"/>
              <w:adjustRightInd/>
              <w:jc w:val="center"/>
              <w:textAlignment w:val="auto"/>
              <w:outlineLvl w:val="9"/>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8" w:hRule="atLeast"/>
        </w:trPr>
        <w:tc>
          <w:tcPr>
            <w:tcW w:w="2338" w:type="dxa"/>
            <w:gridSpan w:val="2"/>
            <w:vMerge w:val="restart"/>
            <w:tcBorders>
              <w:top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before="0" w:beforeLines="0" w:afterLines="0" w:line="240" w:lineRule="auto"/>
              <w:ind w:right="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工程研究中心联系人</w:t>
            </w:r>
          </w:p>
        </w:tc>
        <w:tc>
          <w:tcPr>
            <w:tcW w:w="160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before="94"/>
              <w:ind w:right="86"/>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姓名</w:t>
            </w:r>
          </w:p>
        </w:tc>
        <w:tc>
          <w:tcPr>
            <w:tcW w:w="5284" w:type="dxa"/>
            <w:tcBorders>
              <w:top w:val="single" w:color="000000" w:sz="4" w:space="0"/>
              <w:left w:val="single" w:color="000000" w:sz="4" w:space="0"/>
              <w:bottom w:val="single" w:color="000000" w:sz="4" w:space="0"/>
            </w:tcBorders>
            <w:noWrap w:val="0"/>
            <w:vAlign w:val="top"/>
          </w:tcPr>
          <w:p>
            <w:pPr>
              <w:pStyle w:val="5"/>
              <w:keepNext w:val="0"/>
              <w:keepLines w:val="0"/>
              <w:pageBreakBefore w:val="0"/>
              <w:widowControl w:val="0"/>
              <w:kinsoku/>
              <w:wordWrap/>
              <w:overflowPunct/>
              <w:topLinePunct w:val="0"/>
              <w:autoSpaceDE/>
              <w:autoSpaceDN/>
              <w:bidi w:val="0"/>
              <w:adjustRightInd/>
              <w:jc w:val="center"/>
              <w:textAlignment w:val="auto"/>
              <w:outlineLvl w:val="9"/>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trPr>
        <w:tc>
          <w:tcPr>
            <w:tcW w:w="2338" w:type="dxa"/>
            <w:gridSpan w:val="2"/>
            <w:vMerge w:val="continue"/>
            <w:tcBorders>
              <w:top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jc w:val="center"/>
              <w:textAlignment w:val="auto"/>
              <w:outlineLvl w:val="9"/>
              <w:rPr>
                <w:rFonts w:hint="eastAsia" w:ascii="宋体" w:hAnsi="宋体" w:eastAsia="宋体" w:cs="宋体"/>
                <w:sz w:val="24"/>
                <w:szCs w:val="24"/>
              </w:rPr>
            </w:pPr>
          </w:p>
        </w:tc>
        <w:tc>
          <w:tcPr>
            <w:tcW w:w="160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before="96"/>
              <w:ind w:right="86"/>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联系电话</w:t>
            </w:r>
          </w:p>
        </w:tc>
        <w:tc>
          <w:tcPr>
            <w:tcW w:w="5284" w:type="dxa"/>
            <w:tcBorders>
              <w:top w:val="single" w:color="000000" w:sz="4" w:space="0"/>
              <w:left w:val="single" w:color="000000" w:sz="4" w:space="0"/>
              <w:bottom w:val="single" w:color="000000" w:sz="4" w:space="0"/>
            </w:tcBorders>
            <w:noWrap w:val="0"/>
            <w:vAlign w:val="top"/>
          </w:tcPr>
          <w:p>
            <w:pPr>
              <w:pStyle w:val="5"/>
              <w:keepNext w:val="0"/>
              <w:keepLines w:val="0"/>
              <w:pageBreakBefore w:val="0"/>
              <w:widowControl w:val="0"/>
              <w:kinsoku/>
              <w:wordWrap/>
              <w:overflowPunct/>
              <w:topLinePunct w:val="0"/>
              <w:autoSpaceDE/>
              <w:autoSpaceDN/>
              <w:bidi w:val="0"/>
              <w:adjustRightInd/>
              <w:jc w:val="center"/>
              <w:textAlignment w:val="auto"/>
              <w:outlineLvl w:val="9"/>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3938" w:type="dxa"/>
            <w:gridSpan w:val="4"/>
            <w:tcBorders>
              <w:top w:val="single" w:color="000000" w:sz="4" w:space="0"/>
              <w:bottom w:val="single" w:color="000000" w:sz="4" w:space="0"/>
              <w:right w:val="single" w:color="000000" w:sz="4" w:space="0"/>
            </w:tcBorders>
            <w:noWrap w:val="0"/>
            <w:vAlign w:val="top"/>
          </w:tcPr>
          <w:p>
            <w:pPr>
              <w:pStyle w:val="5"/>
              <w:keepNext w:val="0"/>
              <w:keepLines w:val="0"/>
              <w:pageBreakBefore w:val="0"/>
              <w:widowControl w:val="0"/>
              <w:kinsoku/>
              <w:wordWrap/>
              <w:overflowPunct/>
              <w:topLinePunct w:val="0"/>
              <w:autoSpaceDE/>
              <w:autoSpaceDN/>
              <w:bidi w:val="0"/>
              <w:adjustRightInd/>
              <w:spacing w:before="95"/>
              <w:ind w:right="86"/>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电子邮件</w:t>
            </w:r>
          </w:p>
        </w:tc>
        <w:tc>
          <w:tcPr>
            <w:tcW w:w="5284" w:type="dxa"/>
            <w:tcBorders>
              <w:top w:val="single" w:color="000000" w:sz="4" w:space="0"/>
              <w:left w:val="single" w:color="000000" w:sz="4" w:space="0"/>
              <w:bottom w:val="single" w:color="000000" w:sz="4" w:space="0"/>
            </w:tcBorders>
            <w:noWrap w:val="0"/>
            <w:vAlign w:val="top"/>
          </w:tcPr>
          <w:p>
            <w:pPr>
              <w:pStyle w:val="5"/>
              <w:keepNext w:val="0"/>
              <w:keepLines w:val="0"/>
              <w:pageBreakBefore w:val="0"/>
              <w:widowControl w:val="0"/>
              <w:kinsoku/>
              <w:wordWrap/>
              <w:overflowPunct/>
              <w:topLinePunct w:val="0"/>
              <w:autoSpaceDE/>
              <w:autoSpaceDN/>
              <w:bidi w:val="0"/>
              <w:adjustRightInd/>
              <w:jc w:val="center"/>
              <w:textAlignment w:val="auto"/>
              <w:outlineLvl w:val="9"/>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3938" w:type="dxa"/>
            <w:gridSpan w:val="4"/>
            <w:tcBorders>
              <w:top w:val="single" w:color="000000" w:sz="4" w:space="0"/>
              <w:bottom w:val="single" w:color="000000" w:sz="4" w:space="0"/>
              <w:right w:val="single" w:color="000000" w:sz="4" w:space="0"/>
            </w:tcBorders>
            <w:noWrap w:val="0"/>
            <w:vAlign w:val="top"/>
          </w:tcPr>
          <w:p>
            <w:pPr>
              <w:pStyle w:val="5"/>
              <w:keepNext w:val="0"/>
              <w:keepLines w:val="0"/>
              <w:pageBreakBefore w:val="0"/>
              <w:widowControl w:val="0"/>
              <w:kinsoku/>
              <w:wordWrap/>
              <w:overflowPunct/>
              <w:topLinePunct w:val="0"/>
              <w:autoSpaceDE/>
              <w:autoSpaceDN/>
              <w:bidi w:val="0"/>
              <w:adjustRightInd/>
              <w:spacing w:before="94"/>
              <w:ind w:right="86"/>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传真</w:t>
            </w:r>
          </w:p>
        </w:tc>
        <w:tc>
          <w:tcPr>
            <w:tcW w:w="5284" w:type="dxa"/>
            <w:tcBorders>
              <w:top w:val="single" w:color="000000" w:sz="4" w:space="0"/>
              <w:left w:val="single" w:color="000000" w:sz="4" w:space="0"/>
              <w:bottom w:val="single" w:color="000000" w:sz="4" w:space="0"/>
            </w:tcBorders>
            <w:noWrap w:val="0"/>
            <w:vAlign w:val="top"/>
          </w:tcPr>
          <w:p>
            <w:pPr>
              <w:pStyle w:val="5"/>
              <w:keepNext w:val="0"/>
              <w:keepLines w:val="0"/>
              <w:pageBreakBefore w:val="0"/>
              <w:widowControl w:val="0"/>
              <w:kinsoku/>
              <w:wordWrap/>
              <w:overflowPunct/>
              <w:topLinePunct w:val="0"/>
              <w:autoSpaceDE/>
              <w:autoSpaceDN/>
              <w:bidi w:val="0"/>
              <w:adjustRightInd/>
              <w:jc w:val="center"/>
              <w:textAlignment w:val="auto"/>
              <w:outlineLvl w:val="9"/>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3938" w:type="dxa"/>
            <w:gridSpan w:val="4"/>
            <w:tcBorders>
              <w:top w:val="single" w:color="000000" w:sz="4" w:space="0"/>
              <w:right w:val="single" w:color="000000" w:sz="4" w:space="0"/>
            </w:tcBorders>
            <w:noWrap w:val="0"/>
            <w:vAlign w:val="top"/>
          </w:tcPr>
          <w:p>
            <w:pPr>
              <w:pStyle w:val="5"/>
              <w:keepNext w:val="0"/>
              <w:keepLines w:val="0"/>
              <w:pageBreakBefore w:val="0"/>
              <w:widowControl w:val="0"/>
              <w:kinsoku/>
              <w:wordWrap/>
              <w:overflowPunct/>
              <w:topLinePunct w:val="0"/>
              <w:autoSpaceDE/>
              <w:autoSpaceDN/>
              <w:bidi w:val="0"/>
              <w:adjustRightInd/>
              <w:spacing w:before="96"/>
              <w:jc w:val="center"/>
              <w:textAlignment w:val="auto"/>
              <w:outlineLvl w:val="9"/>
              <w:rPr>
                <w:rFonts w:hint="eastAsia" w:ascii="宋体" w:hAnsi="宋体" w:eastAsia="宋体" w:cs="宋体"/>
                <w:sz w:val="24"/>
                <w:szCs w:val="24"/>
              </w:rPr>
            </w:pPr>
            <w:r>
              <w:rPr>
                <w:rFonts w:hint="eastAsia" w:ascii="宋体" w:hAnsi="宋体" w:eastAsia="宋体" w:cs="宋体"/>
                <w:sz w:val="24"/>
                <w:szCs w:val="24"/>
                <w:shd w:val="clear" w:color="auto" w:fill="auto"/>
              </w:rPr>
              <w:t>福建省工程研究中心网址</w:t>
            </w:r>
          </w:p>
        </w:tc>
        <w:tc>
          <w:tcPr>
            <w:tcW w:w="5284" w:type="dxa"/>
            <w:tcBorders>
              <w:top w:val="single" w:color="000000" w:sz="4" w:space="0"/>
              <w:left w:val="single" w:color="000000" w:sz="4" w:space="0"/>
            </w:tcBorders>
            <w:noWrap w:val="0"/>
            <w:vAlign w:val="top"/>
          </w:tcPr>
          <w:p>
            <w:pPr>
              <w:pStyle w:val="5"/>
              <w:keepNext w:val="0"/>
              <w:keepLines w:val="0"/>
              <w:pageBreakBefore w:val="0"/>
              <w:widowControl w:val="0"/>
              <w:kinsoku/>
              <w:wordWrap/>
              <w:overflowPunct/>
              <w:topLinePunct w:val="0"/>
              <w:autoSpaceDE/>
              <w:autoSpaceDN/>
              <w:bidi w:val="0"/>
              <w:adjustRightInd/>
              <w:jc w:val="center"/>
              <w:textAlignment w:val="auto"/>
              <w:outlineLvl w:val="9"/>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8" w:hRule="atLeast"/>
        </w:trPr>
        <w:tc>
          <w:tcPr>
            <w:tcW w:w="9222" w:type="dxa"/>
            <w:gridSpan w:val="5"/>
            <w:tcBorders>
              <w:top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ind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★评价体系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230" w:type="dxa"/>
            <w:tcBorders>
              <w:top w:val="single" w:color="auto" w:sz="12" w:space="0"/>
              <w:left w:val="single" w:color="auto" w:sz="12" w:space="0"/>
              <w:bottom w:val="single" w:color="auto" w:sz="12" w:space="0"/>
            </w:tcBorders>
            <w:noWrap w:val="0"/>
            <w:vAlign w:val="center"/>
          </w:tcPr>
          <w:p>
            <w:r>
              <w:rPr>
                <w:rFonts w:hint="eastAsia" w:ascii="宋体" w:hAnsi="宋体" w:eastAsia="宋体" w:cs="宋体"/>
                <w:color w:val="000000"/>
                <w:sz w:val="21"/>
                <w:szCs w:val="21"/>
              </w:rPr>
              <w:t>一级指标</w:t>
            </w:r>
          </w:p>
          <w:p>
            <w:pPr>
              <w:widowControl/>
              <w:spacing w:line="320" w:lineRule="exact"/>
              <w:ind w:left="-105" w:leftChars="-50" w:right="-105" w:rightChars="-50"/>
              <w:jc w:val="center"/>
              <w:rPr>
                <w:rFonts w:hint="eastAsia" w:ascii="宋体" w:hAnsi="宋体" w:eastAsia="宋体" w:cs="宋体"/>
                <w:color w:val="000000"/>
                <w:sz w:val="21"/>
                <w:szCs w:val="21"/>
              </w:rPr>
            </w:pPr>
          </w:p>
        </w:tc>
        <w:tc>
          <w:tcPr>
            <w:tcW w:w="1184" w:type="dxa"/>
            <w:gridSpan w:val="2"/>
            <w:tcBorders>
              <w:top w:val="single" w:color="auto" w:sz="12" w:space="0"/>
              <w:bottom w:val="single" w:color="auto" w:sz="12" w:space="0"/>
            </w:tcBorders>
            <w:noWrap w:val="0"/>
            <w:vAlign w:val="center"/>
          </w:tcPr>
          <w:p>
            <w:r>
              <w:rPr>
                <w:rFonts w:hint="eastAsia" w:ascii="宋体" w:hAnsi="宋体" w:eastAsia="宋体" w:cs="宋体"/>
                <w:color w:val="000000"/>
                <w:sz w:val="21"/>
                <w:szCs w:val="21"/>
              </w:rPr>
              <w:t>二级指标</w:t>
            </w:r>
          </w:p>
          <w:p>
            <w:pPr>
              <w:widowControl/>
              <w:spacing w:line="320" w:lineRule="exact"/>
              <w:ind w:left="-105" w:leftChars="-50" w:right="-105" w:rightChars="-50"/>
              <w:jc w:val="center"/>
              <w:rPr>
                <w:rFonts w:hint="eastAsia" w:ascii="宋体" w:hAnsi="宋体" w:eastAsia="宋体" w:cs="宋体"/>
                <w:color w:val="000000"/>
                <w:sz w:val="21"/>
                <w:szCs w:val="21"/>
                <w:lang w:eastAsia="zh-CN"/>
              </w:rPr>
            </w:pPr>
          </w:p>
        </w:tc>
        <w:tc>
          <w:tcPr>
            <w:tcW w:w="6808" w:type="dxa"/>
            <w:gridSpan w:val="2"/>
            <w:tcBorders>
              <w:top w:val="single" w:color="auto" w:sz="12" w:space="0"/>
              <w:bottom w:val="single" w:color="auto" w:sz="12" w:space="0"/>
              <w:right w:val="single" w:color="auto" w:sz="12" w:space="0"/>
            </w:tcBorders>
            <w:noWrap w:val="0"/>
            <w:vAlign w:val="center"/>
          </w:tcPr>
          <w:p>
            <w:pPr>
              <w:widowControl/>
              <w:spacing w:line="320" w:lineRule="exact"/>
              <w:ind w:left="-105" w:leftChars="-50" w:right="-105"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三级指标</w:t>
            </w:r>
            <w:r>
              <w:rPr>
                <w:rFonts w:hint="eastAsia" w:ascii="宋体" w:hAnsi="宋体" w:eastAsia="宋体" w:cs="宋体"/>
                <w:color w:val="000000"/>
                <w:sz w:val="21"/>
                <w:szCs w:val="21"/>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230" w:type="dxa"/>
            <w:vMerge w:val="restart"/>
            <w:tcBorders>
              <w:top w:val="single" w:color="auto" w:sz="12" w:space="0"/>
              <w:left w:val="single" w:color="auto" w:sz="12" w:space="0"/>
              <w:bottom w:val="single" w:color="auto" w:sz="4" w:space="0"/>
              <w:right w:val="single" w:color="auto" w:sz="4" w:space="0"/>
            </w:tcBorders>
            <w:noWrap w:val="0"/>
            <w:vAlign w:val="center"/>
          </w:tcPr>
          <w:p>
            <w:r>
              <w:rPr>
                <w:rFonts w:hint="eastAsia" w:ascii="宋体" w:hAnsi="宋体" w:eastAsia="宋体" w:cs="宋体"/>
                <w:color w:val="000000"/>
                <w:sz w:val="21"/>
                <w:szCs w:val="21"/>
              </w:rPr>
              <w:t>服务</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lang w:eastAsia="zh-CN"/>
              </w:rPr>
              <w:t>重大</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战略</w:t>
            </w:r>
          </w:p>
          <w:p>
            <w:pPr>
              <w:widowControl/>
              <w:spacing w:line="320" w:lineRule="exact"/>
              <w:ind w:left="-105" w:leftChars="-50" w:right="-105" w:rightChars="-50"/>
              <w:jc w:val="center"/>
              <w:rPr>
                <w:rFonts w:hint="eastAsia" w:ascii="宋体" w:hAnsi="宋体" w:eastAsia="宋体" w:cs="宋体"/>
                <w:color w:val="000000"/>
                <w:sz w:val="21"/>
                <w:szCs w:val="21"/>
              </w:rPr>
            </w:pPr>
          </w:p>
        </w:tc>
        <w:tc>
          <w:tcPr>
            <w:tcW w:w="1184" w:type="dxa"/>
            <w:gridSpan w:val="2"/>
            <w:vMerge w:val="restart"/>
            <w:tcBorders>
              <w:top w:val="single" w:color="auto" w:sz="12" w:space="0"/>
              <w:left w:val="single" w:color="auto" w:sz="4" w:space="0"/>
              <w:bottom w:val="single" w:color="auto" w:sz="4" w:space="0"/>
              <w:right w:val="single" w:color="auto" w:sz="4" w:space="0"/>
            </w:tcBorders>
            <w:noWrap w:val="0"/>
            <w:vAlign w:val="center"/>
          </w:tcPr>
          <w:p>
            <w:r>
              <w:rPr>
                <w:rFonts w:hint="eastAsia" w:ascii="宋体" w:hAnsi="宋体" w:eastAsia="宋体" w:cs="宋体"/>
                <w:color w:val="000000"/>
                <w:sz w:val="21"/>
                <w:szCs w:val="21"/>
              </w:rPr>
              <w:t>行业贡献</w:t>
            </w:r>
          </w:p>
          <w:p>
            <w:pPr>
              <w:widowControl/>
              <w:spacing w:line="320" w:lineRule="exact"/>
              <w:jc w:val="center"/>
              <w:rPr>
                <w:rFonts w:hint="eastAsia" w:ascii="宋体" w:hAnsi="宋体" w:eastAsia="宋体" w:cs="宋体"/>
                <w:color w:val="000000"/>
                <w:sz w:val="21"/>
                <w:szCs w:val="21"/>
                <w:lang w:eastAsia="zh-CN"/>
              </w:rPr>
            </w:pPr>
          </w:p>
        </w:tc>
        <w:tc>
          <w:tcPr>
            <w:tcW w:w="6808" w:type="dxa"/>
            <w:gridSpan w:val="2"/>
            <w:tcBorders>
              <w:top w:val="single" w:color="auto" w:sz="12" w:space="0"/>
              <w:left w:val="single" w:color="auto" w:sz="4" w:space="0"/>
              <w:bottom w:val="single" w:color="auto" w:sz="4" w:space="0"/>
              <w:right w:val="single" w:color="auto" w:sz="12" w:space="0"/>
            </w:tcBorders>
            <w:noWrap w:val="0"/>
            <w:vAlign w:val="center"/>
          </w:tcPr>
          <w:p>
            <w:pPr>
              <w:widowControl/>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对攻克产业关键核心技术的贡献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230"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eastAsia" w:ascii="宋体" w:hAnsi="宋体" w:eastAsia="宋体" w:cs="宋体"/>
                <w:color w:val="00000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color w:val="000000"/>
                <w:sz w:val="21"/>
                <w:szCs w:val="21"/>
              </w:rPr>
            </w:pPr>
          </w:p>
        </w:tc>
        <w:tc>
          <w:tcPr>
            <w:tcW w:w="6808" w:type="dxa"/>
            <w:gridSpan w:val="2"/>
            <w:tcBorders>
              <w:top w:val="single" w:color="auto" w:sz="4" w:space="0"/>
              <w:left w:val="single" w:color="auto" w:sz="4" w:space="0"/>
              <w:bottom w:val="single" w:color="auto" w:sz="4" w:space="0"/>
              <w:right w:val="single" w:color="auto" w:sz="12" w:space="0"/>
            </w:tcBorders>
            <w:noWrap w:val="0"/>
            <w:vAlign w:val="center"/>
          </w:tcPr>
          <w:p>
            <w:pPr>
              <w:widowControl/>
              <w:spacing w:line="28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对支撑国家战略任务和重点工程实施的贡献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230"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eastAsia" w:ascii="宋体" w:hAnsi="宋体" w:eastAsia="宋体" w:cs="宋体"/>
                <w:color w:val="00000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color w:val="000000"/>
                <w:sz w:val="21"/>
                <w:szCs w:val="21"/>
              </w:rPr>
            </w:pPr>
          </w:p>
        </w:tc>
        <w:tc>
          <w:tcPr>
            <w:tcW w:w="6808" w:type="dxa"/>
            <w:gridSpan w:val="2"/>
            <w:tcBorders>
              <w:top w:val="single" w:color="auto" w:sz="4" w:space="0"/>
              <w:left w:val="single" w:color="auto" w:sz="4" w:space="0"/>
              <w:bottom w:val="single" w:color="auto" w:sz="4" w:space="0"/>
              <w:right w:val="single" w:color="auto" w:sz="12" w:space="0"/>
            </w:tcBorders>
            <w:noWrap w:val="0"/>
            <w:vAlign w:val="center"/>
          </w:tcPr>
          <w:p>
            <w:pPr>
              <w:widowControl/>
              <w:spacing w:line="28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对推动技术成果应用和带动产业发展的贡献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0"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eastAsia" w:ascii="宋体" w:hAnsi="宋体" w:eastAsia="宋体" w:cs="宋体"/>
                <w:color w:val="000000"/>
                <w:sz w:val="21"/>
                <w:szCs w:val="21"/>
              </w:rPr>
            </w:pPr>
          </w:p>
        </w:tc>
        <w:tc>
          <w:tcPr>
            <w:tcW w:w="1184" w:type="dxa"/>
            <w:gridSpan w:val="2"/>
            <w:vMerge w:val="restart"/>
            <w:tcBorders>
              <w:top w:val="single" w:color="auto" w:sz="4" w:space="0"/>
              <w:left w:val="single" w:color="auto" w:sz="4" w:space="0"/>
              <w:bottom w:val="single" w:color="auto" w:sz="4" w:space="0"/>
              <w:right w:val="single" w:color="auto" w:sz="4" w:space="0"/>
            </w:tcBorders>
            <w:noWrap w:val="0"/>
            <w:vAlign w:val="center"/>
          </w:tcPr>
          <w:p>
            <w:r>
              <w:rPr>
                <w:rFonts w:hint="eastAsia" w:ascii="宋体" w:hAnsi="宋体" w:eastAsia="宋体" w:cs="宋体"/>
                <w:color w:val="000000"/>
                <w:sz w:val="21"/>
                <w:szCs w:val="21"/>
              </w:rPr>
              <w:t>承担任务</w:t>
            </w:r>
          </w:p>
          <w:p>
            <w:pPr>
              <w:widowControl/>
              <w:spacing w:line="320" w:lineRule="exact"/>
              <w:jc w:val="center"/>
              <w:rPr>
                <w:rFonts w:hint="eastAsia" w:ascii="宋体" w:hAnsi="宋体" w:eastAsia="宋体" w:cs="宋体"/>
                <w:color w:val="000000"/>
                <w:sz w:val="21"/>
                <w:szCs w:val="21"/>
              </w:rPr>
            </w:pPr>
          </w:p>
        </w:tc>
        <w:tc>
          <w:tcPr>
            <w:tcW w:w="6808" w:type="dxa"/>
            <w:gridSpan w:val="2"/>
            <w:tcBorders>
              <w:top w:val="single" w:color="auto" w:sz="4" w:space="0"/>
              <w:left w:val="single" w:color="auto" w:sz="4" w:space="0"/>
              <w:bottom w:val="single" w:color="auto" w:sz="4" w:space="0"/>
              <w:right w:val="single" w:color="auto" w:sz="12" w:space="0"/>
            </w:tcBorders>
            <w:noWrap w:val="0"/>
            <w:vAlign w:val="center"/>
          </w:tcPr>
          <w:p>
            <w:pPr>
              <w:widowControl/>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全部在研项目数（个）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0"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eastAsia" w:ascii="宋体" w:hAnsi="宋体" w:eastAsia="宋体" w:cs="宋体"/>
                <w:color w:val="00000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color w:val="000000"/>
                <w:sz w:val="21"/>
                <w:szCs w:val="21"/>
              </w:rPr>
            </w:pPr>
          </w:p>
        </w:tc>
        <w:tc>
          <w:tcPr>
            <w:tcW w:w="6808" w:type="dxa"/>
            <w:gridSpan w:val="2"/>
            <w:tcBorders>
              <w:top w:val="single" w:color="auto" w:sz="4" w:space="0"/>
              <w:left w:val="single" w:color="auto" w:sz="4" w:space="0"/>
              <w:bottom w:val="single" w:color="auto" w:sz="4" w:space="0"/>
              <w:right w:val="single" w:color="auto" w:sz="12" w:space="0"/>
            </w:tcBorders>
            <w:noWrap w:val="0"/>
            <w:vAlign w:val="center"/>
          </w:tcPr>
          <w:p>
            <w:pPr>
              <w:widowControl/>
              <w:spacing w:line="320" w:lineRule="exac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其中：国家</w:t>
            </w:r>
            <w:r>
              <w:rPr>
                <w:rFonts w:hint="eastAsia" w:ascii="宋体" w:hAnsi="宋体" w:eastAsia="宋体" w:cs="宋体"/>
                <w:color w:val="000000"/>
                <w:szCs w:val="21"/>
                <w:lang w:val="en-US" w:eastAsia="zh-CN"/>
              </w:rPr>
              <w:t>和省级</w:t>
            </w:r>
            <w:r>
              <w:rPr>
                <w:rFonts w:hint="eastAsia" w:ascii="宋体" w:hAnsi="宋体" w:eastAsia="宋体" w:cs="宋体"/>
                <w:color w:val="000000"/>
                <w:sz w:val="21"/>
                <w:szCs w:val="21"/>
              </w:rPr>
              <w:t>科技项目数（个）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0"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eastAsia" w:ascii="宋体" w:hAnsi="宋体" w:eastAsia="宋体" w:cs="宋体"/>
                <w:color w:val="00000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color w:val="000000"/>
                <w:sz w:val="21"/>
                <w:szCs w:val="21"/>
              </w:rPr>
            </w:pPr>
          </w:p>
        </w:tc>
        <w:tc>
          <w:tcPr>
            <w:tcW w:w="6808" w:type="dxa"/>
            <w:gridSpan w:val="2"/>
            <w:tcBorders>
              <w:top w:val="single" w:color="auto" w:sz="4" w:space="0"/>
              <w:left w:val="single" w:color="auto" w:sz="4" w:space="0"/>
              <w:bottom w:val="single" w:color="auto" w:sz="4" w:space="0"/>
              <w:right w:val="single" w:color="auto" w:sz="12" w:space="0"/>
            </w:tcBorders>
            <w:noWrap w:val="0"/>
            <w:vAlign w:val="center"/>
          </w:tcPr>
          <w:p>
            <w:pPr>
              <w:widowControl/>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pacing w:val="-11"/>
                <w:sz w:val="21"/>
                <w:szCs w:val="21"/>
              </w:rPr>
              <w:t>其中：国家和省级委托任务经费（万元）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0"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eastAsia" w:ascii="宋体" w:hAnsi="宋体" w:eastAsia="宋体" w:cs="宋体"/>
                <w:color w:val="00000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color w:val="000000"/>
                <w:sz w:val="21"/>
                <w:szCs w:val="21"/>
              </w:rPr>
            </w:pPr>
          </w:p>
        </w:tc>
        <w:tc>
          <w:tcPr>
            <w:tcW w:w="6808" w:type="dxa"/>
            <w:gridSpan w:val="2"/>
            <w:tcBorders>
              <w:top w:val="single" w:color="auto" w:sz="4" w:space="0"/>
              <w:left w:val="single" w:color="auto" w:sz="4" w:space="0"/>
              <w:bottom w:val="single" w:color="auto" w:sz="4" w:space="0"/>
              <w:right w:val="single" w:color="auto" w:sz="12" w:space="0"/>
            </w:tcBorders>
            <w:noWrap w:val="0"/>
            <w:vAlign w:val="center"/>
          </w:tcPr>
          <w:p>
            <w:pPr>
              <w:widowControl/>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参加制定的国际、国内</w:t>
            </w:r>
            <w:r>
              <w:rPr>
                <w:rFonts w:hint="eastAsia" w:ascii="宋体" w:hAnsi="宋体" w:eastAsia="宋体" w:cs="宋体"/>
                <w:color w:val="000000"/>
                <w:sz w:val="21"/>
                <w:szCs w:val="21"/>
                <w:lang w:eastAsia="zh-CN"/>
              </w:rPr>
              <w:t>、省级</w:t>
            </w:r>
            <w:r>
              <w:rPr>
                <w:rFonts w:hint="eastAsia" w:ascii="宋体" w:hAnsi="宋体" w:eastAsia="宋体" w:cs="宋体"/>
                <w:color w:val="000000"/>
                <w:sz w:val="21"/>
                <w:szCs w:val="21"/>
              </w:rPr>
              <w:t>和行业标准数（个）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0" w:type="dxa"/>
            <w:vMerge w:val="restart"/>
            <w:tcBorders>
              <w:top w:val="single" w:color="auto" w:sz="4" w:space="0"/>
              <w:left w:val="single" w:color="auto" w:sz="12" w:space="0"/>
              <w:bottom w:val="single" w:color="auto" w:sz="4" w:space="0"/>
              <w:right w:val="single" w:color="auto" w:sz="4" w:space="0"/>
            </w:tcBorders>
            <w:noWrap w:val="0"/>
            <w:vAlign w:val="center"/>
          </w:tcPr>
          <w:p>
            <w:r>
              <w:rPr>
                <w:rFonts w:hint="eastAsia" w:ascii="宋体" w:hAnsi="宋体" w:eastAsia="宋体" w:cs="宋体"/>
                <w:color w:val="000000"/>
                <w:sz w:val="21"/>
                <w:szCs w:val="21"/>
              </w:rPr>
              <w:t>推动</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lang w:eastAsia="zh-CN"/>
              </w:rPr>
              <w:t>产业</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发展</w:t>
            </w:r>
          </w:p>
          <w:p>
            <w:pPr>
              <w:widowControl/>
              <w:spacing w:line="320" w:lineRule="exact"/>
              <w:ind w:left="-105" w:leftChars="-50" w:right="-105" w:rightChars="-50"/>
              <w:jc w:val="center"/>
              <w:rPr>
                <w:rFonts w:hint="eastAsia" w:ascii="宋体" w:hAnsi="宋体" w:eastAsia="宋体" w:cs="宋体"/>
                <w:color w:val="000000"/>
                <w:sz w:val="21"/>
                <w:szCs w:val="21"/>
              </w:rPr>
            </w:pPr>
          </w:p>
        </w:tc>
        <w:tc>
          <w:tcPr>
            <w:tcW w:w="1184" w:type="dxa"/>
            <w:gridSpan w:val="2"/>
            <w:vMerge w:val="restart"/>
            <w:tcBorders>
              <w:top w:val="single" w:color="auto" w:sz="4" w:space="0"/>
              <w:left w:val="single" w:color="auto" w:sz="4" w:space="0"/>
              <w:bottom w:val="single" w:color="auto" w:sz="4" w:space="0"/>
              <w:right w:val="single" w:color="auto" w:sz="4" w:space="0"/>
            </w:tcBorders>
            <w:noWrap w:val="0"/>
            <w:vAlign w:val="center"/>
          </w:tcPr>
          <w:p>
            <w:r>
              <w:rPr>
                <w:rFonts w:hint="eastAsia" w:ascii="宋体" w:hAnsi="宋体" w:eastAsia="宋体" w:cs="宋体"/>
                <w:color w:val="000000"/>
                <w:sz w:val="21"/>
                <w:szCs w:val="21"/>
              </w:rPr>
              <w:t>研发成果</w:t>
            </w:r>
          </w:p>
          <w:p>
            <w:pPr>
              <w:widowControl/>
              <w:spacing w:line="320" w:lineRule="exact"/>
              <w:jc w:val="center"/>
              <w:rPr>
                <w:rFonts w:hint="eastAsia" w:ascii="宋体" w:hAnsi="宋体" w:eastAsia="宋体" w:cs="宋体"/>
                <w:color w:val="000000"/>
                <w:sz w:val="21"/>
                <w:szCs w:val="21"/>
              </w:rPr>
            </w:pPr>
          </w:p>
        </w:tc>
        <w:tc>
          <w:tcPr>
            <w:tcW w:w="6808" w:type="dxa"/>
            <w:gridSpan w:val="2"/>
            <w:tcBorders>
              <w:top w:val="single" w:color="auto" w:sz="4" w:space="0"/>
              <w:left w:val="single" w:color="auto" w:sz="4" w:space="0"/>
              <w:bottom w:val="single" w:color="auto" w:sz="4" w:space="0"/>
              <w:right w:val="single" w:color="auto" w:sz="12" w:space="0"/>
            </w:tcBorders>
            <w:noWrap w:val="0"/>
            <w:vAlign w:val="center"/>
          </w:tcPr>
          <w:p>
            <w:pPr>
              <w:widowControl/>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pacing w:val="-11"/>
                <w:sz w:val="21"/>
                <w:szCs w:val="21"/>
              </w:rPr>
              <w:t>评价期内被受理的发明专利申请数（件）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30"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eastAsia" w:ascii="宋体" w:hAnsi="宋体" w:eastAsia="宋体" w:cs="宋体"/>
                <w:color w:val="00000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color w:val="000000"/>
                <w:sz w:val="21"/>
                <w:szCs w:val="21"/>
              </w:rPr>
            </w:pPr>
          </w:p>
        </w:tc>
        <w:tc>
          <w:tcPr>
            <w:tcW w:w="6808" w:type="dxa"/>
            <w:gridSpan w:val="2"/>
            <w:tcBorders>
              <w:top w:val="single" w:color="auto" w:sz="4" w:space="0"/>
              <w:left w:val="single" w:color="auto" w:sz="4" w:space="0"/>
              <w:bottom w:val="single" w:color="auto" w:sz="4" w:space="0"/>
              <w:right w:val="single" w:color="auto" w:sz="12" w:space="0"/>
            </w:tcBorders>
            <w:noWrap w:val="0"/>
            <w:vAlign w:val="center"/>
          </w:tcPr>
          <w:p>
            <w:pPr>
              <w:widowControl/>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拥有的有效发明专利数（件）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0" w:type="dxa"/>
            <w:vMerge w:val="continue"/>
            <w:tcBorders>
              <w:top w:val="single" w:color="auto" w:sz="4" w:space="0"/>
              <w:left w:val="single" w:color="auto" w:sz="12" w:space="0"/>
              <w:bottom w:val="single" w:color="auto" w:sz="4" w:space="0"/>
              <w:right w:val="single" w:color="auto" w:sz="4" w:space="0"/>
            </w:tcBorders>
            <w:shd w:val="clear" w:color="auto" w:fill="auto"/>
            <w:noWrap w:val="0"/>
            <w:vAlign w:val="center"/>
          </w:tcPr>
          <w:p>
            <w:pPr>
              <w:widowControl/>
              <w:spacing w:line="320" w:lineRule="exact"/>
              <w:ind w:left="-105" w:leftChars="-50" w:right="-105" w:rightChars="-50"/>
              <w:jc w:val="center"/>
              <w:rPr>
                <w:rFonts w:hint="eastAsia" w:ascii="宋体" w:hAnsi="宋体" w:eastAsia="宋体" w:cs="宋体"/>
                <w:color w:val="000000"/>
                <w:sz w:val="21"/>
                <w:szCs w:val="21"/>
              </w:rPr>
            </w:pPr>
          </w:p>
        </w:tc>
        <w:tc>
          <w:tcPr>
            <w:tcW w:w="118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r>
              <w:rPr>
                <w:rFonts w:hint="eastAsia" w:ascii="宋体" w:hAnsi="宋体" w:eastAsia="宋体" w:cs="宋体"/>
                <w:color w:val="000000"/>
                <w:sz w:val="21"/>
                <w:szCs w:val="21"/>
              </w:rPr>
              <w:t>成果转化</w:t>
            </w:r>
          </w:p>
          <w:p>
            <w:pPr>
              <w:widowControl/>
              <w:spacing w:line="320" w:lineRule="exact"/>
              <w:jc w:val="center"/>
              <w:rPr>
                <w:rFonts w:hint="eastAsia" w:ascii="宋体" w:hAnsi="宋体" w:eastAsia="宋体" w:cs="宋体"/>
                <w:color w:val="000000"/>
                <w:sz w:val="21"/>
                <w:szCs w:val="21"/>
              </w:rPr>
            </w:pPr>
          </w:p>
        </w:tc>
        <w:tc>
          <w:tcPr>
            <w:tcW w:w="6808" w:type="dxa"/>
            <w:gridSpan w:val="2"/>
            <w:tcBorders>
              <w:top w:val="single" w:color="auto" w:sz="4" w:space="0"/>
              <w:left w:val="single" w:color="auto" w:sz="4" w:space="0"/>
              <w:bottom w:val="single" w:color="auto" w:sz="4" w:space="0"/>
              <w:right w:val="single" w:color="auto" w:sz="12" w:space="0"/>
            </w:tcBorders>
            <w:shd w:val="clear" w:color="auto" w:fill="FFFFFF"/>
            <w:noWrap w:val="0"/>
            <w:vAlign w:val="center"/>
          </w:tcPr>
          <w:p>
            <w:r>
              <w:rPr>
                <w:rFonts w:hint="eastAsia" w:ascii="宋体" w:hAnsi="宋体" w:eastAsia="宋体" w:cs="宋体"/>
                <w:color w:val="auto"/>
                <w:sz w:val="21"/>
                <w:szCs w:val="21"/>
                <w:highlight w:val="none"/>
              </w:rPr>
              <w:t>技术性收入</w:t>
            </w:r>
            <w:r>
              <w:rPr>
                <w:rFonts w:hint="eastAsia" w:ascii="宋体" w:hAnsi="宋体" w:cs="宋体"/>
                <w:color w:val="auto"/>
                <w:sz w:val="21"/>
                <w:szCs w:val="21"/>
                <w:highlight w:val="none"/>
                <w:lang w:val="en-US" w:eastAsia="zh-CN"/>
              </w:rPr>
              <w:t>/</w:t>
            </w:r>
          </w:p>
          <w:p>
            <w:pPr>
              <w:widowControl/>
              <w:spacing w:line="32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新产品销售收入</w:t>
            </w:r>
            <w:r>
              <w:rPr>
                <w:rFonts w:hint="eastAsia" w:ascii="宋体" w:hAnsi="宋体" w:eastAsia="宋体" w:cs="宋体"/>
                <w:color w:val="auto"/>
                <w:sz w:val="21"/>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0" w:type="dxa"/>
            <w:vMerge w:val="continue"/>
            <w:tcBorders>
              <w:top w:val="single" w:color="auto" w:sz="4" w:space="0"/>
              <w:left w:val="single" w:color="auto" w:sz="12" w:space="0"/>
              <w:bottom w:val="single" w:color="auto" w:sz="4" w:space="0"/>
              <w:right w:val="single" w:color="auto" w:sz="4" w:space="0"/>
            </w:tcBorders>
            <w:shd w:val="clear" w:color="auto" w:fill="auto"/>
            <w:noWrap w:val="0"/>
            <w:vAlign w:val="center"/>
          </w:tcPr>
          <w:p>
            <w:pPr>
              <w:widowControl/>
              <w:spacing w:line="320" w:lineRule="exact"/>
              <w:ind w:left="-105" w:leftChars="-50" w:right="-105" w:rightChars="-50"/>
              <w:jc w:val="center"/>
              <w:rPr>
                <w:rFonts w:hint="eastAsia" w:ascii="宋体" w:hAnsi="宋体" w:eastAsia="宋体" w:cs="宋体"/>
                <w:color w:val="00000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hint="eastAsia" w:ascii="宋体" w:hAnsi="宋体" w:eastAsia="宋体" w:cs="宋体"/>
                <w:color w:val="000000"/>
                <w:sz w:val="21"/>
                <w:szCs w:val="21"/>
              </w:rPr>
            </w:pPr>
          </w:p>
        </w:tc>
        <w:tc>
          <w:tcPr>
            <w:tcW w:w="6808" w:type="dxa"/>
            <w:gridSpan w:val="2"/>
            <w:tcBorders>
              <w:top w:val="single" w:color="auto" w:sz="4" w:space="0"/>
              <w:left w:val="single" w:color="auto" w:sz="4" w:space="0"/>
              <w:bottom w:val="single" w:color="auto" w:sz="4" w:space="0"/>
              <w:right w:val="single" w:color="auto" w:sz="12" w:space="0"/>
            </w:tcBorders>
            <w:shd w:val="clear" w:color="auto" w:fill="FFFFFF"/>
            <w:noWrap w:val="0"/>
            <w:vAlign w:val="center"/>
          </w:tcPr>
          <w:p>
            <w:pPr>
              <w:widowControl/>
              <w:spacing w:line="3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专利所有权转让及许可收入（万元）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0" w:type="dxa"/>
            <w:vMerge w:val="continue"/>
            <w:tcBorders>
              <w:top w:val="single" w:color="auto" w:sz="4" w:space="0"/>
              <w:left w:val="single" w:color="auto" w:sz="12" w:space="0"/>
              <w:bottom w:val="single" w:color="auto" w:sz="4" w:space="0"/>
              <w:right w:val="single" w:color="auto" w:sz="4" w:space="0"/>
            </w:tcBorders>
            <w:shd w:val="clear" w:color="auto" w:fill="auto"/>
            <w:noWrap w:val="0"/>
            <w:vAlign w:val="center"/>
          </w:tcPr>
          <w:p>
            <w:pPr>
              <w:widowControl/>
              <w:spacing w:line="320" w:lineRule="exact"/>
              <w:ind w:left="-105" w:leftChars="-50" w:right="-105" w:rightChars="-50"/>
              <w:jc w:val="center"/>
              <w:rPr>
                <w:rFonts w:hint="eastAsia" w:ascii="宋体" w:hAnsi="宋体" w:eastAsia="宋体" w:cs="宋体"/>
                <w:color w:val="00000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hint="eastAsia" w:ascii="宋体" w:hAnsi="宋体" w:eastAsia="宋体" w:cs="宋体"/>
                <w:color w:val="000000"/>
                <w:sz w:val="21"/>
                <w:szCs w:val="21"/>
              </w:rPr>
            </w:pPr>
          </w:p>
        </w:tc>
        <w:tc>
          <w:tcPr>
            <w:tcW w:w="6808" w:type="dxa"/>
            <w:gridSpan w:val="2"/>
            <w:tcBorders>
              <w:top w:val="single" w:color="auto" w:sz="4" w:space="0"/>
              <w:left w:val="single" w:color="auto" w:sz="4" w:space="0"/>
              <w:bottom w:val="single" w:color="auto" w:sz="4" w:space="0"/>
              <w:right w:val="single" w:color="auto" w:sz="12" w:space="0"/>
            </w:tcBorders>
            <w:shd w:val="clear" w:color="auto" w:fill="FFFFFF"/>
            <w:noWrap w:val="0"/>
            <w:vAlign w:val="center"/>
          </w:tcPr>
          <w:p>
            <w:pPr>
              <w:widowControl/>
              <w:spacing w:line="3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每万元研发经费对应的技术性收</w:t>
            </w:r>
            <w:r>
              <w:rPr>
                <w:rFonts w:hint="eastAsia" w:ascii="宋体" w:hAnsi="宋体" w:cs="宋体"/>
                <w:color w:val="auto"/>
                <w:spacing w:val="-6"/>
                <w:sz w:val="21"/>
                <w:szCs w:val="21"/>
                <w:highlight w:val="none"/>
                <w:lang w:eastAsia="zh-CN"/>
              </w:rPr>
              <w:t>入</w:t>
            </w:r>
            <w:r>
              <w:rPr>
                <w:rFonts w:hint="eastAsia" w:ascii="宋体" w:hAnsi="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rPr>
              <w:t>每万元研发经费对应的</w:t>
            </w:r>
            <w:r>
              <w:rPr>
                <w:rFonts w:hint="eastAsia" w:ascii="宋体" w:hAnsi="宋体" w:cs="宋体"/>
                <w:color w:val="auto"/>
                <w:spacing w:val="-6"/>
                <w:sz w:val="21"/>
                <w:szCs w:val="21"/>
                <w:highlight w:val="none"/>
                <w:lang w:eastAsia="zh-CN"/>
              </w:rPr>
              <w:t>新产品销售收入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0" w:type="dxa"/>
            <w:vMerge w:val="restart"/>
            <w:tcBorders>
              <w:top w:val="single" w:color="auto" w:sz="4" w:space="0"/>
              <w:left w:val="single" w:color="auto" w:sz="12" w:space="0"/>
              <w:bottom w:val="single" w:color="auto" w:sz="4" w:space="0"/>
              <w:right w:val="single" w:color="auto" w:sz="4" w:space="0"/>
            </w:tcBorders>
            <w:noWrap w:val="0"/>
            <w:vAlign w:val="center"/>
          </w:tcPr>
          <w:p>
            <w:r>
              <w:rPr>
                <w:rFonts w:hint="eastAsia" w:ascii="宋体" w:hAnsi="宋体" w:eastAsia="宋体" w:cs="宋体"/>
                <w:color w:val="000000"/>
                <w:sz w:val="21"/>
                <w:szCs w:val="21"/>
              </w:rPr>
              <w:t>强化</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lang w:eastAsia="zh-CN"/>
              </w:rPr>
              <w:t>自身</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建设</w:t>
            </w:r>
          </w:p>
          <w:p>
            <w:pPr>
              <w:widowControl/>
              <w:spacing w:line="320" w:lineRule="exact"/>
              <w:ind w:left="-105" w:leftChars="-50" w:right="-105" w:rightChars="-50"/>
              <w:jc w:val="center"/>
              <w:rPr>
                <w:rFonts w:hint="eastAsia" w:ascii="宋体" w:hAnsi="宋体" w:eastAsia="宋体" w:cs="宋体"/>
                <w:color w:val="000000"/>
                <w:sz w:val="21"/>
                <w:szCs w:val="21"/>
              </w:rPr>
            </w:pPr>
          </w:p>
        </w:tc>
        <w:tc>
          <w:tcPr>
            <w:tcW w:w="1184" w:type="dxa"/>
            <w:gridSpan w:val="2"/>
            <w:vMerge w:val="restart"/>
            <w:tcBorders>
              <w:top w:val="single" w:color="auto" w:sz="4" w:space="0"/>
              <w:left w:val="single" w:color="auto" w:sz="4" w:space="0"/>
              <w:bottom w:val="single" w:color="auto" w:sz="4" w:space="0"/>
              <w:right w:val="single" w:color="auto" w:sz="4" w:space="0"/>
            </w:tcBorders>
            <w:noWrap w:val="0"/>
            <w:vAlign w:val="center"/>
          </w:tcPr>
          <w:p>
            <w:r>
              <w:rPr>
                <w:rFonts w:hint="eastAsia" w:ascii="宋体" w:hAnsi="宋体" w:eastAsia="宋体" w:cs="宋体"/>
                <w:color w:val="000000"/>
                <w:sz w:val="21"/>
                <w:szCs w:val="21"/>
              </w:rPr>
              <w:t>研发投入</w:t>
            </w:r>
          </w:p>
          <w:p>
            <w:pPr>
              <w:widowControl/>
              <w:spacing w:line="320" w:lineRule="exact"/>
              <w:jc w:val="center"/>
              <w:rPr>
                <w:rFonts w:hint="eastAsia" w:ascii="宋体" w:hAnsi="宋体" w:eastAsia="宋体" w:cs="宋体"/>
                <w:color w:val="000000"/>
                <w:sz w:val="21"/>
                <w:szCs w:val="21"/>
                <w:lang w:val="en-US" w:eastAsia="zh-CN"/>
              </w:rPr>
            </w:pPr>
          </w:p>
        </w:tc>
        <w:tc>
          <w:tcPr>
            <w:tcW w:w="6808" w:type="dxa"/>
            <w:gridSpan w:val="2"/>
            <w:tcBorders>
              <w:top w:val="single" w:color="auto" w:sz="4" w:space="0"/>
              <w:left w:val="single" w:color="auto" w:sz="4" w:space="0"/>
              <w:bottom w:val="single" w:color="auto" w:sz="4" w:space="0"/>
              <w:right w:val="single" w:color="auto" w:sz="12" w:space="0"/>
            </w:tcBorders>
            <w:noWrap w:val="0"/>
            <w:vAlign w:val="center"/>
          </w:tcPr>
          <w:p>
            <w:pPr>
              <w:widowControl/>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研究与试验发展经费支出（万元）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0"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eastAsia" w:ascii="宋体" w:hAnsi="宋体" w:eastAsia="宋体" w:cs="宋体"/>
                <w:color w:val="00000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color w:val="000000"/>
                <w:sz w:val="21"/>
                <w:szCs w:val="21"/>
              </w:rPr>
            </w:pPr>
          </w:p>
        </w:tc>
        <w:tc>
          <w:tcPr>
            <w:tcW w:w="6808" w:type="dxa"/>
            <w:gridSpan w:val="2"/>
            <w:tcBorders>
              <w:top w:val="single" w:color="auto" w:sz="4" w:space="0"/>
              <w:left w:val="single" w:color="auto" w:sz="4" w:space="0"/>
              <w:bottom w:val="single" w:color="auto" w:sz="4" w:space="0"/>
              <w:right w:val="single" w:color="auto" w:sz="12" w:space="0"/>
            </w:tcBorders>
            <w:noWrap w:val="0"/>
            <w:vAlign w:val="center"/>
          </w:tcPr>
          <w:p>
            <w:pPr>
              <w:widowControl/>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研究与试验发展人员人均研发经费支出（万元/人）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30"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eastAsia" w:ascii="宋体" w:hAnsi="宋体" w:eastAsia="宋体" w:cs="宋体"/>
                <w:color w:val="000000"/>
                <w:sz w:val="21"/>
                <w:szCs w:val="21"/>
              </w:rPr>
            </w:pPr>
          </w:p>
        </w:tc>
        <w:tc>
          <w:tcPr>
            <w:tcW w:w="1184" w:type="dxa"/>
            <w:gridSpan w:val="2"/>
            <w:vMerge w:val="restart"/>
            <w:tcBorders>
              <w:top w:val="single" w:color="auto" w:sz="4" w:space="0"/>
              <w:left w:val="single" w:color="auto" w:sz="4" w:space="0"/>
              <w:bottom w:val="single" w:color="auto" w:sz="4" w:space="0"/>
              <w:right w:val="single" w:color="auto" w:sz="4" w:space="0"/>
            </w:tcBorders>
            <w:noWrap w:val="0"/>
            <w:vAlign w:val="center"/>
          </w:tcPr>
          <w:p>
            <w:r>
              <w:rPr>
                <w:rFonts w:hint="eastAsia" w:ascii="宋体" w:hAnsi="宋体" w:eastAsia="宋体" w:cs="宋体"/>
                <w:color w:val="000000"/>
                <w:sz w:val="21"/>
                <w:szCs w:val="21"/>
              </w:rPr>
              <w:t>人才培养</w:t>
            </w:r>
          </w:p>
          <w:p>
            <w:pPr>
              <w:widowControl/>
              <w:spacing w:line="320" w:lineRule="exact"/>
              <w:jc w:val="center"/>
              <w:rPr>
                <w:rFonts w:hint="eastAsia" w:ascii="宋体" w:hAnsi="宋体" w:eastAsia="宋体" w:cs="宋体"/>
                <w:color w:val="000000"/>
                <w:sz w:val="21"/>
                <w:szCs w:val="21"/>
                <w:lang w:val="en-US" w:eastAsia="zh-CN"/>
              </w:rPr>
            </w:pPr>
          </w:p>
        </w:tc>
        <w:tc>
          <w:tcPr>
            <w:tcW w:w="6808" w:type="dxa"/>
            <w:gridSpan w:val="2"/>
            <w:tcBorders>
              <w:top w:val="single" w:color="auto" w:sz="4" w:space="0"/>
              <w:left w:val="single" w:color="auto" w:sz="4" w:space="0"/>
              <w:bottom w:val="single" w:color="auto" w:sz="4" w:space="0"/>
              <w:right w:val="single" w:color="auto" w:sz="12" w:space="0"/>
            </w:tcBorders>
            <w:noWrap w:val="0"/>
            <w:vAlign w:val="center"/>
          </w:tcPr>
          <w:p>
            <w:pPr>
              <w:widowControl/>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研究与试验发展人员数（人）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0"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eastAsia" w:ascii="宋体" w:hAnsi="宋体" w:eastAsia="宋体" w:cs="宋体"/>
                <w:color w:val="00000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color w:val="000000"/>
                <w:sz w:val="21"/>
                <w:szCs w:val="21"/>
              </w:rPr>
            </w:pPr>
          </w:p>
        </w:tc>
        <w:tc>
          <w:tcPr>
            <w:tcW w:w="6808" w:type="dxa"/>
            <w:gridSpan w:val="2"/>
            <w:tcBorders>
              <w:top w:val="single" w:color="auto" w:sz="4" w:space="0"/>
              <w:left w:val="single" w:color="auto" w:sz="4" w:space="0"/>
              <w:bottom w:val="single" w:color="auto" w:sz="4" w:space="0"/>
              <w:right w:val="single" w:color="auto" w:sz="12" w:space="0"/>
            </w:tcBorders>
            <w:noWrap w:val="0"/>
            <w:vAlign w:val="center"/>
          </w:tcPr>
          <w:p>
            <w:pPr>
              <w:widowControl/>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高级专家和博士人数（人）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0"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eastAsia" w:ascii="宋体" w:hAnsi="宋体" w:eastAsia="宋体" w:cs="宋体"/>
                <w:color w:val="00000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color w:val="000000"/>
                <w:sz w:val="21"/>
                <w:szCs w:val="21"/>
              </w:rPr>
            </w:pPr>
          </w:p>
        </w:tc>
        <w:tc>
          <w:tcPr>
            <w:tcW w:w="6808" w:type="dxa"/>
            <w:gridSpan w:val="2"/>
            <w:tcBorders>
              <w:top w:val="single" w:color="auto" w:sz="4" w:space="0"/>
              <w:left w:val="single" w:color="auto" w:sz="4" w:space="0"/>
              <w:bottom w:val="single" w:color="auto" w:sz="4" w:space="0"/>
              <w:right w:val="single" w:color="auto" w:sz="12" w:space="0"/>
            </w:tcBorders>
            <w:noWrap w:val="0"/>
            <w:vAlign w:val="center"/>
          </w:tcPr>
          <w:p>
            <w:pPr>
              <w:widowControl/>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来工程中心从事研发工作的外部专家人月（人月）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0"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eastAsia" w:ascii="宋体" w:hAnsi="宋体" w:eastAsia="宋体" w:cs="宋体"/>
                <w:color w:val="000000"/>
                <w:sz w:val="21"/>
                <w:szCs w:val="21"/>
              </w:rPr>
            </w:pPr>
          </w:p>
        </w:tc>
        <w:tc>
          <w:tcPr>
            <w:tcW w:w="1184" w:type="dxa"/>
            <w:gridSpan w:val="2"/>
            <w:vMerge w:val="restart"/>
            <w:tcBorders>
              <w:top w:val="single" w:color="auto" w:sz="4" w:space="0"/>
              <w:left w:val="single" w:color="auto" w:sz="4" w:space="0"/>
              <w:bottom w:val="single" w:color="auto" w:sz="4" w:space="0"/>
              <w:right w:val="single" w:color="auto" w:sz="4" w:space="0"/>
            </w:tcBorders>
            <w:noWrap w:val="0"/>
            <w:vAlign w:val="center"/>
          </w:tcPr>
          <w:p>
            <w:r>
              <w:rPr>
                <w:rFonts w:hint="eastAsia" w:ascii="宋体" w:hAnsi="宋体" w:eastAsia="宋体" w:cs="宋体"/>
                <w:color w:val="000000"/>
                <w:sz w:val="21"/>
                <w:szCs w:val="21"/>
              </w:rPr>
              <w:t>平台支撑</w:t>
            </w:r>
          </w:p>
          <w:p>
            <w:pPr>
              <w:widowControl/>
              <w:spacing w:line="320" w:lineRule="exact"/>
              <w:jc w:val="center"/>
              <w:rPr>
                <w:rFonts w:hint="eastAsia" w:ascii="宋体" w:hAnsi="宋体" w:eastAsia="宋体" w:cs="宋体"/>
                <w:color w:val="000000"/>
                <w:sz w:val="21"/>
                <w:szCs w:val="21"/>
              </w:rPr>
            </w:pPr>
          </w:p>
        </w:tc>
        <w:tc>
          <w:tcPr>
            <w:tcW w:w="6808" w:type="dxa"/>
            <w:gridSpan w:val="2"/>
            <w:tcBorders>
              <w:top w:val="single" w:color="auto" w:sz="4" w:space="0"/>
              <w:left w:val="single" w:color="auto" w:sz="4" w:space="0"/>
              <w:bottom w:val="single" w:color="auto" w:sz="4" w:space="0"/>
              <w:right w:val="single" w:color="auto" w:sz="12" w:space="0"/>
            </w:tcBorders>
            <w:noWrap w:val="0"/>
            <w:vAlign w:val="center"/>
          </w:tcPr>
          <w:p>
            <w:pPr>
              <w:widowControl/>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仪器和设备原值（万元）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0"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20" w:lineRule="exact"/>
              <w:ind w:left="-105" w:leftChars="-50" w:right="-105" w:rightChars="-50"/>
              <w:jc w:val="center"/>
              <w:rPr>
                <w:rFonts w:hint="eastAsia" w:ascii="宋体" w:hAnsi="宋体" w:eastAsia="宋体" w:cs="宋体"/>
                <w:color w:val="00000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color w:val="000000"/>
                <w:sz w:val="21"/>
                <w:szCs w:val="21"/>
              </w:rPr>
            </w:pPr>
          </w:p>
        </w:tc>
        <w:tc>
          <w:tcPr>
            <w:tcW w:w="6808" w:type="dxa"/>
            <w:gridSpan w:val="2"/>
            <w:tcBorders>
              <w:top w:val="single" w:color="auto" w:sz="4" w:space="0"/>
              <w:left w:val="single" w:color="auto" w:sz="4" w:space="0"/>
              <w:bottom w:val="single" w:color="auto" w:sz="4" w:space="0"/>
              <w:right w:val="single" w:color="auto" w:sz="12" w:space="0"/>
            </w:tcBorders>
            <w:noWrap w:val="0"/>
            <w:vAlign w:val="center"/>
          </w:tcPr>
          <w:p>
            <w:pPr>
              <w:widowControl/>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独立</w:t>
            </w:r>
            <w:r>
              <w:rPr>
                <w:rFonts w:hint="eastAsia" w:ascii="宋体" w:hAnsi="宋体" w:eastAsia="宋体" w:cs="宋体"/>
                <w:color w:val="000000"/>
                <w:szCs w:val="21"/>
                <w:lang w:val="en-US" w:eastAsia="zh-CN"/>
              </w:rPr>
              <w:t>研发场所</w:t>
            </w:r>
            <w:r>
              <w:rPr>
                <w:rFonts w:hint="eastAsia" w:ascii="宋体" w:hAnsi="宋体" w:eastAsia="宋体" w:cs="宋体"/>
                <w:color w:val="000000"/>
                <w:sz w:val="21"/>
                <w:szCs w:val="21"/>
              </w:rPr>
              <w:t>建筑面积（平方米）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4" w:type="dxa"/>
            <w:gridSpan w:val="3"/>
            <w:tcBorders>
              <w:top w:val="single" w:color="auto" w:sz="4" w:space="0"/>
              <w:left w:val="single" w:color="auto" w:sz="12" w:space="0"/>
              <w:bottom w:val="single" w:color="auto" w:sz="12" w:space="0"/>
              <w:right w:val="single" w:color="auto" w:sz="4" w:space="0"/>
            </w:tcBorders>
            <w:noWrap w:val="0"/>
            <w:vAlign w:val="center"/>
          </w:tcPr>
          <w:p>
            <w:r>
              <w:rPr>
                <w:rFonts w:hint="eastAsia" w:ascii="宋体" w:hAnsi="宋体" w:eastAsia="宋体" w:cs="宋体"/>
                <w:color w:val="000000"/>
                <w:sz w:val="21"/>
                <w:szCs w:val="21"/>
                <w:lang w:eastAsia="zh-CN"/>
              </w:rPr>
              <w:t>加分项</w:t>
            </w:r>
          </w:p>
          <w:p>
            <w:pPr>
              <w:widowControl/>
              <w:spacing w:line="320" w:lineRule="exact"/>
              <w:jc w:val="center"/>
              <w:rPr>
                <w:rFonts w:hint="eastAsia" w:ascii="宋体" w:hAnsi="宋体" w:eastAsia="宋体" w:cs="宋体"/>
                <w:color w:val="000000"/>
                <w:sz w:val="21"/>
                <w:szCs w:val="21"/>
                <w:lang w:eastAsia="zh-CN"/>
              </w:rPr>
            </w:pPr>
          </w:p>
        </w:tc>
        <w:tc>
          <w:tcPr>
            <w:tcW w:w="6808" w:type="dxa"/>
            <w:gridSpan w:val="2"/>
            <w:tcBorders>
              <w:top w:val="single" w:color="auto" w:sz="4" w:space="0"/>
              <w:left w:val="single" w:color="auto" w:sz="4" w:space="0"/>
              <w:bottom w:val="single" w:color="auto" w:sz="12" w:space="0"/>
              <w:right w:val="single" w:color="auto" w:sz="12" w:space="0"/>
            </w:tcBorders>
            <w:noWrap w:val="0"/>
            <w:vAlign w:val="center"/>
          </w:tcPr>
          <w:p>
            <w:pPr>
              <w:keepNext w:val="0"/>
              <w:keepLines w:val="0"/>
              <w:widowControl/>
              <w:suppressLineNumbers w:val="0"/>
              <w:spacing w:line="280" w:lineRule="exact"/>
              <w:jc w:val="left"/>
              <w:textAlignment w:val="bottom"/>
              <w:rPr>
                <w:rFonts w:hint="eastAsia" w:ascii="宋体" w:hAnsi="宋体" w:eastAsia="宋体" w:cs="宋体"/>
                <w:sz w:val="21"/>
                <w:szCs w:val="21"/>
              </w:rPr>
            </w:pPr>
            <w:r>
              <w:rPr>
                <w:rFonts w:hint="eastAsia" w:ascii="宋体" w:hAnsi="宋体" w:eastAsia="宋体" w:cs="宋体"/>
                <w:color w:val="000000"/>
                <w:sz w:val="21"/>
                <w:szCs w:val="21"/>
                <w:lang w:eastAsia="zh-CN"/>
              </w:rPr>
              <w:t>采用法人实体运行的</w:t>
            </w:r>
            <w:r>
              <w:rPr>
                <w:rFonts w:hint="eastAsia" w:ascii="宋体" w:hAnsi="宋体" w:cs="宋体"/>
                <w:color w:val="000000"/>
                <w:sz w:val="21"/>
                <w:szCs w:val="21"/>
                <w:lang w:val="en-US" w:eastAsia="zh-CN"/>
              </w:rPr>
              <w:t>；院士、国家海外高层次人才引进计划、国家高层次人才特殊支持计划达到2名；</w:t>
            </w:r>
            <w:r>
              <w:rPr>
                <w:rFonts w:hint="eastAsia" w:ascii="宋体" w:hAnsi="宋体" w:eastAsia="宋体" w:cs="宋体"/>
                <w:color w:val="000000"/>
                <w:szCs w:val="21"/>
                <w:lang w:val="en-US" w:eastAsia="zh-CN"/>
              </w:rPr>
              <w:t>通过国家（国际组织）认证实验室和检测机构</w:t>
            </w:r>
            <w:r>
              <w:rPr>
                <w:rFonts w:hint="eastAsia" w:ascii="宋体" w:hAnsi="宋体" w:cs="宋体"/>
                <w:color w:val="000000"/>
                <w:szCs w:val="21"/>
                <w:lang w:val="en-US" w:eastAsia="zh-CN"/>
              </w:rPr>
              <w:t>；</w:t>
            </w:r>
            <w:r>
              <w:rPr>
                <w:rFonts w:hint="eastAsia" w:ascii="宋体" w:hAnsi="宋体" w:eastAsia="宋体" w:cs="宋体"/>
                <w:color w:val="000000"/>
                <w:sz w:val="21"/>
                <w:szCs w:val="21"/>
                <w:lang w:eastAsia="zh-CN"/>
              </w:rPr>
              <w:t>获省部级</w:t>
            </w:r>
            <w:r>
              <w:rPr>
                <w:rFonts w:hint="eastAsia" w:ascii="宋体" w:hAnsi="宋体" w:cs="宋体"/>
                <w:color w:val="000000"/>
                <w:sz w:val="21"/>
                <w:szCs w:val="21"/>
                <w:lang w:val="en-US" w:eastAsia="zh-CN"/>
              </w:rPr>
              <w:t>科技奖</w:t>
            </w:r>
            <w:r>
              <w:rPr>
                <w:rFonts w:hint="eastAsia" w:ascii="宋体" w:hAnsi="宋体" w:eastAsia="宋体" w:cs="宋体"/>
                <w:color w:val="000000"/>
                <w:sz w:val="21"/>
                <w:szCs w:val="21"/>
                <w:lang w:eastAsia="zh-CN"/>
              </w:rPr>
              <w:t>一等奖</w:t>
            </w:r>
            <w:r>
              <w:rPr>
                <w:rFonts w:hint="eastAsia" w:ascii="宋体" w:hAnsi="宋体" w:cs="宋体"/>
                <w:color w:val="000000"/>
                <w:sz w:val="21"/>
                <w:szCs w:val="21"/>
                <w:lang w:val="en-US" w:eastAsia="zh-CN"/>
              </w:rPr>
              <w:t>及以上</w:t>
            </w:r>
            <w:r>
              <w:rPr>
                <w:rFonts w:hint="eastAsia" w:ascii="宋体" w:hAnsi="宋体" w:cs="宋体"/>
                <w:color w:val="000000"/>
                <w:sz w:val="21"/>
                <w:szCs w:val="21"/>
                <w:lang w:eastAsia="zh-CN"/>
              </w:rPr>
              <w:t>；承担国家重大项目（工程）；</w:t>
            </w:r>
            <w:r>
              <w:rPr>
                <w:rFonts w:hint="eastAsia" w:ascii="宋体" w:hAnsi="宋体" w:eastAsia="宋体" w:cs="宋体"/>
                <w:color w:val="000000"/>
                <w:szCs w:val="21"/>
                <w:lang w:val="en-US" w:eastAsia="zh-CN"/>
              </w:rPr>
              <w:t>获国家级首台套装备认定</w:t>
            </w:r>
            <w:r>
              <w:rPr>
                <w:rFonts w:hint="eastAsia" w:ascii="宋体" w:hAnsi="宋体" w:cs="宋体"/>
                <w:color w:val="000000"/>
                <w:szCs w:val="21"/>
                <w:lang w:val="en-US" w:eastAsia="zh-CN"/>
              </w:rPr>
              <w:t>；取得</w:t>
            </w:r>
            <w:r>
              <w:rPr>
                <w:rFonts w:hint="eastAsia" w:ascii="宋体" w:hAnsi="宋体" w:eastAsia="宋体" w:cs="宋体"/>
                <w:color w:val="000000"/>
                <w:sz w:val="21"/>
                <w:szCs w:val="21"/>
              </w:rPr>
              <w:t>PCT专利</w:t>
            </w:r>
            <w:r>
              <w:rPr>
                <w:rFonts w:hint="eastAsia" w:ascii="宋体" w:hAnsi="宋体" w:cs="宋体"/>
                <w:color w:val="000000"/>
                <w:sz w:val="21"/>
                <w:szCs w:val="21"/>
                <w:lang w:eastAsia="zh-CN"/>
              </w:rPr>
              <w:t>受理证书</w:t>
            </w:r>
            <w:r>
              <w:rPr>
                <w:rFonts w:hint="eastAsia" w:ascii="宋体" w:hAnsi="宋体" w:cs="宋体"/>
                <w:color w:val="000000"/>
                <w:sz w:val="21"/>
                <w:szCs w:val="21"/>
                <w:lang w:val="en-US" w:eastAsia="zh-CN"/>
              </w:rPr>
              <w:t>；获国家一类新药</w:t>
            </w:r>
            <w:r>
              <w:rPr>
                <w:rFonts w:hint="eastAsia" w:ascii="宋体" w:hAnsi="宋体" w:eastAsia="宋体" w:cs="宋体"/>
                <w:color w:val="000000"/>
                <w:sz w:val="21"/>
                <w:szCs w:val="21"/>
                <w:lang w:val="en-US" w:eastAsia="zh-CN"/>
              </w:rPr>
              <w:t>Ⅱ</w:t>
            </w:r>
            <w:r>
              <w:rPr>
                <w:rFonts w:hint="eastAsia" w:ascii="宋体" w:hAnsi="宋体" w:cs="宋体"/>
                <w:color w:val="000000"/>
                <w:sz w:val="21"/>
                <w:szCs w:val="21"/>
                <w:lang w:val="en-US" w:eastAsia="zh-CN"/>
              </w:rPr>
              <w:t>期、</w:t>
            </w:r>
            <w:r>
              <w:rPr>
                <w:rFonts w:hint="eastAsia" w:ascii="宋体" w:hAnsi="宋体" w:eastAsia="宋体" w:cs="宋体"/>
                <w:color w:val="000000"/>
                <w:sz w:val="21"/>
                <w:szCs w:val="21"/>
                <w:lang w:val="en-US" w:eastAsia="zh-CN"/>
              </w:rPr>
              <w:t>Ⅲ</w:t>
            </w:r>
            <w:r>
              <w:rPr>
                <w:rFonts w:hint="eastAsia" w:ascii="宋体" w:hAnsi="宋体" w:cs="宋体"/>
                <w:color w:val="000000"/>
                <w:sz w:val="21"/>
                <w:szCs w:val="21"/>
                <w:lang w:val="en-US" w:eastAsia="zh-CN"/>
              </w:rPr>
              <w:t>期临床批件、第三类医疗器械注册证。</w:t>
            </w:r>
          </w:p>
        </w:tc>
      </w:tr>
    </w:tbl>
    <w:p>
      <w:pPr>
        <w:keepNext w:val="0"/>
        <w:keepLines w:val="0"/>
        <w:pageBreakBefore w:val="0"/>
        <w:widowControl w:val="0"/>
        <w:kinsoku/>
        <w:wordWrap/>
        <w:overflowPunct/>
        <w:topLinePunct w:val="0"/>
        <w:autoSpaceDE/>
        <w:autoSpaceDN/>
        <w:bidi w:val="0"/>
        <w:adjustRightInd/>
        <w:spacing w:beforeLines="0" w:afterLines="0"/>
        <w:ind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二、基本信息填写说明</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（一）福建省工程研究中心名称。</w:t>
      </w:r>
      <w:r>
        <w:rPr>
          <w:rFonts w:hint="eastAsia" w:ascii="仿宋_GB2312" w:hAnsi="仿宋_GB2312" w:eastAsia="仿宋_GB2312" w:cs="仿宋_GB2312"/>
          <w:sz w:val="32"/>
          <w:szCs w:val="32"/>
        </w:rPr>
        <w:t>对于以法人实体运行的工程研究中心，需在此表上加盖公章；对于以非法人实体运行的工程研究中心，需加盖依托单位公章。</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（二）评价期。</w:t>
      </w:r>
      <w:r>
        <w:rPr>
          <w:rFonts w:hint="eastAsia" w:ascii="仿宋_GB2312" w:hAnsi="仿宋_GB2312" w:eastAsia="仿宋_GB2312" w:cs="仿宋_GB2312"/>
          <w:sz w:val="32"/>
          <w:szCs w:val="32"/>
        </w:rPr>
        <w:t>一般而言，评价期是按工程</w:t>
      </w:r>
      <w:r>
        <w:rPr>
          <w:rFonts w:hint="eastAsia" w:ascii="仿宋_GB2312" w:hAnsi="仿宋_GB2312" w:eastAsia="仿宋_GB2312" w:cs="仿宋_GB2312"/>
          <w:sz w:val="32"/>
          <w:szCs w:val="32"/>
          <w:lang w:val="en-US" w:eastAsia="zh-CN"/>
        </w:rPr>
        <w:t>研究</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年运行期计算，具体起始日期和截止日期，由</w:t>
      </w:r>
      <w:r>
        <w:rPr>
          <w:rFonts w:hint="eastAsia" w:ascii="仿宋_GB2312" w:hAnsi="仿宋_GB2312" w:eastAsia="仿宋_GB2312" w:cs="仿宋_GB2312"/>
          <w:sz w:val="32"/>
          <w:szCs w:val="32"/>
          <w:lang w:eastAsia="zh-CN"/>
        </w:rPr>
        <w:t>省发改委</w:t>
      </w:r>
      <w:r>
        <w:rPr>
          <w:rFonts w:hint="eastAsia" w:ascii="仿宋_GB2312" w:hAnsi="仿宋_GB2312" w:eastAsia="仿宋_GB2312" w:cs="仿宋_GB2312"/>
          <w:sz w:val="32"/>
          <w:szCs w:val="32"/>
        </w:rPr>
        <w:t>发布通知确定。</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（三）行业领域及其细分领域。</w:t>
      </w:r>
      <w:r>
        <w:rPr>
          <w:rFonts w:hint="eastAsia" w:ascii="仿宋_GB2312" w:hAnsi="仿宋_GB2312" w:eastAsia="仿宋_GB2312" w:cs="仿宋_GB2312"/>
          <w:sz w:val="32"/>
          <w:szCs w:val="32"/>
        </w:rPr>
        <w:t>“行业领域”对照《国民经济行业分类》中的“大类”填写（类别名称），“行业细分领域”对照《国民经济行业分类》中的“中类”填写（类别名称）。</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（四）战略性新兴产业行业领域及其细分领域。</w:t>
      </w:r>
      <w:r>
        <w:rPr>
          <w:rFonts w:hint="eastAsia" w:ascii="仿宋_GB2312" w:hAnsi="仿宋_GB2312" w:eastAsia="仿宋_GB2312" w:cs="仿宋_GB2312"/>
          <w:sz w:val="32"/>
          <w:szCs w:val="32"/>
        </w:rPr>
        <w:t>“战略性新兴产业行业领域”对照《战略性新兴产业分类》中的“二级目录”填写（类别名称），“细分领域”对照《战略性新兴产业分类》中的“三级目录”填写（类别名称）。</w:t>
      </w:r>
    </w:p>
    <w:p>
      <w:pPr>
        <w:keepNext w:val="0"/>
        <w:keepLines w:val="0"/>
        <w:pageBreakBefore w:val="0"/>
        <w:widowControl w:val="0"/>
        <w:kinsoku/>
        <w:wordWrap/>
        <w:overflowPunct/>
        <w:topLinePunct w:val="0"/>
        <w:autoSpaceDE/>
        <w:autoSpaceDN/>
        <w:bidi w:val="0"/>
        <w:adjustRightInd/>
        <w:spacing w:beforeLines="0" w:afterLines="0"/>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三、指标解释和填写说明</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（一）工程</w:t>
      </w:r>
      <w:r>
        <w:rPr>
          <w:rFonts w:hint="eastAsia" w:ascii="仿宋_GB2312" w:hAnsi="仿宋_GB2312" w:eastAsia="仿宋_GB2312" w:cs="仿宋_GB2312"/>
          <w:b/>
          <w:bCs/>
          <w:sz w:val="32"/>
          <w:szCs w:val="32"/>
          <w:lang w:eastAsia="zh-CN"/>
        </w:rPr>
        <w:t>研究</w:t>
      </w:r>
      <w:r>
        <w:rPr>
          <w:rFonts w:hint="eastAsia" w:ascii="仿宋_GB2312" w:hAnsi="仿宋_GB2312" w:eastAsia="仿宋_GB2312" w:cs="仿宋_GB2312"/>
          <w:b/>
          <w:bCs/>
          <w:sz w:val="32"/>
          <w:szCs w:val="32"/>
        </w:rPr>
        <w:t>中心指标数据的统计范围。</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中心以法人形式运行的，数据统计范围为该法人单位；以非法人形式运行的，数据统计范围为该工程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中心所属人员开展的、与工程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中心目标定位相关的工作。工程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中心增加或减少所属人员时，需按其章程履行相关手续，无手续或手续不齐全人员，不得计为该工程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中心所属人员。不得将无关人员或无关工作纳入统计范围。</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en-US" w:eastAsia="zh-CN"/>
        </w:rPr>
        <w:t>行业贡献相关内容详见附件2。</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（三）全部在研项目数。</w:t>
      </w:r>
      <w:r>
        <w:rPr>
          <w:rFonts w:hint="eastAsia" w:ascii="仿宋_GB2312" w:hAnsi="仿宋_GB2312" w:eastAsia="仿宋_GB2312" w:cs="仿宋_GB2312"/>
          <w:sz w:val="32"/>
          <w:szCs w:val="32"/>
        </w:rPr>
        <w:t>指工程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中心在评价期内立项、持续开展或结题验收的研发项目数。主要包括新产品开发项目数、新技术开发项目数、新工艺开发项目数、新服务开发项目数与基础研究项目数之和。不包括委托外单位进行的研发项目数。</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）国家和省级科技项目数。</w:t>
      </w:r>
      <w:r>
        <w:rPr>
          <w:rFonts w:hint="eastAsia" w:ascii="仿宋_GB2312" w:hAnsi="仿宋_GB2312" w:eastAsia="仿宋_GB2312" w:cs="仿宋_GB2312"/>
          <w:sz w:val="32"/>
          <w:szCs w:val="32"/>
        </w:rPr>
        <w:t>指工程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中心全部在研项目中由中央和国务院组成部门、直属机构</w:t>
      </w:r>
      <w:r>
        <w:rPr>
          <w:rFonts w:hint="eastAsia" w:ascii="仿宋_GB2312" w:hAnsi="仿宋_GB2312" w:eastAsia="仿宋_GB2312" w:cs="仿宋_GB2312"/>
          <w:sz w:val="32"/>
          <w:szCs w:val="32"/>
          <w:lang w:eastAsia="zh-CN"/>
        </w:rPr>
        <w:t>、省级有关部门</w:t>
      </w:r>
      <w:r>
        <w:rPr>
          <w:rFonts w:hint="eastAsia" w:ascii="仿宋_GB2312" w:hAnsi="仿宋_GB2312" w:eastAsia="仿宋_GB2312" w:cs="仿宋_GB2312"/>
          <w:sz w:val="32"/>
          <w:szCs w:val="32"/>
        </w:rPr>
        <w:t>直接委托的科技项目。主要包括国家</w:t>
      </w:r>
      <w:r>
        <w:rPr>
          <w:rFonts w:hint="eastAsia" w:ascii="仿宋_GB2312" w:hAnsi="仿宋_GB2312" w:eastAsia="仿宋_GB2312" w:cs="仿宋_GB2312"/>
          <w:sz w:val="32"/>
          <w:szCs w:val="32"/>
          <w:lang w:eastAsia="zh-CN"/>
        </w:rPr>
        <w:t>和省部级</w:t>
      </w:r>
      <w:r>
        <w:rPr>
          <w:rFonts w:hint="eastAsia" w:ascii="仿宋_GB2312" w:hAnsi="仿宋_GB2312" w:eastAsia="仿宋_GB2312" w:cs="仿宋_GB2312"/>
          <w:sz w:val="32"/>
          <w:szCs w:val="32"/>
        </w:rPr>
        <w:t>自然科学基金、科技重大专项、重点研发计划、人才专项，以及为解决产业“卡脖子”技术问题开展的重大项目等。</w:t>
      </w:r>
      <w:r>
        <w:rPr>
          <w:rFonts w:hint="eastAsia" w:ascii="仿宋_GB2312" w:hAnsi="仿宋_GB2312" w:eastAsia="仿宋_GB2312" w:cs="仿宋_GB2312"/>
          <w:sz w:val="32"/>
          <w:szCs w:val="32"/>
          <w:lang w:eastAsia="zh-CN"/>
        </w:rPr>
        <w:t>国家级项目按双倍计数。</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）国家和省级委托任务经费。</w:t>
      </w:r>
      <w:r>
        <w:rPr>
          <w:rFonts w:hint="eastAsia" w:ascii="仿宋_GB2312" w:hAnsi="仿宋_GB2312" w:eastAsia="仿宋_GB2312" w:cs="仿宋_GB2312"/>
          <w:sz w:val="32"/>
          <w:szCs w:val="32"/>
        </w:rPr>
        <w:t>评价期内，工程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中心研发经费支出中来自于国家</w:t>
      </w:r>
      <w:r>
        <w:rPr>
          <w:rFonts w:hint="eastAsia" w:ascii="仿宋_GB2312" w:hAnsi="仿宋_GB2312" w:eastAsia="仿宋_GB2312" w:cs="仿宋_GB2312"/>
          <w:sz w:val="32"/>
          <w:szCs w:val="32"/>
          <w:lang w:eastAsia="zh-CN"/>
        </w:rPr>
        <w:t>和省直</w:t>
      </w:r>
      <w:r>
        <w:rPr>
          <w:rFonts w:hint="eastAsia" w:ascii="仿宋_GB2312" w:hAnsi="仿宋_GB2312" w:eastAsia="仿宋_GB2312" w:cs="仿宋_GB2312"/>
          <w:sz w:val="32"/>
          <w:szCs w:val="32"/>
        </w:rPr>
        <w:t>有关部门委托的项目经费总额。</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）参加制定的国际、国内</w:t>
      </w:r>
      <w:r>
        <w:rPr>
          <w:rFonts w:hint="eastAsia" w:ascii="仿宋_GB2312" w:hAnsi="仿宋_GB2312" w:eastAsia="仿宋_GB2312" w:cs="仿宋_GB2312"/>
          <w:b/>
          <w:bCs/>
          <w:sz w:val="32"/>
          <w:szCs w:val="32"/>
          <w:lang w:eastAsia="zh-CN"/>
        </w:rPr>
        <w:t>、省级</w:t>
      </w:r>
      <w:r>
        <w:rPr>
          <w:rFonts w:hint="eastAsia" w:ascii="仿宋_GB2312" w:hAnsi="仿宋_GB2312" w:eastAsia="仿宋_GB2312" w:cs="仿宋_GB2312"/>
          <w:b/>
          <w:bCs/>
          <w:sz w:val="32"/>
          <w:szCs w:val="32"/>
        </w:rPr>
        <w:t>和行业标准数。</w:t>
      </w:r>
      <w:r>
        <w:rPr>
          <w:rFonts w:hint="eastAsia" w:ascii="仿宋_GB2312" w:hAnsi="仿宋_GB2312" w:eastAsia="仿宋_GB2312" w:cs="仿宋_GB2312"/>
          <w:sz w:val="32"/>
          <w:szCs w:val="32"/>
        </w:rPr>
        <w:t>评价期内，工程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中心参加制定，目前仍有效执行的国际、国家、</w:t>
      </w:r>
      <w:r>
        <w:rPr>
          <w:rFonts w:hint="eastAsia" w:ascii="仿宋_GB2312" w:hAnsi="仿宋_GB2312" w:eastAsia="仿宋_GB2312" w:cs="仿宋_GB2312"/>
          <w:sz w:val="32"/>
          <w:szCs w:val="32"/>
          <w:lang w:val="en-US" w:eastAsia="zh-CN"/>
        </w:rPr>
        <w:t>省级和</w:t>
      </w:r>
      <w:r>
        <w:rPr>
          <w:rFonts w:hint="eastAsia" w:ascii="仿宋_GB2312" w:hAnsi="仿宋_GB2312" w:eastAsia="仿宋_GB2312" w:cs="仿宋_GB2312"/>
          <w:sz w:val="32"/>
          <w:szCs w:val="32"/>
        </w:rPr>
        <w:t>行业标准的数量</w:t>
      </w:r>
      <w:r>
        <w:rPr>
          <w:rFonts w:hint="eastAsia" w:ascii="仿宋_GB2312" w:hAnsi="仿宋_GB2312" w:eastAsia="仿宋_GB2312" w:cs="仿宋_GB2312"/>
          <w:sz w:val="32"/>
          <w:szCs w:val="32"/>
          <w:lang w:eastAsia="zh-CN"/>
        </w:rPr>
        <w:t>（含药品注册标准）</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zh-CN"/>
        </w:rPr>
        <w:t>主持制定国际或国家级标准的，双倍计数。</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（七）评价期内被受理的国内发明专利申请数。</w:t>
      </w:r>
      <w:r>
        <w:rPr>
          <w:rFonts w:hint="eastAsia" w:ascii="仿宋_GB2312" w:hAnsi="仿宋_GB2312" w:eastAsia="仿宋_GB2312" w:cs="仿宋_GB2312"/>
          <w:sz w:val="32"/>
          <w:szCs w:val="32"/>
        </w:rPr>
        <w:t>评价期内，工程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向知识产权行政部门提出发明专利申请并被受理后，按规定缴足申请费，符合进入初步审查阶段条件的专利件数。当年被受理的植物新品种、国家级农作物品种、国家新药、国家一级中药保护品种、集成电路布图设计专有权视同发明专利。</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）拥有的有效发明专利数。</w:t>
      </w:r>
      <w:r>
        <w:rPr>
          <w:rFonts w:hint="eastAsia" w:ascii="仿宋_GB2312" w:hAnsi="仿宋_GB2312" w:eastAsia="仿宋_GB2312" w:cs="仿宋_GB2312"/>
          <w:sz w:val="32"/>
          <w:szCs w:val="32"/>
        </w:rPr>
        <w:t>评价期末，工程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中心作为专利权人拥有的、经国内外知识产权行政部门授予且在有效期内的发明专利件数。拥有的植物新品种、国家级农作物品种、国家新药、国家一级中药保护品种、集成电路布图设计专有权视同发明专利。</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（九）技术性收入</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eastAsia="zh-CN"/>
        </w:rPr>
        <w:t>新产品销售收入</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技术性收入或新产品销售收入选择其一填报。</w:t>
      </w:r>
      <w:r>
        <w:rPr>
          <w:rFonts w:hint="eastAsia" w:ascii="仿宋_GB2312" w:hAnsi="仿宋_GB2312" w:eastAsia="仿宋_GB2312" w:cs="仿宋_GB2312"/>
          <w:b/>
          <w:bCs/>
          <w:sz w:val="32"/>
          <w:szCs w:val="32"/>
        </w:rPr>
        <w:t>技术性收入</w:t>
      </w:r>
      <w:r>
        <w:rPr>
          <w:rFonts w:hint="eastAsia" w:ascii="仿宋_GB2312" w:hAnsi="仿宋_GB2312" w:eastAsia="仿宋_GB2312" w:cs="仿宋_GB2312"/>
          <w:b w:val="0"/>
          <w:bCs w:val="0"/>
          <w:sz w:val="32"/>
          <w:szCs w:val="32"/>
          <w:lang w:eastAsia="zh-CN"/>
        </w:rPr>
        <w:t>为</w:t>
      </w:r>
      <w:r>
        <w:rPr>
          <w:rFonts w:hint="eastAsia" w:ascii="仿宋_GB2312" w:hAnsi="仿宋_GB2312" w:eastAsia="仿宋_GB2312" w:cs="仿宋_GB2312"/>
          <w:sz w:val="32"/>
          <w:szCs w:val="32"/>
        </w:rPr>
        <w:t>评价期内工程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中心通过研发和技术创新活动取得的收入总和，包括技术转让收入（指工程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中心技术创新成果通过技术贸易、技术转让所获得的收入）、技术服务收入（指工程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中心利用自有资源为外部用户提供技术资料、技术咨询与市场评估、工程技术项目设计、数据处理、测试分析及其他类型的服务所获得的收入）和接受委托研究开发收入（指工程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中心承担社会各方面委托研究开发、中间试验及新产品开发所获得的收入）。</w:t>
      </w:r>
      <w:r>
        <w:rPr>
          <w:rFonts w:hint="eastAsia" w:ascii="仿宋_GB2312" w:hAnsi="仿宋_GB2312" w:eastAsia="仿宋_GB2312" w:cs="仿宋_GB2312"/>
          <w:b/>
          <w:bCs/>
          <w:sz w:val="32"/>
          <w:szCs w:val="32"/>
          <w:lang w:eastAsia="zh-CN"/>
        </w:rPr>
        <w:t>新产品销售收入</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评价期内</w:t>
      </w:r>
      <w:r>
        <w:rPr>
          <w:rFonts w:hint="eastAsia" w:ascii="仿宋_GB2312" w:hAnsi="仿宋_GB2312" w:eastAsia="仿宋_GB2312" w:cs="仿宋_GB2312"/>
          <w:sz w:val="32"/>
          <w:szCs w:val="32"/>
          <w:lang w:eastAsia="zh-CN"/>
        </w:rPr>
        <w:t>由工程研究中心研发的技术成果转化的新产品的销售收入。</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（十）专利所有权转让及许可收入。</w:t>
      </w:r>
      <w:r>
        <w:rPr>
          <w:rFonts w:hint="eastAsia" w:ascii="仿宋_GB2312" w:hAnsi="仿宋_GB2312" w:eastAsia="仿宋_GB2312" w:cs="仿宋_GB2312"/>
          <w:sz w:val="32"/>
          <w:szCs w:val="32"/>
        </w:rPr>
        <w:t>评价期内，工程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中心向外单位转让专利所有权或允许专利技术由被许可单位使用而获得的收入。包括当年从被转让方或被许可方获得的一次性付款和分期付款收入，以及利润分成、股息收入等。</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（十一）每万元研发经费对应的技术性收入</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每万元研发经费对应的</w:t>
      </w:r>
      <w:r>
        <w:rPr>
          <w:rFonts w:hint="eastAsia" w:ascii="仿宋_GB2312" w:hAnsi="仿宋_GB2312" w:eastAsia="仿宋_GB2312" w:cs="仿宋_GB2312"/>
          <w:b/>
          <w:bCs/>
          <w:sz w:val="32"/>
          <w:szCs w:val="32"/>
          <w:lang w:eastAsia="zh-CN"/>
        </w:rPr>
        <w:t>新产品销售收入</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kern w:val="2"/>
          <w:sz w:val="32"/>
          <w:szCs w:val="32"/>
          <w:lang w:val="zh-CN" w:eastAsia="zh-CN" w:bidi="zh-CN"/>
        </w:rPr>
        <w:t>由“技术性收入”或“新产品销售收入”除以“研究与试验发展经费支出”得到。</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（十二）研究与试验发展经费支出。</w:t>
      </w:r>
      <w:r>
        <w:rPr>
          <w:rFonts w:hint="eastAsia" w:ascii="仿宋_GB2312" w:hAnsi="仿宋_GB2312" w:eastAsia="仿宋_GB2312" w:cs="仿宋_GB2312"/>
          <w:sz w:val="32"/>
          <w:szCs w:val="32"/>
        </w:rPr>
        <w:t>评价期内，工程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中心为实施基础研究、应用研究和试验发展活动而实际发生的全部经费支出，包括工程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中心内部的研发经费支出，当年为建造和购置与研发活动相关的固定资产花费的实际支出和委托外单位开展研发的经费支出。不包括生产性活动支出、归还贷款支出。</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（十三）研究与试验发展人员人均研发经费支出</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kern w:val="2"/>
          <w:sz w:val="32"/>
          <w:szCs w:val="32"/>
          <w:lang w:val="zh-CN" w:eastAsia="zh-CN" w:bidi="zh-CN"/>
        </w:rPr>
        <w:t>由“研究与试验发展经费支出”除以“研究与试验发展人员数”得到。</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）研究与试验发展人员数。</w:t>
      </w:r>
      <w:r>
        <w:rPr>
          <w:rFonts w:hint="eastAsia" w:ascii="仿宋_GB2312" w:hAnsi="仿宋_GB2312" w:eastAsia="仿宋_GB2312" w:cs="仿宋_GB2312"/>
          <w:sz w:val="32"/>
          <w:szCs w:val="32"/>
        </w:rPr>
        <w:t>评价期末，工程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中从事基础研究、应用研究和试验发展活动的人员，以及与上述三类研发活动相关的管理人员和直接服务人员，即直接为研发活动提供资料文献、材料供应、设备维护等服务的人员。不包括为研发活动提供间接服务的人员，如餐饮服务、安保人员等。</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）高级专家</w:t>
      </w:r>
      <w:r>
        <w:rPr>
          <w:rFonts w:hint="eastAsia" w:ascii="仿宋_GB2312" w:hAnsi="仿宋_GB2312" w:eastAsia="仿宋_GB2312" w:cs="仿宋_GB2312"/>
          <w:b/>
          <w:bCs/>
          <w:sz w:val="32"/>
          <w:szCs w:val="32"/>
          <w:lang w:val="en-US" w:eastAsia="zh-CN"/>
        </w:rPr>
        <w:t>和</w:t>
      </w:r>
      <w:r>
        <w:rPr>
          <w:rFonts w:hint="eastAsia" w:ascii="仿宋_GB2312" w:hAnsi="仿宋_GB2312" w:eastAsia="仿宋_GB2312" w:cs="仿宋_GB2312"/>
          <w:b/>
          <w:bCs/>
          <w:sz w:val="32"/>
          <w:szCs w:val="32"/>
        </w:rPr>
        <w:t>博士人数。</w:t>
      </w:r>
      <w:r>
        <w:rPr>
          <w:rFonts w:hint="eastAsia" w:ascii="仿宋_GB2312" w:hAnsi="仿宋_GB2312" w:eastAsia="仿宋_GB2312" w:cs="仿宋_GB2312"/>
          <w:sz w:val="32"/>
          <w:szCs w:val="32"/>
        </w:rPr>
        <w:t>评价期末，全职在工程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中心工作，且</w:t>
      </w:r>
      <w:r>
        <w:rPr>
          <w:rFonts w:hint="eastAsia" w:ascii="仿宋_GB2312" w:hAnsi="仿宋_GB2312" w:eastAsia="仿宋_GB2312" w:cs="仿宋_GB2312"/>
          <w:sz w:val="32"/>
          <w:szCs w:val="32"/>
          <w:lang w:val="en-US" w:eastAsia="zh-CN"/>
        </w:rPr>
        <w:t>为副高级及以上职称</w:t>
      </w:r>
      <w:r>
        <w:rPr>
          <w:rFonts w:hint="eastAsia" w:ascii="仿宋_GB2312" w:hAnsi="仿宋_GB2312" w:eastAsia="仿宋_GB2312" w:cs="仿宋_GB2312"/>
          <w:sz w:val="32"/>
          <w:szCs w:val="32"/>
        </w:rPr>
        <w:t>的专家数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全职在工程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中心工作、获得博士学位的人员数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在站博士后可以作为博士进行统计。</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）来工程中心从事研发工作的外部专家人月。</w:t>
      </w:r>
      <w:r>
        <w:rPr>
          <w:rFonts w:hint="eastAsia" w:ascii="仿宋_GB2312" w:hAnsi="仿宋_GB2312" w:eastAsia="仿宋_GB2312" w:cs="仿宋_GB2312"/>
          <w:sz w:val="32"/>
          <w:szCs w:val="32"/>
        </w:rPr>
        <w:t>评价期内，来工程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中心从事研究开发工作的具有较高研发能力的海内外专家累计人月（一般应具有高级专业技术职称）。</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）仪器和设备原值。</w:t>
      </w:r>
      <w:r>
        <w:rPr>
          <w:rFonts w:hint="eastAsia" w:ascii="仿宋_GB2312" w:hAnsi="仿宋_GB2312" w:eastAsia="仿宋_GB2312" w:cs="仿宋_GB2312"/>
          <w:sz w:val="32"/>
          <w:szCs w:val="32"/>
        </w:rPr>
        <w:t>评价期末，工程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中心拥有的用于研发的固定资产中的仪器和设备原价。</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）独立研发场所建筑面积。</w:t>
      </w:r>
      <w:r>
        <w:rPr>
          <w:rFonts w:hint="eastAsia" w:ascii="仿宋_GB2312" w:hAnsi="仿宋_GB2312" w:eastAsia="仿宋_GB2312" w:cs="仿宋_GB2312"/>
          <w:sz w:val="32"/>
          <w:szCs w:val="32"/>
        </w:rPr>
        <w:t>评价期末，工程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实际占用的场地面积，以及与相关单位以合同方式确立的可自主支配的场地面积之和。主要包括工程研究中心用于研发、中试、办公等用途的自有产权或使用权（含租赁）的建筑面积。应为相对独立的整个场所面积，不能为按照人员数核算的标称面积。</w:t>
      </w:r>
    </w:p>
    <w:p>
      <w:pPr>
        <w:keepNext w:val="0"/>
        <w:keepLines w:val="0"/>
        <w:pageBreakBefore w:val="0"/>
        <w:widowControl w:val="0"/>
        <w:kinsoku/>
        <w:wordWrap/>
        <w:overflowPunct/>
        <w:topLinePunct w:val="0"/>
        <w:autoSpaceDE/>
        <w:autoSpaceDN/>
        <w:bidi w:val="0"/>
        <w:adjustRightInd/>
        <w:spacing w:beforeLines="0" w:afterLines="0"/>
        <w:ind w:firstLine="643"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加分项。</w:t>
      </w:r>
      <w:r>
        <w:rPr>
          <w:rFonts w:hint="eastAsia" w:ascii="仿宋_GB2312" w:hAnsi="仿宋_GB2312" w:eastAsia="仿宋_GB2312" w:cs="仿宋_GB2312"/>
          <w:sz w:val="32"/>
          <w:szCs w:val="32"/>
        </w:rPr>
        <w:t>评价期末</w:t>
      </w:r>
      <w:r>
        <w:rPr>
          <w:rFonts w:hint="eastAsia" w:ascii="仿宋_GB2312" w:hAnsi="仿宋_GB2312" w:eastAsia="仿宋_GB2312" w:cs="仿宋_GB2312"/>
          <w:b w:val="0"/>
          <w:bCs w:val="0"/>
          <w:sz w:val="32"/>
          <w:szCs w:val="32"/>
          <w:lang w:val="en-US" w:eastAsia="zh-CN"/>
        </w:rPr>
        <w:t>，以下情况予以适当加分</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val="en-US" w:eastAsia="zh-CN"/>
        </w:rPr>
        <w:t>采用法人实体运行的；院士、国家海外高层次人才引进计划、国家高层次人才特殊支持计划达到2名；通过国家（国际组织）认证且仍在有效期内的实验室和检测机构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主要包括经中国合格评定国家认可委员会（CNAS）、国际实验室认可组织（ILAC）认可的相关实验室和检测机构</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rPr>
        <w:t>评价期内</w:t>
      </w:r>
      <w:r>
        <w:rPr>
          <w:rFonts w:hint="eastAsia" w:ascii="仿宋_GB2312" w:hAnsi="仿宋_GB2312" w:eastAsia="仿宋_GB2312" w:cs="仿宋_GB2312"/>
          <w:b w:val="0"/>
          <w:bCs w:val="0"/>
          <w:sz w:val="32"/>
          <w:szCs w:val="32"/>
          <w:lang w:val="en-US" w:eastAsia="zh-CN"/>
        </w:rPr>
        <w:t>，以下情况予以适当加分</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中心获得由国务院颁发的“国家自然科学奖”、“国家技术发明奖”和“国家科学技术进步奖”（</w:t>
      </w:r>
      <w:r>
        <w:rPr>
          <w:rFonts w:hint="eastAsia" w:ascii="仿宋_GB2312" w:hAnsi="仿宋_GB2312" w:eastAsia="仿宋_GB2312" w:cs="仿宋_GB2312"/>
          <w:sz w:val="32"/>
          <w:szCs w:val="32"/>
          <w:lang w:val="en-US" w:eastAsia="zh-CN"/>
        </w:rPr>
        <w:t>单位或个人</w:t>
      </w:r>
      <w:r>
        <w:rPr>
          <w:rFonts w:hint="eastAsia" w:ascii="仿宋_GB2312" w:hAnsi="仿宋_GB2312" w:eastAsia="仿宋_GB2312" w:cs="仿宋_GB2312"/>
          <w:sz w:val="32"/>
          <w:szCs w:val="32"/>
          <w:lang w:eastAsia="zh-CN"/>
        </w:rPr>
        <w:t>排</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和省部级</w:t>
      </w:r>
      <w:r>
        <w:rPr>
          <w:rFonts w:hint="eastAsia" w:ascii="仿宋_GB2312" w:hAnsi="仿宋_GB2312" w:eastAsia="仿宋_GB2312" w:cs="仿宋_GB2312"/>
          <w:sz w:val="32"/>
          <w:szCs w:val="32"/>
          <w:lang w:val="en-US" w:eastAsia="zh-CN"/>
        </w:rPr>
        <w:t>一等奖（单位或个人排名第一）</w:t>
      </w:r>
      <w:r>
        <w:rPr>
          <w:rFonts w:hint="eastAsia" w:ascii="仿宋_GB2312" w:hAnsi="仿宋_GB2312" w:eastAsia="仿宋_GB2312" w:cs="仿宋_GB2312"/>
          <w:b w:val="0"/>
          <w:bCs w:val="0"/>
          <w:sz w:val="32"/>
          <w:szCs w:val="32"/>
          <w:lang w:val="en-US" w:eastAsia="zh-CN"/>
        </w:rPr>
        <w:t>；承担国家重大项目（工程）；获国家级首台套装备认定；取得PCT专利受理证书；获国家一类新药Ⅱ期、Ⅲ期临床批件、第三类医疗器械注册证。累积加分不超过10分。</w:t>
      </w:r>
    </w:p>
    <w:p>
      <w:pPr>
        <w:keepNext w:val="0"/>
        <w:keepLines w:val="0"/>
        <w:pageBreakBefore w:val="0"/>
        <w:widowControl w:val="0"/>
        <w:kinsoku/>
        <w:wordWrap/>
        <w:overflowPunct/>
        <w:topLinePunct w:val="0"/>
        <w:autoSpaceDE/>
        <w:autoSpaceDN/>
        <w:bidi w:val="0"/>
        <w:adjustRightInd/>
        <w:spacing w:beforeLines="0" w:afterLines="0"/>
        <w:ind w:firstLine="640" w:firstLineChars="200"/>
        <w:jc w:val="both"/>
        <w:textAlignment w:val="auto"/>
        <w:outlineLvl w:val="9"/>
        <w:rPr>
          <w:rFonts w:hint="eastAsia" w:ascii="仿宋_GB2312" w:hAnsi="仿宋_GB2312" w:eastAsia="仿宋_GB2312" w:cs="仿宋_GB2312"/>
          <w:sz w:val="32"/>
          <w:szCs w:val="32"/>
        </w:rPr>
      </w:pPr>
    </w:p>
    <w:p/>
    <w:sectPr>
      <w:footerReference r:id="rId3" w:type="default"/>
      <w:pgSz w:w="11900" w:h="16838"/>
      <w:pgMar w:top="2041" w:right="1474" w:bottom="2041" w:left="1587" w:header="720" w:footer="1417" w:gutter="0"/>
      <w:pgBorders>
        <w:top w:val="none" w:sz="0" w:space="0"/>
        <w:left w:val="none" w:sz="0" w:space="0"/>
        <w:bottom w:val="none" w:sz="0" w:space="0"/>
        <w:right w:val="none" w:sz="0" w:space="0"/>
      </w:pgBorders>
      <w:lnNumType w:countBy="0" w:distance="360"/>
      <w:pgNumType w:fmt="decimal" w:start="19"/>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12" w:usb3="00000000" w:csb0="00040001" w:csb1="00000000"/>
  </w:font>
  <w:font w:name="FZXBSK--GBK1-0">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315" w:leftChars="150" w:right="315" w:rightChars="15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19</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snapToGrid w:val="0"/>
                      <w:ind w:left="315" w:leftChars="150" w:right="315" w:rightChars="15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19</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B00BF"/>
    <w:rsid w:val="714B0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2021-10-08T10:08:00Z</dcterms:created>
  <dc:creator>瀚宝妈</dc:creator>
  <cp:lastModifiedBy>瀚宝妈</cp:lastModifiedBy>
  <dcterms:modified xsi:type="dcterms:W3CDTF">2021-10-08T10:08:21Z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