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atLeast"/>
        <w:ind w:left="1120" w:hanging="1120" w:hangingChars="350"/>
        <w:jc w:val="both"/>
        <w:rPr>
          <w:rFonts w:hint="eastAsia" w:ascii="黑体" w:hAnsi="Arial" w:eastAsia="黑体" w:cs="Arial"/>
          <w:sz w:val="32"/>
          <w:szCs w:val="32"/>
          <w:lang w:val="en-US" w:eastAsia="zh-CN" w:bidi="ar-SA"/>
        </w:rPr>
      </w:pPr>
      <w:r>
        <w:rPr>
          <w:rFonts w:hint="eastAsia" w:ascii="黑体" w:hAnsi="Arial" w:eastAsia="黑体" w:cs="Arial"/>
          <w:sz w:val="32"/>
          <w:szCs w:val="32"/>
          <w:lang w:val="en-US" w:eastAsia="zh-CN" w:bidi="ar-SA"/>
        </w:rPr>
        <w:t>附件2</w:t>
      </w:r>
    </w:p>
    <w:p>
      <w:pPr>
        <w:widowControl w:val="0"/>
        <w:snapToGrid w:val="0"/>
        <w:spacing w:line="560" w:lineRule="atLeast"/>
        <w:ind w:left="1260" w:hanging="1260" w:hangingChars="350"/>
        <w:jc w:val="both"/>
        <w:rPr>
          <w:rFonts w:hint="eastAsia" w:ascii="方正小标宋简体" w:hAnsi="黑体" w:eastAsia="方正小标宋简体" w:cs="Arial"/>
          <w:sz w:val="36"/>
          <w:szCs w:val="36"/>
          <w:lang w:val="en-US" w:eastAsia="zh-CN" w:bidi="ar-SA"/>
        </w:rPr>
      </w:pPr>
    </w:p>
    <w:p>
      <w:pPr>
        <w:widowControl w:val="0"/>
        <w:snapToGrid w:val="0"/>
        <w:spacing w:line="560" w:lineRule="atLeast"/>
        <w:ind w:left="1260" w:hanging="1540" w:hangingChars="350"/>
        <w:jc w:val="center"/>
        <w:rPr>
          <w:rFonts w:hint="eastAsia" w:ascii="方正小标宋简体" w:hAnsi="黑体" w:eastAsia="方正小标宋简体" w:cs="Arial"/>
          <w:sz w:val="44"/>
          <w:szCs w:val="44"/>
          <w:lang w:val="en-US" w:eastAsia="zh-CN" w:bidi="ar-SA"/>
        </w:rPr>
      </w:pPr>
      <w:bookmarkStart w:id="0" w:name="_GoBack"/>
      <w:r>
        <w:rPr>
          <w:rFonts w:hint="eastAsia" w:ascii="方正小标宋简体" w:hAnsi="黑体" w:eastAsia="方正小标宋简体" w:cs="Arial"/>
          <w:sz w:val="44"/>
          <w:szCs w:val="44"/>
          <w:lang w:val="en-US" w:eastAsia="zh-CN" w:bidi="ar-SA"/>
        </w:rPr>
        <w:t>《</w:t>
      </w:r>
      <w:r>
        <w:rPr>
          <w:rFonts w:hint="eastAsia" w:ascii="方正小标宋简体" w:hAnsi="黑体" w:eastAsia="方正小标宋简体"/>
          <w:sz w:val="44"/>
          <w:szCs w:val="44"/>
        </w:rPr>
        <w:t>福建省</w:t>
      </w:r>
      <w:r>
        <w:rPr>
          <w:rFonts w:hint="eastAsia" w:ascii="方正小标宋简体" w:hAnsi="黑体" w:eastAsia="方正小标宋简体" w:cs="Arial"/>
          <w:sz w:val="44"/>
          <w:szCs w:val="44"/>
          <w:lang w:val="en-US" w:eastAsia="zh-CN" w:bidi="ar-SA"/>
        </w:rPr>
        <w:t>工程研究中心工作报告》编制提纲</w:t>
      </w:r>
    </w:p>
    <w:bookmarkEnd w:id="0"/>
    <w:p>
      <w:pPr>
        <w:spacing w:beforeLines="0" w:afterLines="0"/>
        <w:jc w:val="both"/>
        <w:rPr>
          <w:rFonts w:hint="eastAsia" w:ascii="黑体" w:hAnsi="黑体" w:eastAsia="黑体" w:cs="黑体"/>
          <w:sz w:val="32"/>
          <w:szCs w:val="32"/>
        </w:rPr>
      </w:pPr>
    </w:p>
    <w:p>
      <w:pPr>
        <w:spacing w:beforeLines="0" w:afterLines="0"/>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rPr>
        <w:t>一、承担单位基本情况</w:t>
      </w:r>
    </w:p>
    <w:p>
      <w:pPr>
        <w:spacing w:beforeLines="0" w:afterLines="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工程研究中心概况</w:t>
      </w:r>
    </w:p>
    <w:p>
      <w:pPr>
        <w:spacing w:beforeLines="0" w:afterLines="0"/>
        <w:ind w:firstLine="640" w:firstLineChars="200"/>
        <w:jc w:val="both"/>
        <w:rPr>
          <w:rFonts w:hint="eastAsia" w:ascii="仿宋_GB2312" w:hAnsi="仿宋_GB2312" w:eastAsia="仿宋_GB2312" w:cs="仿宋_GB2312"/>
          <w:sz w:val="32"/>
          <w:szCs w:val="32"/>
          <w:lang w:eastAsia="zh-CN"/>
        </w:rPr>
      </w:pPr>
      <w:r>
        <w:rPr>
          <w:rFonts w:hint="eastAsia" w:eastAsia="仿宋_GB2312"/>
          <w:color w:val="auto"/>
          <w:sz w:val="32"/>
          <w:szCs w:val="32"/>
          <w:lang w:eastAsia="zh-CN"/>
        </w:rPr>
        <w:t>（二）工程</w:t>
      </w:r>
      <w:r>
        <w:rPr>
          <w:rFonts w:hint="eastAsia" w:ascii="仿宋_GB2312" w:hAnsi="仿宋_GB2312" w:eastAsia="仿宋_GB2312" w:cs="仿宋_GB2312"/>
          <w:sz w:val="32"/>
          <w:szCs w:val="32"/>
        </w:rPr>
        <w:t>研究</w:t>
      </w:r>
      <w:r>
        <w:rPr>
          <w:rFonts w:hint="eastAsia" w:eastAsia="仿宋_GB2312"/>
          <w:color w:val="auto"/>
          <w:sz w:val="32"/>
          <w:szCs w:val="32"/>
          <w:lang w:eastAsia="zh-CN"/>
        </w:rPr>
        <w:t>中心的条件和能力。研发人才队伍、高层次人才情况，工程化研究与验证设施、场地情况，研发成果（项目、专利、新工艺、新方法、新产品、获奖情况、标准制定等）等。</w:t>
      </w:r>
    </w:p>
    <w:p>
      <w:pPr>
        <w:spacing w:beforeLines="0" w:afterLines="0"/>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主要贡献</w:t>
      </w:r>
    </w:p>
    <w:p>
      <w:pPr>
        <w:spacing w:beforeLines="0" w:afterLines="0"/>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（一）对攻克产业关键核心技术的贡献。</w:t>
      </w:r>
      <w:r>
        <w:rPr>
          <w:rFonts w:hint="eastAsia" w:ascii="仿宋_GB2312" w:hAnsi="仿宋_GB2312" w:eastAsia="仿宋_GB2312" w:cs="仿宋_GB2312"/>
          <w:sz w:val="32"/>
          <w:szCs w:val="32"/>
        </w:rPr>
        <w:t>评价期内，工程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中心围绕制约产业发展的“卡脖子”关键核心技术，通过承担项目或自筹资金开展技术攻关，促进关键核心技术突破取得进展的有关情况。简要列举工程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中心取得的重大技术攻关成果，包括获得的省部级及以上技术创新奖项数以及重要社会科技奖项情况。（附必要的图表和数据资料，下同）。</w:t>
      </w:r>
    </w:p>
    <w:p>
      <w:pPr>
        <w:spacing w:beforeLines="0" w:afterLines="0"/>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（二）对支撑国家</w:t>
      </w:r>
      <w:r>
        <w:rPr>
          <w:rFonts w:hint="eastAsia" w:ascii="仿宋_GB2312" w:hAnsi="仿宋_GB2312" w:eastAsia="仿宋_GB2312" w:cs="仿宋_GB2312"/>
          <w:b/>
          <w:bCs/>
          <w:sz w:val="32"/>
          <w:szCs w:val="32"/>
          <w:lang w:eastAsia="zh-CN"/>
        </w:rPr>
        <w:t>和我省</w:t>
      </w:r>
      <w:r>
        <w:rPr>
          <w:rFonts w:hint="eastAsia" w:ascii="仿宋_GB2312" w:hAnsi="仿宋_GB2312" w:eastAsia="仿宋_GB2312" w:cs="仿宋_GB2312"/>
          <w:b/>
          <w:bCs/>
          <w:sz w:val="32"/>
          <w:szCs w:val="32"/>
        </w:rPr>
        <w:t>战略任务和重点工程实施的贡献。</w:t>
      </w:r>
      <w:r>
        <w:rPr>
          <w:rFonts w:hint="eastAsia" w:ascii="仿宋_GB2312" w:hAnsi="仿宋_GB2312" w:eastAsia="仿宋_GB2312" w:cs="仿宋_GB2312"/>
          <w:sz w:val="32"/>
          <w:szCs w:val="32"/>
        </w:rPr>
        <w:t>评价期内，工程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中心面向国家</w:t>
      </w:r>
      <w:r>
        <w:rPr>
          <w:rFonts w:hint="eastAsia" w:ascii="仿宋_GB2312" w:hAnsi="仿宋_GB2312" w:eastAsia="仿宋_GB2312" w:cs="仿宋_GB2312"/>
          <w:sz w:val="32"/>
          <w:szCs w:val="32"/>
          <w:lang w:eastAsia="zh-CN"/>
        </w:rPr>
        <w:t>和我省</w:t>
      </w:r>
      <w:r>
        <w:rPr>
          <w:rFonts w:hint="eastAsia" w:ascii="仿宋_GB2312" w:hAnsi="仿宋_GB2312" w:eastAsia="仿宋_GB2312" w:cs="仿宋_GB2312"/>
          <w:sz w:val="32"/>
          <w:szCs w:val="32"/>
        </w:rPr>
        <w:t>战略任务和重点工程建设需求，提供关键零部件研发、试验测试及其技术产品和装备等，支撑相关任务或建设取得进展的有关情况。简要列举工程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中心直接或间接参与列入国民经济和社会发展五年规划或专项规划的任务、重大科技专项以及重大工程情况。</w:t>
      </w:r>
    </w:p>
    <w:p>
      <w:pPr>
        <w:spacing w:beforeLines="0" w:afterLines="0"/>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（三）对推动技术成果应用和带动产业发展的贡献。</w:t>
      </w:r>
      <w:r>
        <w:rPr>
          <w:rFonts w:hint="eastAsia" w:ascii="仿宋_GB2312" w:hAnsi="仿宋_GB2312" w:eastAsia="仿宋_GB2312" w:cs="仿宋_GB2312"/>
          <w:sz w:val="32"/>
          <w:szCs w:val="32"/>
        </w:rPr>
        <w:t>评价期内，工程</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中心围绕提高经济质量效益和核心竞争力，推动技术转移和扩散，持续不断地为规模化生产提供成熟的先进技术、工艺及其技术产品和装备，助力推动高质量发展的有关情况。</w:t>
      </w:r>
    </w:p>
    <w:p>
      <w:pPr>
        <w:spacing w:beforeLines="0" w:afterLines="0"/>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三、未来两年主要任务与目标</w:t>
      </w:r>
    </w:p>
    <w:p>
      <w:pPr>
        <w:spacing w:beforeLines="0" w:afterLines="0"/>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（一）发展目标</w:t>
      </w:r>
    </w:p>
    <w:p>
      <w:pPr>
        <w:spacing w:beforeLines="0" w:afterLines="0"/>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（二）逐一列出核心技术攻关目标、拟开展工程技术验证成果、拟开展实质性转化落地成果和进度安排</w:t>
      </w:r>
    </w:p>
    <w:p>
      <w:pPr>
        <w:spacing w:beforeLines="0" w:afterLines="0"/>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四、工作亮点</w:t>
      </w:r>
    </w:p>
    <w:p>
      <w:pPr>
        <w:spacing w:beforeLines="0" w:afterLines="0"/>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如运行管理、人才激励、产学研合作、开放交流、成果</w:t>
      </w:r>
      <w:r>
        <w:rPr>
          <w:rFonts w:hint="eastAsia" w:ascii="仿宋_GB2312" w:hAnsi="仿宋_GB2312" w:eastAsia="仿宋_GB2312" w:cs="仿宋_GB2312"/>
          <w:sz w:val="32"/>
          <w:szCs w:val="32"/>
          <w:lang w:val="en-US" w:eastAsia="zh-CN"/>
        </w:rPr>
        <w:t>转移</w:t>
      </w:r>
      <w:r>
        <w:rPr>
          <w:rFonts w:hint="eastAsia" w:ascii="仿宋_GB2312" w:hAnsi="仿宋_GB2312" w:eastAsia="仿宋_GB2312" w:cs="仿宋_GB2312"/>
          <w:sz w:val="32"/>
          <w:szCs w:val="32"/>
          <w:lang w:eastAsia="zh-CN"/>
        </w:rPr>
        <w:t>转化等。</w:t>
      </w:r>
    </w:p>
    <w:p>
      <w:pPr>
        <w:spacing w:beforeLines="0" w:afterLines="0"/>
        <w:ind w:firstLine="640" w:firstLineChars="200"/>
        <w:jc w:val="both"/>
        <w:rPr>
          <w:rFonts w:hint="eastAsia" w:ascii="仿宋_GB2312" w:hAnsi="仿宋_GB2312" w:eastAsia="仿宋_GB2312" w:cs="仿宋_GB2312"/>
          <w:sz w:val="32"/>
          <w:szCs w:val="32"/>
        </w:rPr>
      </w:pPr>
    </w:p>
    <w:p>
      <w:pPr>
        <w:spacing w:beforeLines="0" w:afterLines="0"/>
        <w:ind w:firstLine="640" w:firstLineChars="200"/>
        <w:jc w:val="both"/>
        <w:rPr>
          <w:rFonts w:hint="eastAsia" w:ascii="仿宋_GB2312" w:hAnsi="仿宋_GB2312" w:eastAsia="仿宋_GB2312" w:cs="仿宋_GB2312"/>
          <w:sz w:val="32"/>
          <w:szCs w:val="32"/>
        </w:rPr>
      </w:pPr>
    </w:p>
    <w:p/>
    <w:sectPr>
      <w:footerReference r:id="rId3" w:type="default"/>
      <w:pgSz w:w="11900" w:h="16838"/>
      <w:pgMar w:top="1928" w:right="1474" w:bottom="1928" w:left="1587" w:header="720" w:footer="964" w:gutter="0"/>
      <w:lnNumType w:countBy="0" w:distance="360"/>
      <w:pgNumType w:fmt="decimal" w:start="17"/>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315" w:leftChars="150" w:right="315" w:rightChars="15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17</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snapToGrid w:val="0"/>
                      <w:ind w:left="315" w:leftChars="150" w:right="315" w:rightChars="15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17</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03FA4"/>
    <w:rsid w:val="4DC03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2021-10-08T10:07:00Z</dcterms:created>
  <dc:creator>瀚宝妈</dc:creator>
  <cp:lastModifiedBy>瀚宝妈</cp:lastModifiedBy>
  <dcterms:modified xsi:type="dcterms:W3CDTF">2021-10-08T10:07:56Z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