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283" w:lineRule="auto"/>
        <w:ind w:firstLine="0" w:firstLineChars="0"/>
        <w:rPr>
          <w:rFonts w:hint="eastAsia" w:ascii="方正黑体_GBK" w:hAnsi="方正楷体_GBK" w:eastAsia="方正黑体_GBK" w:cs="方正楷体_GBK"/>
          <w:sz w:val="32"/>
          <w:szCs w:val="32"/>
        </w:rPr>
      </w:pPr>
      <w:r>
        <w:rPr>
          <w:rFonts w:ascii="方正黑体_GBK" w:hAnsi="方正楷体_GBK" w:eastAsia="方正黑体_GBK" w:cs="方正楷体_GBK"/>
          <w:sz w:val="32"/>
          <w:szCs w:val="32"/>
        </w:rPr>
        <w:t>附件</w:t>
      </w:r>
      <w:r>
        <w:rPr>
          <w:rFonts w:hint="eastAsia" w:ascii="方正黑体_GBK" w:hAnsi="方正楷体_GBK" w:eastAsia="方正黑体_GBK" w:cs="方正楷体_GBK"/>
          <w:sz w:val="32"/>
          <w:szCs w:val="32"/>
        </w:rPr>
        <w:t>4</w:t>
      </w:r>
    </w:p>
    <w:p>
      <w:pPr>
        <w:pStyle w:val="2"/>
        <w:snapToGrid w:val="0"/>
        <w:spacing w:line="240" w:lineRule="exact"/>
        <w:ind w:firstLine="0" w:firstLineChars="0"/>
        <w:rPr>
          <w:rFonts w:hint="eastAsia" w:ascii="方正黑体_GBK" w:hAnsi="方正楷体_GBK" w:eastAsia="方正黑体_GBK" w:cs="方正楷体_GBK"/>
          <w:sz w:val="32"/>
          <w:szCs w:val="32"/>
        </w:rPr>
      </w:pPr>
    </w:p>
    <w:p>
      <w:pPr>
        <w:pStyle w:val="2"/>
        <w:snapToGrid w:val="0"/>
        <w:spacing w:line="283" w:lineRule="auto"/>
        <w:ind w:firstLine="0" w:firstLineChars="0"/>
        <w:jc w:val="center"/>
        <w:rPr>
          <w:rFonts w:hint="eastAsia" w:ascii="方正小标宋_GBK" w:hAnsi="方正楷体_GBK" w:eastAsia="方正小标宋_GBK" w:cs="方正楷体_GBK"/>
          <w:sz w:val="44"/>
          <w:szCs w:val="44"/>
        </w:rPr>
      </w:pPr>
      <w:r>
        <w:rPr>
          <w:rFonts w:hint="eastAsia" w:ascii="方正小标宋_GBK" w:hAnsi="方正楷体_GBK" w:eastAsia="方正小标宋_GBK" w:cs="方正楷体_GBK"/>
          <w:sz w:val="44"/>
          <w:szCs w:val="44"/>
        </w:rPr>
        <w:t>名词解释</w:t>
      </w:r>
    </w:p>
    <w:p>
      <w:pPr>
        <w:pStyle w:val="2"/>
        <w:snapToGrid w:val="0"/>
        <w:spacing w:line="240" w:lineRule="exact"/>
        <w:ind w:firstLine="0" w:firstLineChars="0"/>
        <w:rPr>
          <w:rFonts w:hint="eastAsia" w:ascii="方正仿宋_GBK" w:hAnsi="方正仿宋_GBK" w:eastAsia="方正仿宋_GBK" w:cs="方正仿宋_GBK"/>
          <w:sz w:val="32"/>
          <w:szCs w:val="32"/>
        </w:rPr>
      </w:pPr>
    </w:p>
    <w:p>
      <w:pPr>
        <w:pStyle w:val="2"/>
        <w:snapToGrid w:val="0"/>
        <w:spacing w:line="576"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一、住宅专项维修资金：</w:t>
      </w:r>
      <w:r>
        <w:rPr>
          <w:rFonts w:ascii="Times New Roman" w:hAnsi="方正仿宋_GBK" w:eastAsia="方正仿宋_GBK"/>
          <w:sz w:val="32"/>
          <w:szCs w:val="32"/>
        </w:rPr>
        <w:t>是指专项用于住宅共用部位、共用设施设备保修期满后的维修、更新和改造的资金。</w:t>
      </w:r>
    </w:p>
    <w:p>
      <w:pPr>
        <w:pStyle w:val="2"/>
        <w:snapToGrid w:val="0"/>
        <w:spacing w:line="576"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二、共用部位：</w:t>
      </w:r>
      <w:r>
        <w:rPr>
          <w:rFonts w:ascii="Times New Roman" w:hAnsi="方正仿宋_GBK" w:eastAsia="方正仿宋_GBK"/>
          <w:sz w:val="32"/>
          <w:szCs w:val="32"/>
        </w:rPr>
        <w:t>是指根据法律、法规和房屋买卖合同，由单幢住宅内业主或者单幢住宅内业主及与之结构相连的非住宅业主共有的部位，一般包括：住宅的基础、承重墙体、柱、梁、楼板、屋顶以及户外的墙面、门厅、楼梯间、走廊通道等。</w:t>
      </w:r>
    </w:p>
    <w:p>
      <w:pPr>
        <w:pStyle w:val="2"/>
        <w:snapToGrid w:val="0"/>
        <w:spacing w:line="576"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三、共用设施设备：</w:t>
      </w:r>
      <w:r>
        <w:rPr>
          <w:rFonts w:ascii="Times New Roman" w:hAnsi="方正仿宋_GBK" w:eastAsia="方正仿宋_GBK"/>
          <w:sz w:val="32"/>
          <w:szCs w:val="32"/>
        </w:rPr>
        <w:t>是指根据法律、法规和房屋买卖合同，由住宅业主或者住宅业主及有关非住宅业主共有的附属设施设备，一般包括：电梯、天线、照明、消防设施、绿地、道路、路灯、沟渠、池、井、非经营性车场车库、公益性文体设施和共用设施设备使用的房屋等。</w:t>
      </w:r>
    </w:p>
    <w:p>
      <w:pPr>
        <w:pStyle w:val="2"/>
        <w:snapToGrid w:val="0"/>
        <w:spacing w:line="576"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四、使用申请人：</w:t>
      </w:r>
      <w:r>
        <w:rPr>
          <w:rFonts w:ascii="Times New Roman" w:hAnsi="方正仿宋_GBK" w:eastAsia="方正仿宋_GBK"/>
          <w:sz w:val="32"/>
          <w:szCs w:val="32"/>
        </w:rPr>
        <w:t>已成立业主委员会（物业管理委员会）的，由业主委员会（物业管理委员会）作为使用申请人；未成立业主委员会（物业管理委员会）但选聘有物业服务企业的，由物业服务企业作为使用申请人；未成立业主委员会（物业管理委员会）且未选聘物业服务企业或相关主体不履职（无法履职）的，由街道办事处（镇人民政府）作为使用申请人。</w:t>
      </w:r>
    </w:p>
    <w:p>
      <w:pPr>
        <w:pStyle w:val="2"/>
        <w:snapToGrid w:val="0"/>
        <w:spacing w:line="576" w:lineRule="exact"/>
        <w:ind w:firstLine="640" w:firstLineChars="200"/>
        <w:rPr>
          <w:rFonts w:ascii="Times New Roman" w:hAnsi="Times New Roman" w:eastAsia="方正黑体_GBK"/>
          <w:sz w:val="32"/>
          <w:szCs w:val="32"/>
        </w:rPr>
      </w:pPr>
      <w:r>
        <w:rPr>
          <w:rFonts w:ascii="Times New Roman" w:hAnsi="方正仿宋_GBK" w:eastAsia="方正仿宋_GBK"/>
          <w:sz w:val="32"/>
          <w:szCs w:val="32"/>
        </w:rPr>
        <w:t>属于正常使用、应急使用的，业主委员会（物业管理委员会）或街道办事处（镇人民政府）可书面委托其他依法成立的主体作为使用申请人；</w:t>
      </w:r>
    </w:p>
    <w:p>
      <w:pPr>
        <w:pStyle w:val="2"/>
        <w:snapToGrid w:val="0"/>
        <w:spacing w:line="576" w:lineRule="exact"/>
        <w:ind w:firstLine="640" w:firstLineChars="200"/>
        <w:rPr>
          <w:rFonts w:ascii="Times New Roman" w:hAnsi="Times New Roman" w:eastAsia="方正黑体_GBK"/>
          <w:sz w:val="32"/>
          <w:szCs w:val="32"/>
        </w:rPr>
      </w:pPr>
      <w:r>
        <w:rPr>
          <w:rFonts w:ascii="Times New Roman" w:hAnsi="方正仿宋_GBK" w:eastAsia="方正仿宋_GBK"/>
          <w:sz w:val="32"/>
          <w:szCs w:val="32"/>
        </w:rPr>
        <w:t>授权使用由专项维修资金管理公约或应急使用预案约定的执行主体作为使用申请人。</w:t>
      </w:r>
    </w:p>
    <w:p>
      <w:pPr>
        <w:pStyle w:val="2"/>
        <w:snapToGrid w:val="0"/>
        <w:spacing w:line="576"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建筑区划内仅有售后公有住房的，由售房单位作为使用申请人，售房单位已破产、解体、注销的，由街道办事处（镇人民政府）作为使用申请人；建筑区划内既有售后公有住房又有其他类型房屋的，由上述规定的申请主体作为使用申请人。</w:t>
      </w:r>
    </w:p>
    <w:p>
      <w:pPr>
        <w:pStyle w:val="2"/>
        <w:snapToGrid w:val="0"/>
        <w:spacing w:line="576"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五、表决组织主体：</w:t>
      </w:r>
      <w:r>
        <w:rPr>
          <w:rFonts w:ascii="Times New Roman" w:hAnsi="方正仿宋_GBK" w:eastAsia="方正仿宋_GBK"/>
          <w:sz w:val="32"/>
          <w:szCs w:val="32"/>
        </w:rPr>
        <w:t>已成立业主委员会的，由业主委员会作为组织业主表决的主体；未成立业主委员会或业主委员会不履职（无法履职）的，由街道办事处（镇人民政府）作为组织业主表决的主体。</w:t>
      </w:r>
    </w:p>
    <w:p>
      <w:pPr>
        <w:pStyle w:val="2"/>
        <w:snapToGrid w:val="0"/>
        <w:spacing w:line="576"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业主委员会或街道办事处（镇人民政府）可书面委托其他依法成立的主体作为组织业主表决的主体。</w:t>
      </w:r>
    </w:p>
    <w:p>
      <w:pPr>
        <w:pStyle w:val="2"/>
        <w:snapToGrid w:val="0"/>
        <w:spacing w:line="576"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六、申报专员：</w:t>
      </w:r>
      <w:r>
        <w:rPr>
          <w:rFonts w:ascii="Times New Roman" w:hAnsi="方正仿宋_GBK" w:eastAsia="方正仿宋_GBK"/>
          <w:sz w:val="32"/>
          <w:szCs w:val="32"/>
        </w:rPr>
        <w:t>是指业主委员会（物业管理委员会）、物业服务企业、街道办事处（镇人民政府）等使用申请人明确的专项负责维修资金使用申报工作的人员。</w:t>
      </w:r>
    </w:p>
    <w:p>
      <w:pPr>
        <w:pStyle w:val="2"/>
        <w:snapToGrid w:val="0"/>
        <w:spacing w:line="576"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七、申报监督员：</w:t>
      </w:r>
      <w:r>
        <w:rPr>
          <w:rFonts w:ascii="Times New Roman" w:hAnsi="方正仿宋_GBK" w:eastAsia="方正仿宋_GBK"/>
          <w:sz w:val="32"/>
          <w:szCs w:val="32"/>
        </w:rPr>
        <w:t>是指业主委员会（物业管理委员会）、物业服务企业、街道办事处（镇人民政府）等使用申请人明确的专项负责维修资金使用申报监督工作的人员。</w:t>
      </w:r>
    </w:p>
    <w:p>
      <w:pPr>
        <w:pStyle w:val="2"/>
        <w:snapToGrid w:val="0"/>
        <w:spacing w:line="576"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八、正常使用：</w:t>
      </w:r>
      <w:r>
        <w:rPr>
          <w:rFonts w:ascii="Times New Roman" w:hAnsi="方正仿宋_GBK" w:eastAsia="方正仿宋_GBK"/>
          <w:sz w:val="32"/>
          <w:szCs w:val="32"/>
        </w:rPr>
        <w:t>是指经分摊列支范围内业主对使用方案依法表决后的使用。</w:t>
      </w:r>
    </w:p>
    <w:p>
      <w:pPr>
        <w:pStyle w:val="2"/>
        <w:snapToGrid w:val="0"/>
        <w:spacing w:line="576"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九、授权使用：</w:t>
      </w:r>
      <w:r>
        <w:rPr>
          <w:rFonts w:ascii="Times New Roman" w:hAnsi="方正仿宋_GBK" w:eastAsia="方正仿宋_GBK"/>
          <w:sz w:val="32"/>
          <w:szCs w:val="32"/>
        </w:rPr>
        <w:t>是指按照专项维修资金管理公约或应急使用预案约定授权的使用。</w:t>
      </w:r>
    </w:p>
    <w:p>
      <w:pPr>
        <w:pStyle w:val="2"/>
        <w:snapToGrid w:val="0"/>
        <w:spacing w:line="576" w:lineRule="exact"/>
        <w:ind w:firstLine="640" w:firstLineChars="200"/>
        <w:rPr>
          <w:rFonts w:hint="eastAsia" w:ascii="Times New Roman" w:hAnsi="方正仿宋_GBK" w:eastAsia="方正仿宋_GBK"/>
          <w:sz w:val="32"/>
          <w:szCs w:val="32"/>
        </w:rPr>
      </w:pPr>
      <w:r>
        <w:rPr>
          <w:rFonts w:ascii="Times New Roman" w:hAnsi="Times New Roman" w:eastAsia="方正黑体_GBK"/>
          <w:sz w:val="32"/>
          <w:szCs w:val="32"/>
        </w:rPr>
        <w:t>十、应急使用：</w:t>
      </w:r>
      <w:r>
        <w:rPr>
          <w:rFonts w:ascii="Times New Roman" w:hAnsi="方正仿宋_GBK" w:eastAsia="方正仿宋_GBK"/>
          <w:sz w:val="32"/>
          <w:szCs w:val="32"/>
        </w:rPr>
        <w:t>是指未建立应急使用预案或专项维修资金管理公约的建筑区划，按照《成都市住宅专项维修资金管理办法》（市政府令第</w:t>
      </w:r>
      <w:r>
        <w:rPr>
          <w:rFonts w:ascii="Times New Roman" w:hAnsi="Times New Roman" w:eastAsia="方正仿宋_GBK"/>
          <w:sz w:val="32"/>
          <w:szCs w:val="32"/>
        </w:rPr>
        <w:t>195</w:t>
      </w:r>
      <w:r>
        <w:rPr>
          <w:rFonts w:ascii="Times New Roman" w:hAnsi="方正仿宋_GBK" w:eastAsia="方正仿宋_GBK"/>
          <w:sz w:val="32"/>
          <w:szCs w:val="32"/>
        </w:rPr>
        <w:t>号）第三十条规定进行排危除险的使用。</w:t>
      </w:r>
    </w:p>
    <w:p>
      <w:pPr>
        <w:pStyle w:val="2"/>
        <w:snapToGrid w:val="0"/>
        <w:spacing w:line="576" w:lineRule="exact"/>
        <w:ind w:firstLine="640" w:firstLineChars="200"/>
        <w:rPr>
          <w:rFonts w:hint="eastAsia" w:ascii="Times New Roman" w:hAnsi="方正仿宋_GBK" w:eastAsia="方正仿宋_GBK"/>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MjBjOTE0NWUzZjE5ODkwYmQ2NmYwOTIwNzNiYmIifQ=="/>
  </w:docVars>
  <w:rsids>
    <w:rsidRoot w:val="6D264743"/>
    <w:rsid w:val="3BBA40DC"/>
    <w:rsid w:val="60681AA9"/>
    <w:rsid w:val="6D264743"/>
    <w:rsid w:val="79531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732" w:firstLineChars="244"/>
    </w:pPr>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356</Words>
  <Characters>371</Characters>
  <Lines>0</Lines>
  <Paragraphs>0</Paragraphs>
  <TotalTime>1</TotalTime>
  <ScaleCrop>false</ScaleCrop>
  <LinksUpToDate>false</LinksUpToDate>
  <CharactersWithSpaces>387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2022-12-05T10:05:00Z</dcterms:created>
  <dc:creator>WPS_1664190016</dc:creator>
  <cp:lastModifiedBy>WPS_1664190016</cp:lastModifiedBy>
  <dcterms:modified xsi:type="dcterms:W3CDTF">2022-12-05T10:08:05Z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6A7080FCE3734B60B2902FDFDD3E63C7</vt:lpwstr>
  </property>
</Properties>
</file>