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hint="eastAsia" w:ascii="黑体" w:eastAsia="黑体"/>
          <w:sz w:val="32"/>
          <w:szCs w:val="32"/>
        </w:rPr>
      </w:pPr>
      <w:r>
        <w:rPr>
          <w:rFonts w:hint="eastAsia" w:ascii="黑体" w:eastAsia="黑体"/>
          <w:sz w:val="32"/>
          <w:szCs w:val="32"/>
        </w:rPr>
        <w:t>附件</w:t>
      </w:r>
    </w:p>
    <w:p>
      <w:pPr>
        <w:spacing w:line="380" w:lineRule="exact"/>
        <w:rPr>
          <w:rFonts w:hint="eastAsia" w:ascii="黑体" w:eastAsia="黑体"/>
          <w:sz w:val="32"/>
          <w:szCs w:val="32"/>
        </w:rPr>
      </w:pPr>
    </w:p>
    <w:p>
      <w:pPr>
        <w:spacing w:line="540" w:lineRule="exact"/>
        <w:jc w:val="center"/>
        <w:rPr>
          <w:rFonts w:hint="eastAsia" w:ascii="方正小标宋简体" w:hAnsi="黑体" w:eastAsia="方正小标宋简体"/>
          <w:color w:val="000000"/>
          <w:sz w:val="44"/>
          <w:szCs w:val="44"/>
        </w:rPr>
      </w:pPr>
      <w:r>
        <w:rPr>
          <w:rFonts w:hint="eastAsia" w:ascii="方正小标宋简体" w:hAnsi="黑体" w:eastAsia="方正小标宋简体"/>
          <w:color w:val="000000"/>
          <w:sz w:val="44"/>
          <w:szCs w:val="44"/>
        </w:rPr>
        <w:t>关于《北京市地方税务局</w:t>
      </w:r>
    </w:p>
    <w:p>
      <w:pPr>
        <w:spacing w:line="540" w:lineRule="exact"/>
        <w:jc w:val="center"/>
        <w:rPr>
          <w:rFonts w:hint="eastAsia" w:ascii="方正小标宋简体" w:hAnsi="黑体" w:eastAsia="方正小标宋简体"/>
          <w:color w:val="000000"/>
          <w:sz w:val="44"/>
          <w:szCs w:val="44"/>
        </w:rPr>
      </w:pPr>
      <w:r>
        <w:rPr>
          <w:rFonts w:hint="eastAsia" w:ascii="方正小标宋简体" w:hAnsi="黑体" w:eastAsia="方正小标宋简体"/>
          <w:color w:val="000000"/>
          <w:sz w:val="44"/>
          <w:szCs w:val="44"/>
        </w:rPr>
        <w:t>关于取消有奖发票的公告》的政策解读</w:t>
      </w:r>
    </w:p>
    <w:p>
      <w:pPr>
        <w:spacing w:line="380" w:lineRule="exact"/>
        <w:rPr>
          <w:rFonts w:hint="eastAsia" w:ascii="黑体" w:eastAsia="黑体"/>
          <w:sz w:val="32"/>
          <w:szCs w:val="32"/>
        </w:rPr>
      </w:pPr>
    </w:p>
    <w:p>
      <w:pPr>
        <w:spacing w:line="54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一、为什么要取消有奖发票？</w:t>
      </w:r>
    </w:p>
    <w:p>
      <w:pPr>
        <w:spacing w:line="540" w:lineRule="exact"/>
        <w:ind w:firstLine="640" w:firstLineChars="200"/>
        <w:rPr>
          <w:rFonts w:hint="eastAsia" w:ascii="仿宋_GB2312" w:hAnsi="宋体" w:eastAsia="仿宋_GB2312"/>
          <w:sz w:val="32"/>
          <w:szCs w:val="32"/>
        </w:rPr>
      </w:pPr>
      <w:r>
        <w:rPr>
          <w:rFonts w:hint="eastAsia" w:ascii="仿宋_GB2312" w:hAnsi="黑体" w:eastAsia="仿宋_GB2312"/>
          <w:color w:val="000000"/>
          <w:sz w:val="32"/>
          <w:szCs w:val="32"/>
        </w:rPr>
        <w:t>答：按照国务院</w:t>
      </w:r>
      <w:r>
        <w:rPr>
          <w:rFonts w:hint="eastAsia" w:ascii="仿宋_GB2312" w:hAnsi="宋体" w:eastAsia="仿宋_GB2312"/>
          <w:sz w:val="32"/>
          <w:szCs w:val="32"/>
        </w:rPr>
        <w:t>关于“营改增”试点改革工作总体安排，我市自2012年9月1日起在</w:t>
      </w:r>
      <w:r>
        <w:rPr>
          <w:rFonts w:hint="eastAsia" w:ascii="仿宋_GB2312" w:hAnsi="宋体" w:eastAsia="仿宋_GB2312" w:cs="宋体"/>
          <w:kern w:val="0"/>
          <w:sz w:val="32"/>
          <w:szCs w:val="32"/>
        </w:rPr>
        <w:t>交通运输业和部分现代服务业开展“营改增”试点改革工作，截</w:t>
      </w:r>
      <w:r>
        <w:rPr>
          <w:rFonts w:hint="eastAsia" w:ascii="仿宋_GB2312" w:hAnsi="宋体" w:eastAsia="仿宋_GB2312"/>
          <w:sz w:val="32"/>
          <w:szCs w:val="32"/>
        </w:rPr>
        <w:t>至2013年8月31日本市共有28.8万户企业纳入试点改革，试点纳税人累计入库改征增值税250.7亿元，我局监制的普通发票发放数量同比下降52%，减少6.53亿份。随着“营改增”试点改革工作的逐步推进，地税普通发票的使用范围将进一步缩小。同时随着我局税收征管工作的逐步加强，首都纳税人税法遵从度的不断提高，依靠有奖发票推动我市地方税收收入增长的效用正在逐年减弱。因此，为配合做好“营改增”改革工作，充分发挥财政资金的社会效益，经市政府同意，我局决定自2014年起取消有奖发票，即2014年1月1日起</w:t>
      </w:r>
      <w:r>
        <w:rPr>
          <w:rFonts w:hint="eastAsia" w:ascii="仿宋_GB2312" w:hAnsi="仿宋" w:eastAsia="仿宋_GB2312"/>
          <w:sz w:val="32"/>
          <w:szCs w:val="32"/>
        </w:rPr>
        <w:t>北京市地方税务局新印制的《北京市地方税务局通用机打发票》（卷式）取消布奖。</w:t>
      </w:r>
    </w:p>
    <w:p>
      <w:pPr>
        <w:spacing w:line="54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二、北京市地方税务局对已布奖的有奖发票是否继续兑奖，如何兑奖？</w:t>
      </w:r>
    </w:p>
    <w:p>
      <w:pPr>
        <w:spacing w:line="540" w:lineRule="exact"/>
        <w:ind w:firstLine="640" w:firstLineChars="200"/>
        <w:rPr>
          <w:rFonts w:hint="eastAsia" w:ascii="仿宋_GB2312" w:hAnsi="仿宋" w:eastAsia="仿宋_GB2312"/>
          <w:sz w:val="32"/>
          <w:szCs w:val="32"/>
        </w:rPr>
      </w:pPr>
      <w:r>
        <w:rPr>
          <w:rFonts w:hint="eastAsia" w:ascii="仿宋_GB2312" w:hAnsi="宋体" w:eastAsia="仿宋_GB2312"/>
          <w:sz w:val="32"/>
          <w:szCs w:val="32"/>
        </w:rPr>
        <w:t>答：</w:t>
      </w:r>
      <w:r>
        <w:rPr>
          <w:rFonts w:hint="eastAsia" w:ascii="仿宋_GB2312" w:hAnsi="仿宋" w:eastAsia="仿宋_GB2312"/>
          <w:sz w:val="32"/>
          <w:szCs w:val="32"/>
        </w:rPr>
        <w:t>2014年1月1日前北京市地方税务局已印制且布奖的《北京市地方税务局通用机打发票》（卷式）按照兑奖规定继续实施兑奖。</w:t>
      </w:r>
    </w:p>
    <w:p>
      <w:pPr>
        <w:spacing w:line="54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中奖者有两种兑奖方式：一是到税务机关兑奖。中奖者可到北京市各区县地方税务机关任何一个兑奖点兑奖，全市通兑（查询兑奖地址请登陆北京市地方税务局网站</w:t>
      </w:r>
      <w:r>
        <w:fldChar w:fldCharType="begin"/>
      </w:r>
      <w:r>
        <w:instrText xml:space="preserve"> HYPERLINK "http://www.tax861.gov.cn" </w:instrText>
      </w:r>
      <w:r>
        <w:fldChar w:fldCharType="separate"/>
      </w:r>
      <w:r>
        <w:rPr>
          <w:rStyle w:val="7"/>
          <w:rFonts w:hint="eastAsia" w:ascii="仿宋_GB2312" w:hAnsi="宋体" w:eastAsia="仿宋_GB2312"/>
          <w:sz w:val="32"/>
          <w:szCs w:val="32"/>
        </w:rPr>
        <w:t>http://www.tax861.gov.cn</w:t>
      </w:r>
      <w:r>
        <w:rPr>
          <w:rStyle w:val="7"/>
          <w:rFonts w:hint="eastAsia" w:ascii="仿宋_GB2312" w:hAnsi="宋体" w:eastAsia="仿宋_GB2312"/>
          <w:sz w:val="32"/>
          <w:szCs w:val="32"/>
        </w:rPr>
        <w:fldChar w:fldCharType="end"/>
      </w:r>
      <w:r>
        <w:rPr>
          <w:rFonts w:hint="eastAsia" w:ascii="仿宋_GB2312" w:hAnsi="宋体" w:eastAsia="仿宋_GB2312"/>
          <w:sz w:val="32"/>
          <w:szCs w:val="32"/>
        </w:rPr>
        <w:t>或拨打北京地税服务热线010-12366，按照提示内容进行查询）。有奖发票中奖者须自发票开具之日起</w:t>
      </w:r>
      <w:r>
        <w:rPr>
          <w:rFonts w:ascii="仿宋_GB2312" w:hAnsi="宋体" w:eastAsia="仿宋_GB2312"/>
          <w:sz w:val="32"/>
          <w:szCs w:val="32"/>
        </w:rPr>
        <w:t>90</w:t>
      </w:r>
      <w:r>
        <w:rPr>
          <w:rFonts w:hint="eastAsia" w:ascii="仿宋_GB2312" w:hAnsi="宋体" w:eastAsia="仿宋_GB2312"/>
          <w:sz w:val="32"/>
          <w:szCs w:val="32"/>
        </w:rPr>
        <w:t>日内，持未分开的发票联和兑奖联到税务机关兑奖点兑奖。万元以上大奖的中奖者须在有效兑奖期限内，持中奖发票和有效身份证原件到税务机关兑奖点办理兑奖手续。二是即开即兑代兑单位兑奖。消费者取得有奖发票当场刮开中奖后，可由开具发票单位即时兑付奖金（即开即兑单位采取自愿代兑原则）。</w:t>
      </w:r>
    </w:p>
    <w:p>
      <w:pPr>
        <w:spacing w:line="54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三、有奖发票中奖者是否需要缴纳个人所得税？</w:t>
      </w:r>
    </w:p>
    <w:p>
      <w:pPr>
        <w:spacing w:line="54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根据《北京市财政局北京市地方税务局转发财政部国家税务总局关于个人取得有奖发票奖金征免个人所得税问题的通知》（京财税〔2007〕461号）、《</w:t>
      </w:r>
      <w:r>
        <w:rPr>
          <w:rFonts w:ascii="仿宋_GB2312" w:hAnsi="宋体" w:eastAsia="仿宋_GB2312"/>
          <w:sz w:val="32"/>
          <w:szCs w:val="32"/>
        </w:rPr>
        <w:t>北京市地方税务局关于有奖发票兑奖管理有关问题的通知</w:t>
      </w:r>
      <w:r>
        <w:rPr>
          <w:rFonts w:hint="eastAsia" w:ascii="仿宋_GB2312" w:hAnsi="宋体" w:eastAsia="仿宋_GB2312"/>
          <w:sz w:val="32"/>
          <w:szCs w:val="32"/>
        </w:rPr>
        <w:t>》（</w:t>
      </w:r>
      <w:r>
        <w:rPr>
          <w:rFonts w:ascii="仿宋_GB2312" w:hAnsi="宋体" w:eastAsia="仿宋_GB2312"/>
          <w:sz w:val="32"/>
          <w:szCs w:val="32"/>
        </w:rPr>
        <w:t>京地税票〔2007〕233号</w:t>
      </w:r>
      <w:r>
        <w:rPr>
          <w:rFonts w:hint="eastAsia" w:ascii="仿宋_GB2312" w:hAnsi="宋体" w:eastAsia="仿宋_GB2312"/>
          <w:sz w:val="32"/>
          <w:szCs w:val="32"/>
        </w:rPr>
        <w:t>）有关规定，凡单张发票奖金所得超过800元的，中奖者须直接到税务机关兑奖点领取奖金，应纳个人所得税款由兑付奖金的税务机关负责扣缴，有奖发票奖金代兑单位（即开即兑代兑单位、银行代兑单位）一律不予兑付单张发票奖金超过800元的中奖发票。</w:t>
      </w:r>
    </w:p>
    <w:p>
      <w:pPr>
        <w:spacing w:line="540" w:lineRule="exact"/>
        <w:ind w:firstLine="640" w:firstLineChars="200"/>
        <w:rPr>
          <w:rFonts w:hint="eastAsia" w:ascii="黑体" w:hAnsi="黑体" w:eastAsia="黑体"/>
          <w:color w:val="000000"/>
          <w:sz w:val="32"/>
          <w:szCs w:val="32"/>
        </w:rPr>
      </w:pPr>
      <w:r>
        <w:rPr>
          <w:rFonts w:hint="eastAsia" w:ascii="黑体" w:hAnsi="黑体" w:eastAsia="黑体"/>
          <w:color w:val="000000"/>
          <w:sz w:val="32"/>
          <w:szCs w:val="32"/>
        </w:rPr>
        <w:t>四、取消布奖后，</w:t>
      </w:r>
      <w:r>
        <w:rPr>
          <w:rFonts w:hint="eastAsia" w:ascii="仿宋_GB2312" w:hAnsi="仿宋" w:eastAsia="仿宋_GB2312"/>
          <w:sz w:val="32"/>
          <w:szCs w:val="32"/>
        </w:rPr>
        <w:t>《</w:t>
      </w:r>
      <w:r>
        <w:rPr>
          <w:rFonts w:hint="eastAsia" w:ascii="黑体" w:hAnsi="黑体" w:eastAsia="黑体"/>
          <w:color w:val="000000"/>
          <w:sz w:val="32"/>
          <w:szCs w:val="32"/>
        </w:rPr>
        <w:t>北京市地方税务局通用机打发票》（卷式）与原版发票有何区别？</w:t>
      </w:r>
    </w:p>
    <w:p>
      <w:pPr>
        <w:spacing w:line="54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答：取消布奖后，《北京市地方税务局通用机打发票》（卷式）原</w:t>
      </w:r>
      <w:r>
        <w:rPr>
          <w:rFonts w:hint="eastAsia" w:ascii="仿宋_GB2312" w:hAnsi="仿宋" w:eastAsia="仿宋_GB2312"/>
          <w:sz w:val="32"/>
          <w:szCs w:val="32"/>
        </w:rPr>
        <w:t>规格、联次不变</w:t>
      </w:r>
      <w:r>
        <w:rPr>
          <w:rFonts w:hint="eastAsia" w:ascii="仿宋_GB2312" w:hAnsi="宋体" w:eastAsia="仿宋_GB2312"/>
          <w:sz w:val="32"/>
          <w:szCs w:val="32"/>
        </w:rPr>
        <w:t>，主要在发票联中取消奖区、</w:t>
      </w:r>
      <w:bookmarkStart w:id="0" w:name="_GoBack"/>
      <w:bookmarkEnd w:id="0"/>
      <w:r>
        <w:rPr>
          <w:rFonts w:hint="eastAsia" w:ascii="仿宋_GB2312" w:hAnsi="宋体" w:eastAsia="仿宋_GB2312"/>
          <w:sz w:val="32"/>
          <w:szCs w:val="32"/>
          <w:lang w:eastAsia="zh-CN"/>
        </w:rPr>
        <w:t>条形码</w:t>
      </w:r>
      <w:r>
        <w:rPr>
          <w:rFonts w:hint="eastAsia" w:ascii="仿宋_GB2312" w:hAnsi="宋体" w:eastAsia="仿宋_GB2312"/>
          <w:sz w:val="32"/>
          <w:szCs w:val="32"/>
        </w:rPr>
        <w:t>、兑奖须知等内容。票样如下：</w:t>
      </w:r>
    </w:p>
    <w:p>
      <w:pPr>
        <w:spacing w:line="540" w:lineRule="exact"/>
        <w:ind w:firstLine="643" w:firstLineChars="200"/>
        <w:rPr>
          <w:rFonts w:hint="eastAsia" w:ascii="楷体_GB2312" w:hAnsi="宋体" w:eastAsia="楷体_GB2312"/>
          <w:b/>
          <w:sz w:val="32"/>
          <w:szCs w:val="32"/>
        </w:rPr>
      </w:pPr>
      <w:r>
        <w:rPr>
          <w:rFonts w:hint="eastAsia" w:ascii="楷体_GB2312" w:hAnsi="宋体" w:eastAsia="楷体_GB2312"/>
          <w:b/>
          <w:sz w:val="32"/>
          <w:szCs w:val="32"/>
        </w:rPr>
        <w:t>（一）《北京市地方税务局通用机打发票》（两联卷式）</w:t>
      </w:r>
    </w:p>
    <w:p>
      <w:pPr>
        <w:spacing w:line="360" w:lineRule="auto"/>
        <w:rPr>
          <w:rFonts w:hint="eastAsia"/>
          <w:sz w:val="32"/>
          <w:szCs w:val="32"/>
        </w:rPr>
      </w:pPr>
      <w:r>
        <w:drawing>
          <wp:anchor distT="0" distB="0" distL="114300" distR="114300" simplePos="0" relativeHeight="251659264" behindDoc="0" locked="0" layoutInCell="1" allowOverlap="1">
            <wp:simplePos x="0" y="0"/>
            <wp:positionH relativeFrom="column">
              <wp:align>center</wp:align>
            </wp:positionH>
            <wp:positionV relativeFrom="paragraph">
              <wp:posOffset>259080</wp:posOffset>
            </wp:positionV>
            <wp:extent cx="3085465" cy="6840220"/>
            <wp:effectExtent l="19050" t="0" r="635" b="0"/>
            <wp:wrapSquare wrapText="bothSides"/>
            <wp:docPr id="8" name="图片 2" descr="通用机打卷票(新版)-1"/>
            <wp:cNvGraphicFramePr/>
            <a:graphic xmlns:a="http://schemas.openxmlformats.org/drawingml/2006/main">
              <a:graphicData uri="http://schemas.openxmlformats.org/drawingml/2006/picture">
                <pic:pic xmlns:pic="http://schemas.openxmlformats.org/drawingml/2006/picture">
                  <pic:nvPicPr>
                    <pic:cNvPr id="8" name="图片 2" descr="通用机打卷票(新版)-1"/>
                    <pic:cNvPicPr>
                      <a:picLocks noChangeArrowheads="1"/>
                    </pic:cNvPicPr>
                  </pic:nvPicPr>
                  <pic:blipFill>
                    <a:blip r:embed="rId4" cstate="print"/>
                    <a:srcRect/>
                    <a:stretch>
                      <a:fillRect/>
                    </a:stretch>
                  </pic:blipFill>
                  <pic:spPr>
                    <a:xfrm>
                      <a:off x="0" y="0"/>
                      <a:ext cx="3085465" cy="6840220"/>
                    </a:xfrm>
                    <a:prstGeom prst="rect">
                      <a:avLst/>
                    </a:prstGeom>
                    <a:noFill/>
                    <a:ln w="9525">
                      <a:noFill/>
                      <a:miter lim="800000"/>
                      <a:headEnd/>
                      <a:tailEnd/>
                    </a:ln>
                  </pic:spPr>
                </pic:pic>
              </a:graphicData>
            </a:graphic>
          </wp:anchor>
        </w:drawing>
      </w:r>
    </w:p>
    <w:p>
      <w:pPr>
        <w:spacing w:line="360" w:lineRule="auto"/>
        <w:rPr>
          <w:rFonts w:hint="eastAsia"/>
          <w:sz w:val="32"/>
          <w:szCs w:val="32"/>
        </w:rPr>
      </w:pPr>
    </w:p>
    <w:p>
      <w:pPr>
        <w:spacing w:line="360" w:lineRule="auto"/>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rFonts w:hint="eastAsia"/>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tabs>
          <w:tab w:val="left" w:pos="945"/>
        </w:tabs>
        <w:rPr>
          <w:rFonts w:hint="eastAsia"/>
          <w:sz w:val="32"/>
          <w:szCs w:val="32"/>
        </w:rPr>
      </w:pPr>
      <w:r>
        <w:rPr>
          <w:sz w:val="32"/>
          <w:szCs w:val="32"/>
        </w:rPr>
        <w:tab/>
      </w:r>
    </w:p>
    <w:p>
      <w:pPr>
        <w:tabs>
          <w:tab w:val="left" w:pos="945"/>
        </w:tabs>
        <w:rPr>
          <w:rFonts w:hint="eastAsia"/>
          <w:sz w:val="32"/>
          <w:szCs w:val="32"/>
        </w:rPr>
      </w:pPr>
      <w:r>
        <w:drawing>
          <wp:anchor distT="0" distB="0" distL="114300" distR="114300" simplePos="0" relativeHeight="251660288" behindDoc="0" locked="0" layoutInCell="1" allowOverlap="1">
            <wp:simplePos x="0" y="0"/>
            <wp:positionH relativeFrom="column">
              <wp:align>center</wp:align>
            </wp:positionH>
            <wp:positionV relativeFrom="paragraph">
              <wp:posOffset>299085</wp:posOffset>
            </wp:positionV>
            <wp:extent cx="3095625" cy="6838950"/>
            <wp:effectExtent l="19050" t="0" r="9525" b="0"/>
            <wp:wrapSquare wrapText="bothSides"/>
            <wp:docPr id="7" name="图片 3" descr="通用机打卷票万元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通用机打卷票万元版-2"/>
                    <pic:cNvPicPr>
                      <a:picLocks noChangeAspect="1" noChangeArrowheads="1"/>
                    </pic:cNvPicPr>
                  </pic:nvPicPr>
                  <pic:blipFill>
                    <a:blip r:embed="rId5" cstate="print"/>
                    <a:srcRect/>
                    <a:stretch>
                      <a:fillRect/>
                    </a:stretch>
                  </pic:blipFill>
                  <pic:spPr>
                    <a:xfrm>
                      <a:off x="0" y="0"/>
                      <a:ext cx="3095625" cy="6838950"/>
                    </a:xfrm>
                    <a:prstGeom prst="rect">
                      <a:avLst/>
                    </a:prstGeom>
                    <a:noFill/>
                    <a:ln w="9525">
                      <a:noFill/>
                      <a:miter lim="800000"/>
                      <a:headEnd/>
                      <a:tailEnd/>
                    </a:ln>
                  </pic:spPr>
                </pic:pic>
              </a:graphicData>
            </a:graphic>
          </wp:anchor>
        </w:drawing>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tabs>
          <w:tab w:val="left" w:pos="1350"/>
        </w:tabs>
        <w:rPr>
          <w:rFonts w:hint="eastAsia"/>
          <w:sz w:val="32"/>
          <w:szCs w:val="32"/>
        </w:rPr>
      </w:pPr>
    </w:p>
    <w:p>
      <w:pPr>
        <w:jc w:val="center"/>
        <w:rPr>
          <w:sz w:val="32"/>
          <w:szCs w:val="32"/>
        </w:rPr>
      </w:pPr>
      <w:r>
        <w:rPr>
          <w:sz w:val="32"/>
          <w:szCs w:val="32"/>
        </w:rPr>
        <w:drawing>
          <wp:inline distT="0" distB="0" distL="0" distR="0">
            <wp:extent cx="3095625" cy="6838950"/>
            <wp:effectExtent l="19050" t="0" r="9525" b="0"/>
            <wp:docPr id="1" name="图片 1" descr="通用机打卷票万元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通用机打卷票万元版-3"/>
                    <pic:cNvPicPr>
                      <a:picLocks noChangeAspect="1" noChangeArrowheads="1"/>
                    </pic:cNvPicPr>
                  </pic:nvPicPr>
                  <pic:blipFill>
                    <a:blip r:embed="rId6" cstate="print"/>
                    <a:srcRect/>
                    <a:stretch>
                      <a:fillRect/>
                    </a:stretch>
                  </pic:blipFill>
                  <pic:spPr>
                    <a:xfrm>
                      <a:off x="0" y="0"/>
                      <a:ext cx="3095625" cy="6838950"/>
                    </a:xfrm>
                    <a:prstGeom prst="rect">
                      <a:avLst/>
                    </a:prstGeom>
                    <a:noFill/>
                    <a:ln w="9525">
                      <a:noFill/>
                      <a:miter lim="800000"/>
                      <a:headEnd/>
                      <a:tailEnd/>
                    </a:ln>
                  </pic:spPr>
                </pic:pic>
              </a:graphicData>
            </a:graphic>
          </wp:inline>
        </w:drawing>
      </w:r>
    </w:p>
    <w:p>
      <w:pPr>
        <w:rPr>
          <w:sz w:val="32"/>
          <w:szCs w:val="32"/>
        </w:rPr>
      </w:pPr>
    </w:p>
    <w:p>
      <w:pPr>
        <w:rPr>
          <w:rFonts w:hint="eastAsia"/>
          <w:sz w:val="32"/>
          <w:szCs w:val="32"/>
        </w:rPr>
      </w:pPr>
    </w:p>
    <w:p>
      <w:pPr>
        <w:rPr>
          <w:rFonts w:hint="eastAsia"/>
          <w:sz w:val="32"/>
          <w:szCs w:val="32"/>
        </w:rPr>
      </w:pPr>
    </w:p>
    <w:p>
      <w:pPr>
        <w:jc w:val="center"/>
        <w:rPr>
          <w:rFonts w:hint="eastAsia"/>
          <w:sz w:val="32"/>
          <w:szCs w:val="32"/>
        </w:rPr>
      </w:pPr>
      <w:r>
        <w:rPr>
          <w:rFonts w:hint="eastAsia"/>
          <w:sz w:val="32"/>
          <w:szCs w:val="32"/>
        </w:rPr>
        <w:drawing>
          <wp:inline distT="0" distB="0" distL="0" distR="0">
            <wp:extent cx="3095625" cy="6838950"/>
            <wp:effectExtent l="19050" t="0" r="9525" b="0"/>
            <wp:docPr id="2" name="图片 2" descr="通用机打卷票(新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通用机打卷票(新版)-4"/>
                    <pic:cNvPicPr>
                      <a:picLocks noChangeAspect="1" noChangeArrowheads="1"/>
                    </pic:cNvPicPr>
                  </pic:nvPicPr>
                  <pic:blipFill>
                    <a:blip r:embed="rId7" cstate="print"/>
                    <a:srcRect/>
                    <a:stretch>
                      <a:fillRect/>
                    </a:stretch>
                  </pic:blipFill>
                  <pic:spPr>
                    <a:xfrm>
                      <a:off x="0" y="0"/>
                      <a:ext cx="3095625" cy="6838950"/>
                    </a:xfrm>
                    <a:prstGeom prst="rect">
                      <a:avLst/>
                    </a:prstGeom>
                    <a:noFill/>
                    <a:ln w="9525">
                      <a:noFill/>
                      <a:miter lim="800000"/>
                      <a:headEnd/>
                      <a:tailEnd/>
                    </a:ln>
                  </pic:spPr>
                </pic:pic>
              </a:graphicData>
            </a:graphic>
          </wp:inline>
        </w:drawing>
      </w:r>
    </w:p>
    <w:p>
      <w:pPr>
        <w:jc w:val="center"/>
        <w:rPr>
          <w:rFonts w:hint="eastAsia"/>
          <w:sz w:val="32"/>
          <w:szCs w:val="32"/>
        </w:rPr>
      </w:pPr>
    </w:p>
    <w:p>
      <w:pPr>
        <w:rPr>
          <w:rFonts w:hint="eastAsia"/>
          <w:sz w:val="32"/>
          <w:szCs w:val="32"/>
        </w:rPr>
      </w:pPr>
    </w:p>
    <w:p>
      <w:pPr>
        <w:spacing w:line="360" w:lineRule="auto"/>
        <w:ind w:firstLine="419" w:firstLineChars="131"/>
        <w:rPr>
          <w:rFonts w:hint="eastAsia" w:ascii="仿宋_GB2312" w:hAnsi="宋体" w:eastAsia="仿宋_GB2312"/>
          <w:sz w:val="32"/>
          <w:szCs w:val="32"/>
        </w:rPr>
      </w:pPr>
    </w:p>
    <w:p>
      <w:pPr>
        <w:spacing w:line="360" w:lineRule="auto"/>
        <w:ind w:firstLine="421" w:firstLineChars="131"/>
        <w:rPr>
          <w:rFonts w:hint="eastAsia" w:ascii="楷体_GB2312" w:hAnsi="宋体" w:eastAsia="楷体_GB2312"/>
          <w:b/>
          <w:sz w:val="32"/>
          <w:szCs w:val="32"/>
        </w:rPr>
      </w:pPr>
      <w:r>
        <w:rPr>
          <w:rFonts w:hint="eastAsia" w:ascii="楷体_GB2312" w:hAnsi="宋体" w:eastAsia="楷体_GB2312"/>
          <w:b/>
          <w:sz w:val="32"/>
          <w:szCs w:val="32"/>
        </w:rPr>
        <w:t>（二）《北京市地方税务局通用机打发票》（两联卷式，万元版）</w:t>
      </w:r>
    </w:p>
    <w:p>
      <w:pPr>
        <w:jc w:val="center"/>
        <w:rPr>
          <w:rFonts w:hint="eastAsia"/>
          <w:sz w:val="32"/>
          <w:szCs w:val="32"/>
        </w:rPr>
      </w:pPr>
      <w:r>
        <w:rPr>
          <w:rFonts w:hint="eastAsia"/>
          <w:sz w:val="32"/>
          <w:szCs w:val="32"/>
        </w:rPr>
        <w:drawing>
          <wp:inline distT="0" distB="0" distL="0" distR="0">
            <wp:extent cx="3095625" cy="6838950"/>
            <wp:effectExtent l="19050" t="0" r="9525" b="0"/>
            <wp:docPr id="3" name="图片 3" descr="通用机打卷票万元版(新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通用机打卷票万元版(新版)-1"/>
                    <pic:cNvPicPr>
                      <a:picLocks noChangeAspect="1" noChangeArrowheads="1"/>
                    </pic:cNvPicPr>
                  </pic:nvPicPr>
                  <pic:blipFill>
                    <a:blip r:embed="rId8" cstate="print"/>
                    <a:srcRect/>
                    <a:stretch>
                      <a:fillRect/>
                    </a:stretch>
                  </pic:blipFill>
                  <pic:spPr>
                    <a:xfrm>
                      <a:off x="0" y="0"/>
                      <a:ext cx="3095625" cy="6838950"/>
                    </a:xfrm>
                    <a:prstGeom prst="rect">
                      <a:avLst/>
                    </a:prstGeom>
                    <a:noFill/>
                    <a:ln w="9525">
                      <a:noFill/>
                      <a:miter lim="800000"/>
                      <a:headEnd/>
                      <a:tailEnd/>
                    </a:ln>
                  </pic:spPr>
                </pic:pic>
              </a:graphicData>
            </a:graphic>
          </wp:inline>
        </w:drawing>
      </w:r>
    </w:p>
    <w:p>
      <w:pPr>
        <w:jc w:val="center"/>
        <w:rPr>
          <w:rFonts w:hint="eastAsia"/>
          <w:sz w:val="32"/>
          <w:szCs w:val="32"/>
        </w:rPr>
      </w:pPr>
    </w:p>
    <w:p>
      <w:pPr>
        <w:jc w:val="center"/>
        <w:rPr>
          <w:sz w:val="32"/>
          <w:szCs w:val="32"/>
        </w:rPr>
      </w:pPr>
      <w:r>
        <w:rPr>
          <w:rFonts w:hint="eastAsia"/>
          <w:sz w:val="32"/>
          <w:szCs w:val="32"/>
        </w:rPr>
        <w:drawing>
          <wp:inline distT="0" distB="0" distL="0" distR="0">
            <wp:extent cx="3095625" cy="6838950"/>
            <wp:effectExtent l="19050" t="0" r="9525" b="0"/>
            <wp:docPr id="4" name="图片 4" descr="通用机打卷票万元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通用机打卷票万元版-2"/>
                    <pic:cNvPicPr>
                      <a:picLocks noChangeAspect="1" noChangeArrowheads="1"/>
                    </pic:cNvPicPr>
                  </pic:nvPicPr>
                  <pic:blipFill>
                    <a:blip r:embed="rId5" cstate="print"/>
                    <a:srcRect/>
                    <a:stretch>
                      <a:fillRect/>
                    </a:stretch>
                  </pic:blipFill>
                  <pic:spPr>
                    <a:xfrm>
                      <a:off x="0" y="0"/>
                      <a:ext cx="3095625" cy="6838950"/>
                    </a:xfrm>
                    <a:prstGeom prst="rect">
                      <a:avLst/>
                    </a:prstGeom>
                    <a:noFill/>
                    <a:ln w="9525">
                      <a:noFill/>
                      <a:miter lim="800000"/>
                      <a:headEnd/>
                      <a:tailEnd/>
                    </a:ln>
                  </pic:spPr>
                </pic:pic>
              </a:graphicData>
            </a:graphic>
          </wp:inline>
        </w:drawing>
      </w:r>
    </w:p>
    <w:p>
      <w:pPr>
        <w:tabs>
          <w:tab w:val="left" w:pos="3045"/>
        </w:tabs>
        <w:rPr>
          <w:rFonts w:hint="eastAsia"/>
          <w:sz w:val="32"/>
          <w:szCs w:val="32"/>
        </w:rPr>
      </w:pPr>
    </w:p>
    <w:p>
      <w:pPr>
        <w:tabs>
          <w:tab w:val="left" w:pos="3045"/>
        </w:tabs>
        <w:jc w:val="center"/>
        <w:rPr>
          <w:rFonts w:hint="eastAsia"/>
          <w:sz w:val="32"/>
          <w:szCs w:val="32"/>
        </w:rPr>
      </w:pPr>
      <w:r>
        <w:rPr>
          <w:rFonts w:hint="eastAsia"/>
          <w:sz w:val="32"/>
          <w:szCs w:val="32"/>
        </w:rPr>
        <w:drawing>
          <wp:inline distT="0" distB="0" distL="0" distR="0">
            <wp:extent cx="3095625" cy="6838950"/>
            <wp:effectExtent l="19050" t="0" r="9525" b="0"/>
            <wp:docPr id="5" name="图片 5" descr="通用机打卷票万元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通用机打卷票万元版-3"/>
                    <pic:cNvPicPr>
                      <a:picLocks noChangeAspect="1" noChangeArrowheads="1"/>
                    </pic:cNvPicPr>
                  </pic:nvPicPr>
                  <pic:blipFill>
                    <a:blip r:embed="rId9" cstate="print"/>
                    <a:srcRect/>
                    <a:stretch>
                      <a:fillRect/>
                    </a:stretch>
                  </pic:blipFill>
                  <pic:spPr>
                    <a:xfrm>
                      <a:off x="0" y="0"/>
                      <a:ext cx="3095625" cy="6838950"/>
                    </a:xfrm>
                    <a:prstGeom prst="rect">
                      <a:avLst/>
                    </a:prstGeom>
                    <a:noFill/>
                    <a:ln w="9525">
                      <a:noFill/>
                      <a:miter lim="800000"/>
                      <a:headEnd/>
                      <a:tailEnd/>
                    </a:ln>
                  </pic:spPr>
                </pic:pic>
              </a:graphicData>
            </a:graphic>
          </wp:inline>
        </w:drawing>
      </w:r>
    </w:p>
    <w:p>
      <w:pPr>
        <w:rPr>
          <w:sz w:val="32"/>
          <w:szCs w:val="32"/>
        </w:rPr>
      </w:pPr>
    </w:p>
    <w:p>
      <w:pPr>
        <w:rPr>
          <w:rFonts w:hint="eastAsia"/>
          <w:sz w:val="32"/>
          <w:szCs w:val="32"/>
        </w:rPr>
      </w:pPr>
    </w:p>
    <w:p>
      <w:pPr>
        <w:jc w:val="center"/>
        <w:rPr>
          <w:rFonts w:hint="eastAsia"/>
          <w:sz w:val="32"/>
          <w:szCs w:val="32"/>
        </w:rPr>
      </w:pPr>
      <w:r>
        <w:rPr>
          <w:rFonts w:hint="eastAsia"/>
          <w:sz w:val="32"/>
          <w:szCs w:val="32"/>
        </w:rPr>
        <w:drawing>
          <wp:inline distT="0" distB="0" distL="0" distR="0">
            <wp:extent cx="3095625" cy="6838950"/>
            <wp:effectExtent l="19050" t="0" r="9525" b="0"/>
            <wp:docPr id="6" name="图片 6" descr="通用机打卷票万元版(新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通用机打卷票万元版(新版)-4"/>
                    <pic:cNvPicPr>
                      <a:picLocks noChangeAspect="1" noChangeArrowheads="1"/>
                    </pic:cNvPicPr>
                  </pic:nvPicPr>
                  <pic:blipFill>
                    <a:blip r:embed="rId10" cstate="print"/>
                    <a:srcRect/>
                    <a:stretch>
                      <a:fillRect/>
                    </a:stretch>
                  </pic:blipFill>
                  <pic:spPr>
                    <a:xfrm>
                      <a:off x="0" y="0"/>
                      <a:ext cx="3095625" cy="6838950"/>
                    </a:xfrm>
                    <a:prstGeom prst="rect">
                      <a:avLst/>
                    </a:prstGeom>
                    <a:noFill/>
                    <a:ln w="9525">
                      <a:noFill/>
                      <a:miter lim="800000"/>
                      <a:headEnd/>
                      <a:tailEnd/>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82C98"/>
    <w:rsid w:val="00690E8A"/>
    <w:rsid w:val="00D82C98"/>
    <w:rsid w:val="00D86681"/>
    <w:rsid w:val="4C242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Hyperlink"/>
    <w:uiPriority w:val="0"/>
    <w:rPr>
      <w:color w:val="0000FF"/>
      <w:u w:val="single"/>
    </w:rPr>
  </w:style>
  <w:style w:type="character" w:customStyle="1" w:styleId="8">
    <w:name w:val="页眉 Char"/>
    <w:basedOn w:val="6"/>
    <w:link w:val="4"/>
    <w:semiHidden/>
    <w:uiPriority w:val="99"/>
    <w:rPr>
      <w:sz w:val="18"/>
      <w:szCs w:val="18"/>
    </w:rPr>
  </w:style>
  <w:style w:type="character" w:customStyle="1" w:styleId="9">
    <w:name w:val="页脚 Char"/>
    <w:basedOn w:val="6"/>
    <w:link w:val="3"/>
    <w:semiHidden/>
    <w:uiPriority w:val="99"/>
    <w:rPr>
      <w:sz w:val="18"/>
      <w:szCs w:val="18"/>
    </w:rPr>
  </w:style>
  <w:style w:type="character" w:customStyle="1" w:styleId="10">
    <w:name w:val="批注框文本 Char"/>
    <w:basedOn w:val="6"/>
    <w:link w:val="2"/>
    <w:semiHidden/>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192</Words>
  <Characters>1098</Characters>
  <Lines>9</Lines>
  <Paragraphs>2</Paragraphs>
  <TotalTime>0</TotalTime>
  <ScaleCrop>false</ScaleCrop>
  <LinksUpToDate>false</LinksUpToDate>
  <CharactersWithSpaces>1288</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2016-12-16T02:11:00Z</dcterms:created>
  <dc:creator>lmj</dc:creator>
  <cp:lastModifiedBy>两两相见不惊艳</cp:lastModifiedBy>
  <dcterms:modified xsi:type="dcterms:W3CDTF">2021-04-12T08:24:31Z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3030F34E2A0D45758832F143094B53C3</vt:lpwstr>
  </property>
</Properties>
</file>